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07776">
      <w:pPr>
        <w:numPr>
          <w:ilvl w:val="0"/>
          <w:numId w:val="0"/>
        </w:numPr>
        <w:tabs>
          <w:tab w:val="left" w:pos="1440"/>
          <w:tab w:val="center" w:pos="4153"/>
        </w:tabs>
        <w:spacing w:before="360"/>
        <w:jc w:val="center"/>
        <w:outlineLvl w:val="9"/>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西安市第一医院供货合同</w:t>
      </w:r>
    </w:p>
    <w:p w14:paraId="35555B6F">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合同编号：</w:t>
      </w:r>
    </w:p>
    <w:p w14:paraId="21E0CACF">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签订地点：西安市第一医院（粉巷）</w:t>
      </w:r>
    </w:p>
    <w:p w14:paraId="3AB179B2">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采购人（甲方）：西安市第一医院</w:t>
      </w:r>
    </w:p>
    <w:p w14:paraId="363B4206">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供应商（乙方）： </w:t>
      </w:r>
    </w:p>
    <w:p w14:paraId="03E71CEF">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p>
    <w:p w14:paraId="4577D04C">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供应商规模：  规模企业（大、中、小、微）</w:t>
      </w:r>
    </w:p>
    <w:p w14:paraId="6BA7CDA4">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招标公司： </w:t>
      </w:r>
      <w:bookmarkStart w:id="0" w:name="_GoBack"/>
      <w:bookmarkEnd w:id="0"/>
    </w:p>
    <w:p w14:paraId="5F484002">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招标时间：    年    月    日  </w:t>
      </w:r>
    </w:p>
    <w:p w14:paraId="5225261D">
      <w:pPr>
        <w:keepNext w:val="0"/>
        <w:keepLines w:val="0"/>
        <w:pageBreakBefore w:val="0"/>
        <w:widowControl w:val="0"/>
        <w:kinsoku/>
        <w:wordWrap/>
        <w:overflowPunct/>
        <w:topLinePunct w:val="0"/>
        <w:autoSpaceDE/>
        <w:autoSpaceDN/>
        <w:bidi w:val="0"/>
        <w:adjustRightInd/>
        <w:snapToGrid/>
        <w:spacing w:before="0" w:after="0"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中标时间：    年    月   日</w:t>
      </w:r>
    </w:p>
    <w:p w14:paraId="5992A4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履约结束日期：   年   月  日（可视验收具体情况向后顺延）</w:t>
      </w:r>
    </w:p>
    <w:p w14:paraId="575B91BB">
      <w:pPr>
        <w:pStyle w:val="25"/>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themeColor="text1"/>
          <w:sz w:val="21"/>
          <w:szCs w:val="21"/>
          <w:highlight w:val="none"/>
          <w14:textFill>
            <w14:solidFill>
              <w14:schemeClr w14:val="tx1"/>
            </w14:solidFill>
          </w14:textFill>
        </w:rPr>
      </w:pPr>
    </w:p>
    <w:p w14:paraId="1267D4F6">
      <w:pPr>
        <w:pStyle w:val="25"/>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根据《中华人民共和国政府采购法》、《中华人民共和国民法典》及西安市第一医院医疗设备采购项目（项目编</w:t>
      </w:r>
      <w:r>
        <w:rPr>
          <w:rFonts w:hint="eastAsia" w:ascii="仿宋" w:hAnsi="仿宋" w:eastAsia="仿宋" w:cs="仿宋"/>
          <w:color w:val="000000" w:themeColor="text1"/>
          <w:kern w:val="0"/>
          <w:sz w:val="21"/>
          <w:szCs w:val="21"/>
          <w:highlight w:val="none"/>
          <w14:textFill>
            <w14:solidFill>
              <w14:schemeClr w14:val="tx1"/>
            </w14:solidFill>
          </w14:textFill>
        </w:rPr>
        <w:t>号及名称：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的《招标文件》、乙方的《投标文件》及《中标通知书》，甲、乙双方同意签订本合同。详细技术说明及其他有关合同项目的特定信息由合同附件予以说明，合同附件及本项目的</w:t>
      </w:r>
      <w:r>
        <w:rPr>
          <w:rFonts w:hint="eastAsia" w:ascii="仿宋" w:hAnsi="仿宋" w:eastAsia="仿宋" w:cs="仿宋"/>
          <w:color w:val="000000" w:themeColor="text1"/>
          <w:sz w:val="21"/>
          <w:szCs w:val="21"/>
          <w:highlight w:val="none"/>
          <w:lang w:val="en-US" w:eastAsia="zh-CN"/>
          <w14:textFill>
            <w14:solidFill>
              <w14:schemeClr w14:val="tx1"/>
            </w14:solidFill>
          </w14:textFill>
        </w:rPr>
        <w:t>谈判</w:t>
      </w:r>
      <w:r>
        <w:rPr>
          <w:rFonts w:hint="eastAsia" w:ascii="仿宋" w:hAnsi="仿宋" w:eastAsia="仿宋" w:cs="仿宋"/>
          <w:color w:val="000000" w:themeColor="text1"/>
          <w:sz w:val="21"/>
          <w:szCs w:val="21"/>
          <w:highlight w:val="none"/>
          <w14:textFill>
            <w14:solidFill>
              <w14:schemeClr w14:val="tx1"/>
            </w14:solidFill>
          </w14:textFill>
        </w:rPr>
        <w:t>文件、</w:t>
      </w:r>
      <w:r>
        <w:rPr>
          <w:rFonts w:hint="eastAsia" w:ascii="仿宋" w:hAnsi="仿宋" w:eastAsia="仿宋" w:cs="仿宋"/>
          <w:color w:val="000000" w:themeColor="text1"/>
          <w:sz w:val="21"/>
          <w:szCs w:val="21"/>
          <w:highlight w:val="none"/>
          <w:lang w:val="en-US" w:eastAsia="zh-CN"/>
          <w14:textFill>
            <w14:solidFill>
              <w14:schemeClr w14:val="tx1"/>
            </w14:solidFill>
          </w14:textFill>
        </w:rPr>
        <w:t>响应</w:t>
      </w:r>
      <w:r>
        <w:rPr>
          <w:rFonts w:hint="eastAsia" w:ascii="仿宋" w:hAnsi="仿宋" w:eastAsia="仿宋" w:cs="仿宋"/>
          <w:color w:val="000000" w:themeColor="text1"/>
          <w:sz w:val="21"/>
          <w:szCs w:val="21"/>
          <w:highlight w:val="none"/>
          <w14:textFill>
            <w14:solidFill>
              <w14:schemeClr w14:val="tx1"/>
            </w14:solidFill>
          </w14:textFill>
        </w:rPr>
        <w:t>文件、《中标通知书》等均为本合同不可分割的部分。双方同意共同遵守如下条款：</w:t>
      </w:r>
    </w:p>
    <w:p w14:paraId="1A60A163">
      <w:pPr>
        <w:spacing w:before="0" w:after="0" w:line="360" w:lineRule="auto"/>
        <w:ind w:firstLine="0"/>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一、合同货物（配置清单附后）</w:t>
      </w:r>
    </w:p>
    <w:tbl>
      <w:tblPr>
        <w:tblStyle w:val="13"/>
        <w:tblW w:w="867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45"/>
        <w:gridCol w:w="749"/>
        <w:gridCol w:w="1343"/>
        <w:gridCol w:w="624"/>
        <w:gridCol w:w="530"/>
        <w:gridCol w:w="848"/>
        <w:gridCol w:w="872"/>
        <w:gridCol w:w="647"/>
        <w:gridCol w:w="639"/>
        <w:gridCol w:w="639"/>
        <w:gridCol w:w="639"/>
      </w:tblGrid>
      <w:tr w14:paraId="2BF686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9" w:hRule="atLeast"/>
          <w:jc w:val="center"/>
        </w:trPr>
        <w:tc>
          <w:tcPr>
            <w:tcW w:w="1145" w:type="dxa"/>
            <w:tcBorders>
              <w:top w:val="single" w:color="auto" w:sz="4" w:space="0"/>
              <w:left w:val="single" w:color="auto" w:sz="4" w:space="0"/>
              <w:bottom w:val="single" w:color="auto" w:sz="4" w:space="0"/>
              <w:right w:val="single" w:color="auto" w:sz="4" w:space="0"/>
            </w:tcBorders>
            <w:noWrap w:val="0"/>
            <w:vAlign w:val="center"/>
          </w:tcPr>
          <w:p w14:paraId="65D54DCD">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货物品名</w:t>
            </w:r>
          </w:p>
        </w:tc>
        <w:tc>
          <w:tcPr>
            <w:tcW w:w="749" w:type="dxa"/>
            <w:tcBorders>
              <w:top w:val="single" w:color="auto" w:sz="4" w:space="0"/>
              <w:left w:val="single" w:color="auto" w:sz="4" w:space="0"/>
              <w:bottom w:val="single" w:color="auto" w:sz="4" w:space="0"/>
              <w:right w:val="single" w:color="auto" w:sz="4" w:space="0"/>
            </w:tcBorders>
            <w:noWrap w:val="0"/>
            <w:vAlign w:val="center"/>
          </w:tcPr>
          <w:p w14:paraId="09DC5EA4">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产地</w:t>
            </w:r>
          </w:p>
          <w:p w14:paraId="1BE97A48">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品牌</w:t>
            </w:r>
          </w:p>
        </w:tc>
        <w:tc>
          <w:tcPr>
            <w:tcW w:w="1343" w:type="dxa"/>
            <w:tcBorders>
              <w:top w:val="single" w:color="auto" w:sz="4" w:space="0"/>
              <w:left w:val="single" w:color="auto" w:sz="4" w:space="0"/>
              <w:bottom w:val="single" w:color="auto" w:sz="4" w:space="0"/>
              <w:right w:val="single" w:color="auto" w:sz="4" w:space="0"/>
            </w:tcBorders>
            <w:noWrap w:val="0"/>
            <w:vAlign w:val="center"/>
          </w:tcPr>
          <w:p w14:paraId="13E7C055">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规格</w:t>
            </w:r>
          </w:p>
          <w:p w14:paraId="3DAF5D54">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型号</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70D7BB5A">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8AF8AA9">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数量</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1DC7950">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单价</w:t>
            </w:r>
          </w:p>
          <w:p w14:paraId="1EF76F14">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（万元）</w:t>
            </w:r>
          </w:p>
        </w:tc>
        <w:tc>
          <w:tcPr>
            <w:tcW w:w="872" w:type="dxa"/>
            <w:tcBorders>
              <w:top w:val="single" w:color="auto" w:sz="4" w:space="0"/>
              <w:left w:val="single" w:color="auto" w:sz="4" w:space="0"/>
              <w:bottom w:val="single" w:color="auto" w:sz="4" w:space="0"/>
              <w:right w:val="single" w:color="auto" w:sz="4" w:space="0"/>
            </w:tcBorders>
            <w:noWrap w:val="0"/>
            <w:vAlign w:val="center"/>
          </w:tcPr>
          <w:p w14:paraId="4F5D9D04">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总价</w:t>
            </w:r>
          </w:p>
          <w:p w14:paraId="1ACA4811">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（万元）</w:t>
            </w:r>
          </w:p>
        </w:tc>
        <w:tc>
          <w:tcPr>
            <w:tcW w:w="647" w:type="dxa"/>
            <w:tcBorders>
              <w:top w:val="single" w:color="auto" w:sz="4" w:space="0"/>
              <w:left w:val="single" w:color="auto" w:sz="4" w:space="0"/>
              <w:bottom w:val="single" w:color="auto" w:sz="4" w:space="0"/>
              <w:right w:val="single" w:color="auto" w:sz="4" w:space="0"/>
            </w:tcBorders>
            <w:noWrap w:val="0"/>
            <w:vAlign w:val="center"/>
          </w:tcPr>
          <w:p w14:paraId="70B300C5">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随机</w:t>
            </w:r>
          </w:p>
          <w:p w14:paraId="7BA5BBB6">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配件</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621A171F">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交货期</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55B32367">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使用科室</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75143CAE">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资金类型</w:t>
            </w:r>
          </w:p>
        </w:tc>
      </w:tr>
      <w:tr w14:paraId="75CEA2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46" w:hRule="atLeast"/>
          <w:jc w:val="center"/>
        </w:trPr>
        <w:tc>
          <w:tcPr>
            <w:tcW w:w="1145" w:type="dxa"/>
            <w:tcBorders>
              <w:top w:val="single" w:color="auto" w:sz="4" w:space="0"/>
              <w:left w:val="single" w:color="auto" w:sz="4" w:space="0"/>
              <w:bottom w:val="single" w:color="auto" w:sz="4" w:space="0"/>
              <w:right w:val="single" w:color="auto" w:sz="4" w:space="0"/>
            </w:tcBorders>
            <w:noWrap w:val="0"/>
            <w:vAlign w:val="center"/>
          </w:tcPr>
          <w:p w14:paraId="24C1D631">
            <w:pPr>
              <w:pStyle w:val="29"/>
              <w:spacing w:line="360" w:lineRule="exact"/>
              <w:ind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749" w:type="dxa"/>
            <w:tcBorders>
              <w:top w:val="single" w:color="auto" w:sz="4" w:space="0"/>
              <w:left w:val="single" w:color="auto" w:sz="4" w:space="0"/>
              <w:bottom w:val="single" w:color="auto" w:sz="4" w:space="0"/>
              <w:right w:val="single" w:color="auto" w:sz="4" w:space="0"/>
            </w:tcBorders>
            <w:noWrap w:val="0"/>
            <w:vAlign w:val="center"/>
          </w:tcPr>
          <w:p w14:paraId="2CCDA6F4">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529ADF08">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624" w:type="dxa"/>
            <w:tcBorders>
              <w:top w:val="single" w:color="auto" w:sz="4" w:space="0"/>
              <w:left w:val="single" w:color="auto" w:sz="4" w:space="0"/>
              <w:bottom w:val="single" w:color="auto" w:sz="4" w:space="0"/>
              <w:right w:val="single" w:color="auto" w:sz="4" w:space="0"/>
            </w:tcBorders>
            <w:noWrap w:val="0"/>
            <w:vAlign w:val="center"/>
          </w:tcPr>
          <w:p w14:paraId="16066AAD">
            <w:pPr>
              <w:spacing w:before="0" w:after="0" w:line="400" w:lineRule="exact"/>
              <w:ind w:firstLine="105" w:firstLineChars="50"/>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74C1B1">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DAD8703">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p>
        </w:tc>
        <w:tc>
          <w:tcPr>
            <w:tcW w:w="872" w:type="dxa"/>
            <w:tcBorders>
              <w:top w:val="single" w:color="auto" w:sz="4" w:space="0"/>
              <w:left w:val="single" w:color="auto" w:sz="4" w:space="0"/>
              <w:bottom w:val="single" w:color="auto" w:sz="4" w:space="0"/>
              <w:right w:val="single" w:color="auto" w:sz="4" w:space="0"/>
            </w:tcBorders>
            <w:noWrap w:val="0"/>
            <w:vAlign w:val="center"/>
          </w:tcPr>
          <w:p w14:paraId="4DDA785C">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p>
        </w:tc>
        <w:tc>
          <w:tcPr>
            <w:tcW w:w="647" w:type="dxa"/>
            <w:tcBorders>
              <w:top w:val="single" w:color="auto" w:sz="4" w:space="0"/>
              <w:left w:val="single" w:color="auto" w:sz="4" w:space="0"/>
              <w:right w:val="single" w:color="auto" w:sz="4" w:space="0"/>
            </w:tcBorders>
            <w:noWrap w:val="0"/>
            <w:vAlign w:val="center"/>
          </w:tcPr>
          <w:p w14:paraId="1DC08B3B">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详见配置清单</w:t>
            </w:r>
          </w:p>
        </w:tc>
        <w:tc>
          <w:tcPr>
            <w:tcW w:w="639" w:type="dxa"/>
            <w:tcBorders>
              <w:top w:val="single" w:color="auto" w:sz="4" w:space="0"/>
              <w:left w:val="single" w:color="auto" w:sz="4" w:space="0"/>
              <w:right w:val="single" w:color="auto" w:sz="4" w:space="0"/>
            </w:tcBorders>
            <w:noWrap w:val="0"/>
            <w:vAlign w:val="center"/>
          </w:tcPr>
          <w:p w14:paraId="5D5541AD">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合同签订后XX个日历日内</w:t>
            </w:r>
          </w:p>
        </w:tc>
        <w:tc>
          <w:tcPr>
            <w:tcW w:w="639" w:type="dxa"/>
            <w:tcBorders>
              <w:top w:val="single" w:color="auto" w:sz="4" w:space="0"/>
              <w:left w:val="single" w:color="auto" w:sz="4" w:space="0"/>
              <w:right w:val="single" w:color="auto" w:sz="4" w:space="0"/>
            </w:tcBorders>
            <w:noWrap w:val="0"/>
            <w:vAlign w:val="center"/>
          </w:tcPr>
          <w:p w14:paraId="256F1462">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639" w:type="dxa"/>
            <w:tcBorders>
              <w:top w:val="single" w:color="auto" w:sz="4" w:space="0"/>
              <w:left w:val="single" w:color="auto" w:sz="4" w:space="0"/>
              <w:right w:val="single" w:color="auto" w:sz="4" w:space="0"/>
            </w:tcBorders>
            <w:noWrap w:val="0"/>
            <w:vAlign w:val="center"/>
          </w:tcPr>
          <w:p w14:paraId="1A611AF9">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234643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1145" w:type="dxa"/>
            <w:tcBorders>
              <w:top w:val="single" w:color="auto" w:sz="4" w:space="0"/>
              <w:left w:val="single" w:color="auto" w:sz="4" w:space="0"/>
              <w:bottom w:val="single" w:color="auto" w:sz="4" w:space="0"/>
              <w:right w:val="single" w:color="auto" w:sz="4" w:space="0"/>
            </w:tcBorders>
            <w:noWrap w:val="0"/>
            <w:vAlign w:val="center"/>
          </w:tcPr>
          <w:p w14:paraId="6FC18FE1">
            <w:pPr>
              <w:spacing w:before="0" w:after="0" w:line="400" w:lineRule="exact"/>
              <w:ind w:firstLine="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合计</w:t>
            </w:r>
          </w:p>
        </w:tc>
        <w:tc>
          <w:tcPr>
            <w:tcW w:w="6252" w:type="dxa"/>
            <w:gridSpan w:val="8"/>
            <w:tcBorders>
              <w:top w:val="single" w:color="auto" w:sz="4" w:space="0"/>
              <w:left w:val="single" w:color="auto" w:sz="4" w:space="0"/>
              <w:bottom w:val="single" w:color="auto" w:sz="4" w:space="0"/>
              <w:right w:val="single" w:color="auto" w:sz="4" w:space="0"/>
            </w:tcBorders>
            <w:noWrap w:val="0"/>
            <w:vAlign w:val="center"/>
          </w:tcPr>
          <w:p w14:paraId="42A1C496">
            <w:pPr>
              <w:spacing w:before="0" w:after="0" w:line="400" w:lineRule="exact"/>
              <w:ind w:firstLine="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人民币（大写）：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元）</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667B28DA">
            <w:pPr>
              <w:spacing w:before="0" w:after="0" w:line="400" w:lineRule="exact"/>
              <w:ind w:firstLine="0"/>
              <w:rPr>
                <w:rFonts w:hint="eastAsia" w:ascii="仿宋" w:hAnsi="仿宋" w:eastAsia="仿宋" w:cs="仿宋"/>
                <w:color w:val="000000" w:themeColor="text1"/>
                <w:sz w:val="21"/>
                <w:szCs w:val="21"/>
                <w:highlight w:val="none"/>
                <w14:textFill>
                  <w14:solidFill>
                    <w14:schemeClr w14:val="tx1"/>
                  </w14:solidFill>
                </w14:textFill>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06800F2B">
            <w:pPr>
              <w:spacing w:before="0" w:after="0" w:line="400" w:lineRule="exact"/>
              <w:ind w:firstLine="0"/>
              <w:rPr>
                <w:rFonts w:hint="eastAsia" w:ascii="仿宋" w:hAnsi="仿宋" w:eastAsia="仿宋" w:cs="仿宋"/>
                <w:color w:val="000000" w:themeColor="text1"/>
                <w:sz w:val="21"/>
                <w:szCs w:val="21"/>
                <w:highlight w:val="none"/>
                <w14:textFill>
                  <w14:solidFill>
                    <w14:schemeClr w14:val="tx1"/>
                  </w14:solidFill>
                </w14:textFill>
              </w:rPr>
            </w:pPr>
          </w:p>
        </w:tc>
      </w:tr>
    </w:tbl>
    <w:p w14:paraId="3E92651E">
      <w:pPr>
        <w:spacing w:before="0" w:after="0" w:line="360" w:lineRule="auto"/>
        <w:ind w:firstLine="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耗材清单：</w:t>
      </w:r>
    </w:p>
    <w:tbl>
      <w:tblPr>
        <w:tblStyle w:val="13"/>
        <w:tblW w:w="8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450"/>
        <w:gridCol w:w="1912"/>
        <w:gridCol w:w="1037"/>
        <w:gridCol w:w="979"/>
        <w:gridCol w:w="819"/>
        <w:gridCol w:w="787"/>
        <w:gridCol w:w="1012"/>
        <w:gridCol w:w="873"/>
      </w:tblGrid>
      <w:tr w14:paraId="5D3D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1237" w:type="dxa"/>
            <w:gridSpan w:val="2"/>
            <w:noWrap w:val="0"/>
            <w:vAlign w:val="center"/>
          </w:tcPr>
          <w:p w14:paraId="41DC4275">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设备名称</w:t>
            </w:r>
          </w:p>
        </w:tc>
        <w:tc>
          <w:tcPr>
            <w:tcW w:w="1912" w:type="dxa"/>
            <w:noWrap w:val="0"/>
            <w:vAlign w:val="center"/>
          </w:tcPr>
          <w:p w14:paraId="3604A270">
            <w:pPr>
              <w:spacing w:line="4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耗材名称</w:t>
            </w:r>
          </w:p>
        </w:tc>
        <w:tc>
          <w:tcPr>
            <w:tcW w:w="1037" w:type="dxa"/>
            <w:noWrap w:val="0"/>
            <w:vAlign w:val="center"/>
          </w:tcPr>
          <w:p w14:paraId="35D284E8">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阳光挂网组件编号</w:t>
            </w:r>
          </w:p>
        </w:tc>
        <w:tc>
          <w:tcPr>
            <w:tcW w:w="979" w:type="dxa"/>
            <w:noWrap w:val="0"/>
            <w:vAlign w:val="center"/>
          </w:tcPr>
          <w:p w14:paraId="7888B89F">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产地</w:t>
            </w:r>
          </w:p>
          <w:p w14:paraId="7BE58EA5">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品牌</w:t>
            </w:r>
          </w:p>
        </w:tc>
        <w:tc>
          <w:tcPr>
            <w:tcW w:w="819" w:type="dxa"/>
            <w:noWrap w:val="0"/>
            <w:vAlign w:val="center"/>
          </w:tcPr>
          <w:p w14:paraId="3BC4C2E1">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规格</w:t>
            </w:r>
          </w:p>
          <w:p w14:paraId="24721ABA">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型号</w:t>
            </w:r>
          </w:p>
        </w:tc>
        <w:tc>
          <w:tcPr>
            <w:tcW w:w="787" w:type="dxa"/>
            <w:noWrap w:val="0"/>
            <w:vAlign w:val="center"/>
          </w:tcPr>
          <w:p w14:paraId="6A4E6012">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w:t>
            </w:r>
          </w:p>
        </w:tc>
        <w:tc>
          <w:tcPr>
            <w:tcW w:w="1012" w:type="dxa"/>
            <w:noWrap w:val="0"/>
            <w:vAlign w:val="center"/>
          </w:tcPr>
          <w:p w14:paraId="3C291DC8">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单价（元）</w:t>
            </w:r>
          </w:p>
        </w:tc>
        <w:tc>
          <w:tcPr>
            <w:tcW w:w="873" w:type="dxa"/>
            <w:noWrap w:val="0"/>
            <w:vAlign w:val="center"/>
          </w:tcPr>
          <w:p w14:paraId="3DCFFBBF">
            <w:pPr>
              <w:spacing w:line="400" w:lineRule="exact"/>
              <w:ind w:left="0" w:leftChars="0" w:firstLine="0" w:firstLineChars="0"/>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备注</w:t>
            </w:r>
          </w:p>
        </w:tc>
      </w:tr>
      <w:tr w14:paraId="68E0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237"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7AB2C11">
            <w:pPr>
              <w:spacing w:line="360" w:lineRule="auto"/>
              <w:jc w:val="left"/>
              <w:rPr>
                <w:rFonts w:hint="eastAsia" w:ascii="仿宋" w:hAnsi="仿宋" w:eastAsia="仿宋" w:cs="仿宋"/>
                <w:color w:val="000000" w:themeColor="text1"/>
                <w:sz w:val="21"/>
                <w:szCs w:val="21"/>
                <w:highlight w:val="none"/>
                <w14:textFill>
                  <w14:solidFill>
                    <w14:schemeClr w14:val="tx1"/>
                  </w14:solidFill>
                </w14:textFill>
              </w:rPr>
            </w:pPr>
          </w:p>
        </w:tc>
        <w:tc>
          <w:tcPr>
            <w:tcW w:w="191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257FB27">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0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199160B">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97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A70E74B">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8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1A6AD38">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7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E0C3B5E">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01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C312968">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873" w:type="dxa"/>
            <w:tcBorders>
              <w:top w:val="single" w:color="auto" w:sz="4" w:space="0"/>
              <w:left w:val="single" w:color="auto" w:sz="4" w:space="0"/>
              <w:bottom w:val="single" w:color="auto" w:sz="4" w:space="0"/>
            </w:tcBorders>
            <w:shd w:val="clear" w:color="000000" w:fill="FFFFFF"/>
            <w:noWrap w:val="0"/>
            <w:vAlign w:val="center"/>
          </w:tcPr>
          <w:p w14:paraId="33D3EE91">
            <w:pPr>
              <w:spacing w:line="36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5815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787" w:type="dxa"/>
            <w:tcBorders>
              <w:top w:val="single" w:color="auto" w:sz="4" w:space="0"/>
              <w:left w:val="single" w:color="auto" w:sz="4" w:space="0"/>
              <w:bottom w:val="single" w:color="auto" w:sz="4" w:space="0"/>
            </w:tcBorders>
            <w:shd w:val="clear" w:color="000000" w:fill="FFFFFF"/>
            <w:noWrap w:val="0"/>
            <w:vAlign w:val="center"/>
          </w:tcPr>
          <w:p w14:paraId="4CFF7DAA">
            <w:pPr>
              <w:spacing w:line="400" w:lineRule="exact"/>
              <w:jc w:val="left"/>
              <w:rPr>
                <w:rFonts w:hint="eastAsia" w:ascii="仿宋" w:hAnsi="仿宋" w:eastAsia="仿宋" w:cs="仿宋"/>
                <w:color w:val="000000" w:themeColor="text1"/>
                <w:sz w:val="21"/>
                <w:szCs w:val="21"/>
                <w:highlight w:val="none"/>
                <w14:textFill>
                  <w14:solidFill>
                    <w14:schemeClr w14:val="tx1"/>
                  </w14:solidFill>
                </w14:textFill>
              </w:rPr>
            </w:pPr>
          </w:p>
        </w:tc>
        <w:tc>
          <w:tcPr>
            <w:tcW w:w="7869" w:type="dxa"/>
            <w:gridSpan w:val="8"/>
            <w:tcBorders>
              <w:top w:val="single" w:color="auto" w:sz="4" w:space="0"/>
              <w:left w:val="single" w:color="auto" w:sz="4" w:space="0"/>
              <w:bottom w:val="single" w:color="auto" w:sz="4" w:space="0"/>
            </w:tcBorders>
            <w:shd w:val="clear" w:color="000000" w:fill="FFFFFF"/>
            <w:noWrap w:val="0"/>
            <w:vAlign w:val="center"/>
          </w:tcPr>
          <w:p w14:paraId="50D86EA3">
            <w:pPr>
              <w:spacing w:line="400" w:lineRule="exact"/>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备注：耗材价格不包含在总报价里，此价格为最高限价</w:t>
            </w:r>
          </w:p>
        </w:tc>
      </w:tr>
    </w:tbl>
    <w:p w14:paraId="64D102B6">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二、合同总价</w:t>
      </w:r>
    </w:p>
    <w:p w14:paraId="5F7D5AF9">
      <w:pPr>
        <w:pStyle w:val="5"/>
        <w:keepNext w:val="0"/>
        <w:keepLines w:val="0"/>
        <w:pageBreakBefore w:val="0"/>
        <w:widowControl w:val="0"/>
        <w:kinsoku/>
        <w:wordWrap/>
        <w:overflowPunct/>
        <w:topLinePunct w:val="0"/>
        <w:bidi w:val="0"/>
        <w:snapToGrid/>
        <w:spacing w:before="0" w:after="0" w:line="360" w:lineRule="auto"/>
        <w:ind w:firstLine="444"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合同总价为人民币大写：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，即RMB¥</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元；该合同总价已包括货物生产、包装、运输、安装、调试、检测、培训、验收合格交付使用之前及保修期内保修服务与备用物件等所有其它有关各项的含税费用。本合同执行期间合同总价不变，甲方无须另向乙方支付本合同规定之外的其他任何费用。</w:t>
      </w:r>
    </w:p>
    <w:p w14:paraId="67183567">
      <w:pPr>
        <w:pStyle w:val="5"/>
        <w:keepNext w:val="0"/>
        <w:keepLines w:val="0"/>
        <w:pageBreakBefore w:val="0"/>
        <w:widowControl w:val="0"/>
        <w:numPr>
          <w:ilvl w:val="0"/>
          <w:numId w:val="1"/>
        </w:numPr>
        <w:kinsoku/>
        <w:wordWrap/>
        <w:overflowPunct/>
        <w:topLinePunct w:val="0"/>
        <w:bidi w:val="0"/>
        <w:snapToGrid/>
        <w:spacing w:before="0" w:after="0" w:line="360" w:lineRule="auto"/>
        <w:ind w:firstLine="446"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交货地点：西安市第一医院（甲方指定地点）</w:t>
      </w:r>
    </w:p>
    <w:p w14:paraId="0A0F8A4F">
      <w:pPr>
        <w:pStyle w:val="5"/>
        <w:keepNext w:val="0"/>
        <w:keepLines w:val="0"/>
        <w:pageBreakBefore w:val="0"/>
        <w:widowControl w:val="0"/>
        <w:kinsoku/>
        <w:wordWrap/>
        <w:overflowPunct/>
        <w:topLinePunct w:val="0"/>
        <w:bidi w:val="0"/>
        <w:snapToGrid/>
        <w:spacing w:before="0" w:after="0" w:line="360" w:lineRule="auto"/>
        <w:ind w:firstLine="444" w:firstLineChars="200"/>
        <w:jc w:val="both"/>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注意：包装箱及拆箱、安装和调试产生的垃圾请带出院外自行处理。</w:t>
      </w:r>
    </w:p>
    <w:p w14:paraId="37713BA4">
      <w:pPr>
        <w:pStyle w:val="5"/>
        <w:keepNext w:val="0"/>
        <w:keepLines w:val="0"/>
        <w:pageBreakBefore w:val="0"/>
        <w:widowControl w:val="0"/>
        <w:kinsoku/>
        <w:wordWrap/>
        <w:overflowPunct/>
        <w:topLinePunct w:val="0"/>
        <w:bidi w:val="0"/>
        <w:snapToGrid/>
        <w:spacing w:before="0" w:after="0" w:line="360" w:lineRule="auto"/>
        <w:ind w:firstLine="446"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四、质量要求</w:t>
      </w:r>
    </w:p>
    <w:p w14:paraId="1417DBCE">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1、乙方须提供全新的货物（含零部件、配件等），表面无划伤、无碰撞痕迹，且权属清楚，不得侵害他人的知识产权。</w:t>
      </w:r>
    </w:p>
    <w:p w14:paraId="38388AF7">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2、货物必须符合或优于国家（行业）标准，以及本项目招标文件的质量要求和技术指标与出厂标准。</w:t>
      </w:r>
    </w:p>
    <w:p w14:paraId="74D73A2F">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3、货物质量出现问题，乙方应在三日内负责包换或包退，产生的费用由乙方负担，甲方有权监督质询乙方提供的货物质量和生产、运输进度。</w:t>
      </w:r>
    </w:p>
    <w:p w14:paraId="4263654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4、货到现场后由于甲方保管不当影响货物质量或被损坏，乙方应负责维修或更换被损坏的部件，因此产生的费用由甲方负担。</w:t>
      </w:r>
    </w:p>
    <w:p w14:paraId="3891AB65">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5、因乙方所供设备质量问题引发的一切纠纷及损失由乙方承担责任，给甲方造成损失的乙方应当承担赔偿责任。</w:t>
      </w:r>
    </w:p>
    <w:p w14:paraId="691252A3">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五、交货及验收</w:t>
      </w:r>
    </w:p>
    <w:p w14:paraId="7C2BDC07">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交货期限为合同签订生效后的XX日内，在合同签订生效之日起XX天内交货到甲方指定地点，乙方应在3日内全部完成安装调试并经验收合格交付使用，由于甲方的原因造成合同延迟签订或验收的，时间顺延。交货验收时乙方须提供产品质检部门从同类产品中抽样检查合格的检测报告，进口产品需提供甲方购买货物的相同批次报关文件。</w:t>
      </w:r>
    </w:p>
    <w:p w14:paraId="443B5056">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2、验收由甲方组织，乙方配合进行</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40B3A27E">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3、验收标准：</w:t>
      </w:r>
    </w:p>
    <w:p w14:paraId="5A805F9A">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3.1、货物到达采购人指定地点后，由供应商和采购人约定时间根据合同要求进行清点验收，确认产地品牌、规格型号和数量等。</w:t>
      </w:r>
    </w:p>
    <w:p w14:paraId="3BAF1CD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3.2、设备安装、调试、自检正常，且可正常使用后，由供应商书面向采购人申请正式验收。</w:t>
      </w:r>
    </w:p>
    <w:p w14:paraId="37106B8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3.3、供应商按照采购人的验收管理制度和流程准备好验收资料后，按约定时间进行设备运行（正式）验收。设备验收合格后，验收人员在设备验收单上签字作为对货物的最终认可。</w:t>
      </w:r>
    </w:p>
    <w:p w14:paraId="617FF054">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3.4、供应商须向采购人提交货物实施过程中的所有资料，以便日后管理和维护。</w:t>
      </w:r>
    </w:p>
    <w:p w14:paraId="5FF5ED74">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4.验收依据：</w:t>
      </w:r>
    </w:p>
    <w:p w14:paraId="07DFF205">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4.1、本合同及附件文本；</w:t>
      </w:r>
    </w:p>
    <w:p w14:paraId="759231FD">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4.2、国家相应的标准、规范；</w:t>
      </w:r>
    </w:p>
    <w:p w14:paraId="75535F58">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4.3、谈判文件、响应文件、澄清表（函）。</w:t>
      </w:r>
    </w:p>
    <w:p w14:paraId="4939E2F4">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4.4、易损配件、备件报价单。</w:t>
      </w:r>
    </w:p>
    <w:p w14:paraId="356C1DAE">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4.5、提供原厂质保文件。</w:t>
      </w:r>
    </w:p>
    <w:p w14:paraId="5A6BE1F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4.6、其它。</w:t>
      </w:r>
    </w:p>
    <w:p w14:paraId="7BD9F542">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、货物安装完成后3日内，甲方无故不进行验收工作并已使用货物的，视同已安装调试完成并初步验收合格。</w:t>
      </w:r>
    </w:p>
    <w:p w14:paraId="162AF53F">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乙方应将所提供货物的装箱清单、配件、随机工具、用户使用手册、原厂保修卡等资料在交货的同时交付给甲方；乙方不能完整交付货物及本款规定的单证或工具等约定的资料的，必须负责补齐，否则视为未按合同约定交货。</w:t>
      </w:r>
    </w:p>
    <w:p w14:paraId="4CC0BCA7">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、如货物质量有问题，经甲方同意乙方2次维修仍不能达到合同约定的质量标准，甲方有权退货，并视作乙方不能交付货物而须支付违约赔偿金给甲方，甲方还可依法追究乙方的违约责任。 </w:t>
      </w:r>
    </w:p>
    <w:p w14:paraId="29369A3D">
      <w:pPr>
        <w:keepNext w:val="0"/>
        <w:keepLines w:val="0"/>
        <w:pageBreakBefore w:val="0"/>
        <w:widowControl w:val="0"/>
        <w:kinsoku/>
        <w:wordWrap/>
        <w:overflowPunct/>
        <w:topLinePunct w:val="0"/>
        <w:bidi w:val="0"/>
        <w:snapToGrid/>
        <w:spacing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六、培训和保养</w:t>
      </w:r>
    </w:p>
    <w:p w14:paraId="3B33A998">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乙方以多种方式负责向甲方培训设备的使用操作和维护保养工作，直到熟练掌握为止。甲方负责考核培训结果以决定是否需要再培训。乙方接到甲方培训通知后3日内安排再培训。</w:t>
      </w:r>
    </w:p>
    <w:p w14:paraId="0A2C7329">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 xml:space="preserve">七、付款方式     </w:t>
      </w:r>
    </w:p>
    <w:p w14:paraId="25101108">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1.验收合格并经15天试用期满,符合合同约定的质量标准要求，经产品最终验收合格后，一个月内全额支付合同总金额人民币（大写）：</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xxx</w:t>
      </w:r>
      <w:r>
        <w:rPr>
          <w:rFonts w:hint="eastAsia" w:ascii="仿宋" w:hAnsi="仿宋" w:eastAsia="仿宋" w:cs="仿宋"/>
          <w:color w:val="000000" w:themeColor="text1"/>
          <w:sz w:val="21"/>
          <w:szCs w:val="21"/>
          <w:highlight w:val="none"/>
          <w:u w:val="single"/>
          <w14:textFill>
            <w14:solidFill>
              <w14:schemeClr w14:val="tx1"/>
            </w14:solidFill>
          </w14:textFill>
        </w:rPr>
        <w:t>元整（¥***.00）</w:t>
      </w:r>
      <w:r>
        <w:rPr>
          <w:rFonts w:hint="eastAsia" w:ascii="仿宋" w:hAnsi="仿宋" w:eastAsia="仿宋" w:cs="仿宋"/>
          <w:color w:val="000000" w:themeColor="text1"/>
          <w:sz w:val="21"/>
          <w:szCs w:val="21"/>
          <w:highlight w:val="none"/>
          <w14:textFill>
            <w14:solidFill>
              <w14:schemeClr w14:val="tx1"/>
            </w14:solidFill>
          </w14:textFill>
        </w:rPr>
        <w:t>.</w:t>
      </w:r>
    </w:p>
    <w:p w14:paraId="59D5C048">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、乙方应当在甲方付款前向甲方出具正式增值税普通发票。乙方未按照约定提供发票的，甲方有权拒付相关款项，由此造成的损失由乙方负责。</w:t>
      </w:r>
    </w:p>
    <w:p w14:paraId="65C4AD87">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lang w:val="en-US" w:eastAsia="zh-CN"/>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八、履约保证金的收取及退还</w:t>
      </w:r>
    </w:p>
    <w:p w14:paraId="1E1BE10B">
      <w:pPr>
        <w:spacing w:line="360" w:lineRule="auto"/>
        <w:ind w:firstLine="420" w:firstLineChars="200"/>
        <w:rPr>
          <w:rFonts w:hint="eastAsia" w:ascii="仿宋" w:hAnsi="仿宋" w:eastAsia="仿宋" w:cs="仿宋"/>
          <w:b/>
          <w:bCs w:val="0"/>
          <w:color w:val="000000" w:themeColor="text1"/>
          <w:kern w:val="2"/>
          <w:sz w:val="21"/>
          <w:szCs w:val="21"/>
          <w:highlight w:val="none"/>
          <w:lang w:val="en-US" w:eastAsia="zh-CN" w:bidi="ar-SA"/>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乙方应当在合同签订后3日内，向甲方支付合同总金额的5%款项，人民币（大写）：</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xxx</w:t>
      </w:r>
      <w:r>
        <w:rPr>
          <w:rFonts w:hint="eastAsia" w:ascii="仿宋" w:hAnsi="仿宋" w:eastAsia="仿宋" w:cs="仿宋"/>
          <w:color w:val="000000" w:themeColor="text1"/>
          <w:sz w:val="21"/>
          <w:szCs w:val="21"/>
          <w:highlight w:val="none"/>
          <w:u w:val="single"/>
          <w14:textFill>
            <w14:solidFill>
              <w14:schemeClr w14:val="tx1"/>
            </w14:solidFill>
          </w14:textFill>
        </w:rPr>
        <w:t>元整（¥ ***.00）</w:t>
      </w:r>
      <w:r>
        <w:rPr>
          <w:rFonts w:hint="eastAsia" w:ascii="仿宋" w:hAnsi="仿宋" w:eastAsia="仿宋" w:cs="仿宋"/>
          <w:color w:val="000000" w:themeColor="text1"/>
          <w:sz w:val="21"/>
          <w:szCs w:val="21"/>
          <w:highlight w:val="none"/>
          <w14:textFill>
            <w14:solidFill>
              <w14:schemeClr w14:val="tx1"/>
            </w14:solidFill>
          </w14:textFill>
        </w:rPr>
        <w:t>.作为履约保证金，保证期为中标（成交）之日起至项目服务期结束之日。保证期满乙方如约履行合同的，在合同服务期结束之日起30日内无息退还履约保证金。</w:t>
      </w:r>
      <w:r>
        <w:rPr>
          <w:rFonts w:hint="eastAsia" w:ascii="仿宋" w:hAnsi="仿宋" w:eastAsia="仿宋" w:cs="仿宋"/>
          <w:b/>
          <w:color w:val="000000" w:themeColor="text1"/>
          <w:sz w:val="21"/>
          <w:szCs w:val="21"/>
          <w:highlight w:val="none"/>
          <w14:textFill>
            <w14:solidFill>
              <w14:schemeClr w14:val="tx1"/>
            </w14:solidFill>
          </w14:textFill>
        </w:rPr>
        <w:t>计划支付日期约为</w:t>
      </w:r>
      <w:r>
        <w:rPr>
          <w:rFonts w:hint="eastAsia" w:ascii="仿宋" w:hAnsi="仿宋" w:eastAsia="仿宋" w:cs="仿宋"/>
          <w:b/>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1"/>
          <w:szCs w:val="21"/>
          <w:highlight w:val="none"/>
          <w14:textFill>
            <w14:solidFill>
              <w14:schemeClr w14:val="tx1"/>
            </w14:solidFill>
          </w14:textFill>
        </w:rPr>
        <w:t>年  月  日（可视具体情况向后顺延）。</w:t>
      </w:r>
    </w:p>
    <w:p w14:paraId="7FE699D7">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eastAsia="zh-CN"/>
          <w14:textFill>
            <w14:solidFill>
              <w14:schemeClr w14:val="tx1"/>
            </w14:solidFill>
          </w14:textFill>
        </w:rPr>
        <w:t>九</w:t>
      </w:r>
      <w:r>
        <w:rPr>
          <w:rFonts w:hint="eastAsia" w:ascii="仿宋" w:hAnsi="仿宋" w:eastAsia="仿宋" w:cs="仿宋"/>
          <w:b/>
          <w:color w:val="000000" w:themeColor="text1"/>
          <w:sz w:val="21"/>
          <w:szCs w:val="21"/>
          <w:highlight w:val="none"/>
          <w14:textFill>
            <w14:solidFill>
              <w14:schemeClr w14:val="tx1"/>
            </w14:solidFill>
          </w14:textFill>
        </w:rPr>
        <w:t>、售后服务</w:t>
      </w:r>
    </w:p>
    <w:p w14:paraId="754C8212">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依据投标文件的响应，设备质保期为验收合格后3年（出具厂家提供的三年质保证明和维保内容，保修期外维修免工时费），质保期内出现质量问题，乙方在接到甲方通知后2小时内响应，8小时内到达现场明确解决方案，48小时无法排除故障者需提供备用机，并承担修理调换的费用；质保期第一年内货物经乙方</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次维修仍达不到合同约定的质量标准时，视作乙方货物质量不符合合同约定，甲方有权退货并追究乙方违约责任。货到现场后由于甲方保管不当造成的问题，乙方亦应负责修复，但费用由甲方负担。</w:t>
      </w:r>
    </w:p>
    <w:p w14:paraId="66D69D63">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2、乙方应依据货物《</w:t>
      </w:r>
      <w:r>
        <w:rPr>
          <w:rFonts w:hint="eastAsia" w:ascii="仿宋" w:hAnsi="仿宋" w:eastAsia="仿宋" w:cs="仿宋"/>
          <w:color w:val="000000" w:themeColor="text1"/>
          <w:sz w:val="21"/>
          <w:szCs w:val="21"/>
          <w:highlight w:val="none"/>
          <w:lang w:val="en-US" w:eastAsia="zh-CN"/>
          <w14:textFill>
            <w14:solidFill>
              <w14:schemeClr w14:val="tx1"/>
            </w14:solidFill>
          </w14:textFill>
        </w:rPr>
        <w:t>谈判</w:t>
      </w:r>
      <w:r>
        <w:rPr>
          <w:rFonts w:hint="eastAsia" w:ascii="仿宋" w:hAnsi="仿宋" w:eastAsia="仿宋" w:cs="仿宋"/>
          <w:color w:val="000000" w:themeColor="text1"/>
          <w:sz w:val="21"/>
          <w:szCs w:val="21"/>
          <w:highlight w:val="none"/>
          <w14:textFill>
            <w14:solidFill>
              <w14:schemeClr w14:val="tx1"/>
            </w14:solidFill>
          </w14:textFill>
        </w:rPr>
        <w:t>文件》的《商务要求》中技术保障和服务保障，执行乙方《</w:t>
      </w:r>
      <w:r>
        <w:rPr>
          <w:rFonts w:hint="eastAsia" w:ascii="仿宋" w:hAnsi="仿宋" w:eastAsia="仿宋" w:cs="仿宋"/>
          <w:color w:val="000000" w:themeColor="text1"/>
          <w:sz w:val="21"/>
          <w:szCs w:val="21"/>
          <w:highlight w:val="none"/>
          <w:lang w:val="en-US" w:eastAsia="zh-CN"/>
          <w14:textFill>
            <w14:solidFill>
              <w14:schemeClr w14:val="tx1"/>
            </w14:solidFill>
          </w14:textFill>
        </w:rPr>
        <w:t>响应</w:t>
      </w:r>
      <w:r>
        <w:rPr>
          <w:rFonts w:hint="eastAsia" w:ascii="仿宋" w:hAnsi="仿宋" w:eastAsia="仿宋" w:cs="仿宋"/>
          <w:color w:val="000000" w:themeColor="text1"/>
          <w:sz w:val="21"/>
          <w:szCs w:val="21"/>
          <w:highlight w:val="none"/>
          <w14:textFill>
            <w14:solidFill>
              <w14:schemeClr w14:val="tx1"/>
            </w14:solidFill>
          </w14:textFill>
        </w:rPr>
        <w:t>文件》的“响应”内容；</w:t>
      </w:r>
    </w:p>
    <w:p w14:paraId="2CCAA25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3、乙方须指派专人负责与甲方联系售后服务事宜。 </w:t>
      </w:r>
    </w:p>
    <w:p w14:paraId="49C13ED9">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甲方联系人及电话：</w:t>
      </w:r>
    </w:p>
    <w:p w14:paraId="099668AB">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乙方法人及负责人姓名及联系电话：</w:t>
      </w:r>
    </w:p>
    <w:p w14:paraId="097B976C">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  人：</w:t>
      </w:r>
    </w:p>
    <w:p w14:paraId="257DBBBA">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负责人： </w:t>
      </w:r>
    </w:p>
    <w:p w14:paraId="5086B305">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eastAsia="zh-CN"/>
          <w14:textFill>
            <w14:solidFill>
              <w14:schemeClr w14:val="tx1"/>
            </w14:solidFill>
          </w14:textFill>
        </w:rPr>
        <w:t>十</w:t>
      </w:r>
      <w:r>
        <w:rPr>
          <w:rFonts w:hint="eastAsia" w:ascii="仿宋" w:hAnsi="仿宋" w:eastAsia="仿宋" w:cs="仿宋"/>
          <w:b/>
          <w:color w:val="000000" w:themeColor="text1"/>
          <w:sz w:val="21"/>
          <w:szCs w:val="21"/>
          <w:highlight w:val="none"/>
          <w14:textFill>
            <w14:solidFill>
              <w14:schemeClr w14:val="tx1"/>
            </w14:solidFill>
          </w14:textFill>
        </w:rPr>
        <w:t>、违约责任</w:t>
      </w:r>
    </w:p>
    <w:p w14:paraId="6ACD87EB">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605E609E">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（1）甲方无正当理由拒收货物的，甲方应偿付合同总价百分之</w:t>
      </w:r>
      <w:r>
        <w:rPr>
          <w:rFonts w:hint="eastAsia" w:ascii="仿宋" w:hAnsi="仿宋" w:eastAsia="仿宋" w:cs="仿宋"/>
          <w:b/>
          <w:color w:val="000000" w:themeColor="text1"/>
          <w:sz w:val="21"/>
          <w:szCs w:val="21"/>
          <w:highlight w:val="none"/>
          <w14:textFill>
            <w14:solidFill>
              <w14:schemeClr w14:val="tx1"/>
            </w14:solidFill>
          </w14:textFill>
        </w:rPr>
        <w:t>五</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7AB5C881">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甲方逾期支付货款的，除应及时付足货款外，应按照银行同期贷款利率承担利息。</w:t>
      </w:r>
    </w:p>
    <w:p w14:paraId="65B0C26A">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5981406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（1）乙方交付的货物质量不符合合同规定的，乙方应向甲方支付合同总价百分之</w:t>
      </w:r>
      <w:r>
        <w:rPr>
          <w:rFonts w:hint="eastAsia" w:ascii="仿宋" w:hAnsi="仿宋" w:eastAsia="仿宋" w:cs="仿宋"/>
          <w:b/>
          <w:color w:val="000000" w:themeColor="text1"/>
          <w:sz w:val="21"/>
          <w:szCs w:val="21"/>
          <w:highlight w:val="none"/>
          <w14:textFill>
            <w14:solidFill>
              <w14:schemeClr w14:val="tx1"/>
            </w14:solidFill>
          </w14:textFill>
        </w:rPr>
        <w:t>五</w:t>
      </w:r>
      <w:r>
        <w:rPr>
          <w:rFonts w:hint="eastAsia" w:ascii="仿宋" w:hAnsi="仿宋" w:eastAsia="仿宋" w:cs="仿宋"/>
          <w:color w:val="000000" w:themeColor="text1"/>
          <w:sz w:val="21"/>
          <w:szCs w:val="21"/>
          <w:highlight w:val="none"/>
          <w14:textFill>
            <w14:solidFill>
              <w14:schemeClr w14:val="tx1"/>
            </w14:solidFill>
          </w14:textFill>
        </w:rPr>
        <w:t>的违约金，并须在合同规定的交货时间内更换合格的货物给甲方，否则，视作乙方不能交付货物而违约，按本条本款下述第“（2）”项规定由乙方偿付违约赔偿金给甲方。</w:t>
      </w:r>
    </w:p>
    <w:p w14:paraId="7BDE236C">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（2）乙方不能交付货物或逾期交付货物而违约的，除应及时交足货物外，还应向甲方偿付逾期交货部分货款总额万分之</w:t>
      </w:r>
      <w:r>
        <w:rPr>
          <w:rFonts w:hint="eastAsia" w:ascii="仿宋" w:hAnsi="仿宋" w:eastAsia="仿宋" w:cs="仿宋"/>
          <w:b/>
          <w:color w:val="000000" w:themeColor="text1"/>
          <w:sz w:val="21"/>
          <w:szCs w:val="21"/>
          <w:highlight w:val="none"/>
          <w14:textFill>
            <w14:solidFill>
              <w14:schemeClr w14:val="tx1"/>
            </w14:solidFill>
          </w14:textFill>
        </w:rPr>
        <w:t>五</w:t>
      </w:r>
      <w:r>
        <w:rPr>
          <w:rFonts w:hint="eastAsia" w:ascii="仿宋" w:hAnsi="仿宋" w:eastAsia="仿宋" w:cs="仿宋"/>
          <w:color w:val="000000" w:themeColor="text1"/>
          <w:sz w:val="21"/>
          <w:szCs w:val="21"/>
          <w:highlight w:val="none"/>
          <w14:textFill>
            <w14:solidFill>
              <w14:schemeClr w14:val="tx1"/>
            </w14:solidFill>
          </w14:textFill>
        </w:rPr>
        <w:t>/天的违约金；逾期交货超过</w:t>
      </w:r>
      <w:r>
        <w:rPr>
          <w:rFonts w:hint="eastAsia" w:ascii="仿宋" w:hAnsi="仿宋" w:eastAsia="仿宋" w:cs="仿宋"/>
          <w:b/>
          <w:color w:val="000000" w:themeColor="text1"/>
          <w:sz w:val="21"/>
          <w:szCs w:val="21"/>
          <w:highlight w:val="none"/>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天，甲方有权终止合同，乙方则应按合同总价百分之</w:t>
      </w:r>
      <w:r>
        <w:rPr>
          <w:rFonts w:hint="eastAsia" w:ascii="仿宋" w:hAnsi="仿宋" w:eastAsia="仿宋" w:cs="仿宋"/>
          <w:b/>
          <w:color w:val="000000" w:themeColor="text1"/>
          <w:sz w:val="21"/>
          <w:szCs w:val="21"/>
          <w:highlight w:val="none"/>
          <w14:textFill>
            <w14:solidFill>
              <w14:schemeClr w14:val="tx1"/>
            </w14:solidFill>
          </w14:textFill>
        </w:rPr>
        <w:t>五</w:t>
      </w:r>
      <w:r>
        <w:rPr>
          <w:rFonts w:hint="eastAsia" w:ascii="仿宋" w:hAnsi="仿宋" w:eastAsia="仿宋" w:cs="仿宋"/>
          <w:color w:val="000000" w:themeColor="text1"/>
          <w:sz w:val="21"/>
          <w:szCs w:val="21"/>
          <w:highlight w:val="none"/>
          <w14:textFill>
            <w14:solidFill>
              <w14:schemeClr w14:val="tx1"/>
            </w14:solidFill>
          </w14:textFill>
        </w:rPr>
        <w:t>的款额向甲方偿付赔偿金，并须在三日内全额退还甲方已经付给乙方的货款及其利息，同时甲方有权将乙方违约事宜上报至财政监督管理部门备案。</w:t>
      </w:r>
    </w:p>
    <w:p w14:paraId="40A78A15">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b/>
          <w:color w:val="000000" w:themeColor="text1"/>
          <w:sz w:val="21"/>
          <w:szCs w:val="21"/>
          <w:highlight w:val="none"/>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天内无条件更换合格的货物，如逾期不能更换合格的货物，甲方有权终止本合同，乙方应另付合同总价的百分之</w:t>
      </w:r>
      <w:r>
        <w:rPr>
          <w:rFonts w:hint="eastAsia" w:ascii="仿宋" w:hAnsi="仿宋" w:eastAsia="仿宋" w:cs="仿宋"/>
          <w:b/>
          <w:color w:val="000000" w:themeColor="text1"/>
          <w:sz w:val="21"/>
          <w:szCs w:val="21"/>
          <w:highlight w:val="none"/>
          <w14:textFill>
            <w14:solidFill>
              <w14:schemeClr w14:val="tx1"/>
            </w14:solidFill>
          </w14:textFill>
        </w:rPr>
        <w:t>一</w:t>
      </w:r>
      <w:r>
        <w:rPr>
          <w:rFonts w:hint="eastAsia" w:ascii="仿宋" w:hAnsi="仿宋" w:eastAsia="仿宋" w:cs="仿宋"/>
          <w:color w:val="000000" w:themeColor="text1"/>
          <w:sz w:val="21"/>
          <w:szCs w:val="21"/>
          <w:highlight w:val="none"/>
          <w14:textFill>
            <w14:solidFill>
              <w14:schemeClr w14:val="tx1"/>
            </w14:solidFill>
          </w14:textFill>
        </w:rPr>
        <w:t>的赔偿金给甲方。</w:t>
      </w:r>
    </w:p>
    <w:p w14:paraId="69F47DAF">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保证甲方在本合同中货物的权利，包括货物所有权及知识产权等权利。如任何第三方经法院（或仲裁机构）裁决有权对上述货物主张权利或国家机关依法对货物进行没收查处的，乙方除应向甲方返还已收款项外，还应另按合同总价的百分之</w:t>
      </w:r>
      <w:r>
        <w:rPr>
          <w:rFonts w:hint="eastAsia" w:ascii="仿宋" w:hAnsi="仿宋" w:eastAsia="仿宋" w:cs="仿宋"/>
          <w:b/>
          <w:color w:val="000000" w:themeColor="text1"/>
          <w:sz w:val="21"/>
          <w:szCs w:val="21"/>
          <w:highlight w:val="none"/>
          <w14:textFill>
            <w14:solidFill>
              <w14:schemeClr w14:val="tx1"/>
            </w14:solidFill>
          </w14:textFill>
        </w:rPr>
        <w:t>一</w:t>
      </w:r>
      <w:r>
        <w:rPr>
          <w:rFonts w:hint="eastAsia" w:ascii="仿宋" w:hAnsi="仿宋" w:eastAsia="仿宋" w:cs="仿宋"/>
          <w:color w:val="000000" w:themeColor="text1"/>
          <w:sz w:val="21"/>
          <w:szCs w:val="21"/>
          <w:highlight w:val="none"/>
          <w14:textFill>
            <w14:solidFill>
              <w14:schemeClr w14:val="tx1"/>
            </w14:solidFill>
          </w14:textFill>
        </w:rPr>
        <w:t>向甲方支付违约金并赔偿因此给甲方造成的一切损失。</w:t>
      </w:r>
    </w:p>
    <w:p w14:paraId="0E5347E8">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（5）乙方在不能按照本合同第九条的约定时间提供售后服务，每逾期一次，按照合同总价款的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1%  </w:t>
      </w:r>
      <w:r>
        <w:rPr>
          <w:rFonts w:hint="eastAsia" w:ascii="仿宋" w:hAnsi="仿宋" w:eastAsia="仿宋" w:cs="仿宋"/>
          <w:color w:val="000000" w:themeColor="text1"/>
          <w:sz w:val="21"/>
          <w:szCs w:val="21"/>
          <w:highlight w:val="none"/>
          <w14:textFill>
            <w14:solidFill>
              <w14:schemeClr w14:val="tx1"/>
            </w14:solidFill>
          </w14:textFill>
        </w:rPr>
        <w:t>向甲方支付违约金。</w:t>
      </w:r>
    </w:p>
    <w:p w14:paraId="7408E006">
      <w:pPr>
        <w:keepNext w:val="0"/>
        <w:keepLines w:val="0"/>
        <w:pageBreakBefore w:val="0"/>
        <w:widowControl w:val="0"/>
        <w:kinsoku/>
        <w:wordWrap/>
        <w:overflowPunct/>
        <w:topLinePunct w:val="0"/>
        <w:bidi w:val="0"/>
        <w:snapToGrid/>
        <w:spacing w:before="0" w:after="0"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十</w:t>
      </w:r>
      <w:r>
        <w:rPr>
          <w:rFonts w:hint="eastAsia" w:ascii="仿宋" w:hAnsi="仿宋" w:eastAsia="仿宋" w:cs="仿宋"/>
          <w:b/>
          <w:color w:val="000000" w:themeColor="text1"/>
          <w:sz w:val="21"/>
          <w:szCs w:val="21"/>
          <w:highlight w:val="none"/>
          <w:lang w:eastAsia="zh-CN"/>
          <w14:textFill>
            <w14:solidFill>
              <w14:schemeClr w14:val="tx1"/>
            </w14:solidFill>
          </w14:textFill>
        </w:rPr>
        <w:t>一</w:t>
      </w:r>
      <w:r>
        <w:rPr>
          <w:rFonts w:hint="eastAsia" w:ascii="仿宋" w:hAnsi="仿宋" w:eastAsia="仿宋" w:cs="仿宋"/>
          <w:b/>
          <w:color w:val="000000" w:themeColor="text1"/>
          <w:sz w:val="21"/>
          <w:szCs w:val="21"/>
          <w:highlight w:val="none"/>
          <w14:textFill>
            <w14:solidFill>
              <w14:schemeClr w14:val="tx1"/>
            </w14:solidFill>
          </w14:textFill>
        </w:rPr>
        <w:t>、争议解决办法</w:t>
      </w:r>
    </w:p>
    <w:p w14:paraId="4DF0714F">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1、因货物的质量问题发生争议，可委托质量技术监督部门或其指定的质量鉴定机构进行质量鉴定。货物符合</w:t>
      </w:r>
      <w:r>
        <w:rPr>
          <w:rFonts w:hint="eastAsia" w:ascii="仿宋" w:hAnsi="仿宋" w:eastAsia="仿宋" w:cs="仿宋"/>
          <w:color w:val="000000" w:themeColor="text1"/>
          <w:sz w:val="21"/>
          <w:szCs w:val="21"/>
          <w:highlight w:val="none"/>
          <w:lang w:val="en-US" w:eastAsia="zh-CN"/>
          <w14:textFill>
            <w14:solidFill>
              <w14:schemeClr w14:val="tx1"/>
            </w14:solidFill>
          </w14:textFill>
        </w:rPr>
        <w:t>质量</w:t>
      </w:r>
      <w:r>
        <w:rPr>
          <w:rFonts w:hint="eastAsia" w:ascii="仿宋" w:hAnsi="仿宋" w:eastAsia="仿宋" w:cs="仿宋"/>
          <w:color w:val="000000" w:themeColor="text1"/>
          <w:sz w:val="21"/>
          <w:szCs w:val="21"/>
          <w:highlight w:val="none"/>
          <w14:textFill>
            <w14:solidFill>
              <w14:schemeClr w14:val="tx1"/>
            </w14:solidFill>
          </w14:textFill>
        </w:rPr>
        <w:t>标准的，鉴定费由甲方承担；货物不符合质量标准的，鉴定费由乙方承担。</w:t>
      </w:r>
    </w:p>
    <w:p w14:paraId="30BA1190">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2、合同履行期间,若双方发生争议，可协商或由有关部门调解解决，协商或调解不成的，提交西安市第一医院所在地人民法院诉讼解决。</w:t>
      </w:r>
    </w:p>
    <w:p w14:paraId="506F4C3F">
      <w:pPr>
        <w:pStyle w:val="25"/>
        <w:keepNext w:val="0"/>
        <w:keepLines w:val="0"/>
        <w:pageBreakBefore w:val="0"/>
        <w:widowControl w:val="0"/>
        <w:kinsoku/>
        <w:wordWrap/>
        <w:overflowPunct/>
        <w:topLinePunct w:val="0"/>
        <w:bidi w:val="0"/>
        <w:snapToGrid/>
        <w:spacing w:line="360" w:lineRule="auto"/>
        <w:ind w:firstLine="422" w:firstLineChars="200"/>
        <w:jc w:val="both"/>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十</w:t>
      </w:r>
      <w:r>
        <w:rPr>
          <w:rFonts w:hint="eastAsia" w:ascii="仿宋" w:hAnsi="仿宋" w:eastAsia="仿宋" w:cs="仿宋"/>
          <w:b/>
          <w:color w:val="000000" w:themeColor="text1"/>
          <w:sz w:val="21"/>
          <w:szCs w:val="21"/>
          <w:highlight w:val="none"/>
          <w:lang w:eastAsia="zh-CN"/>
          <w14:textFill>
            <w14:solidFill>
              <w14:schemeClr w14:val="tx1"/>
            </w14:solidFill>
          </w14:textFill>
        </w:rPr>
        <w:t>二</w:t>
      </w:r>
      <w:r>
        <w:rPr>
          <w:rFonts w:hint="eastAsia" w:ascii="仿宋" w:hAnsi="仿宋" w:eastAsia="仿宋" w:cs="仿宋"/>
          <w:b/>
          <w:color w:val="000000" w:themeColor="text1"/>
          <w:sz w:val="21"/>
          <w:szCs w:val="21"/>
          <w:highlight w:val="none"/>
          <w14:textFill>
            <w14:solidFill>
              <w14:schemeClr w14:val="tx1"/>
            </w14:solidFill>
          </w14:textFill>
        </w:rPr>
        <w:t>、其他</w:t>
      </w:r>
    </w:p>
    <w:p w14:paraId="14A920AC">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1、如有未尽事宜，由双方依法订立补充合同，补充合同与本合同具有同等法律效力。</w:t>
      </w:r>
    </w:p>
    <w:p w14:paraId="48606EA2">
      <w:pPr>
        <w:pStyle w:val="25"/>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2、本合同一式七份，甲方五份，乙方一份，采购代理机构一份，效力相同，自双方签章盖章之日起生效。</w:t>
      </w:r>
    </w:p>
    <w:p w14:paraId="60D447E3">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3、货物交付</w:t>
      </w:r>
      <w:r>
        <w:rPr>
          <w:rFonts w:hint="eastAsia" w:ascii="仿宋" w:hAnsi="仿宋" w:eastAsia="仿宋" w:cs="仿宋"/>
          <w:color w:val="000000" w:themeColor="text1"/>
          <w:sz w:val="21"/>
          <w:szCs w:val="21"/>
          <w:highlight w:val="none"/>
          <w:lang w:val="en-US" w:eastAsia="zh-CN"/>
          <w14:textFill>
            <w14:solidFill>
              <w14:schemeClr w14:val="tx1"/>
            </w14:solidFill>
          </w14:textFill>
        </w:rPr>
        <w:t>及验收前</w:t>
      </w:r>
      <w:r>
        <w:rPr>
          <w:rFonts w:hint="eastAsia" w:ascii="仿宋" w:hAnsi="仿宋" w:eastAsia="仿宋" w:cs="仿宋"/>
          <w:color w:val="000000" w:themeColor="text1"/>
          <w:sz w:val="21"/>
          <w:szCs w:val="21"/>
          <w:highlight w:val="none"/>
          <w14:textFill>
            <w14:solidFill>
              <w14:schemeClr w14:val="tx1"/>
            </w14:solidFill>
          </w14:textFill>
        </w:rPr>
        <w:t>的风险由乙方承担。</w:t>
      </w:r>
    </w:p>
    <w:p w14:paraId="2A051AAE">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4、本合同项下地址为有效的通讯地址，一方变更应当书面通知相对方，未通知视为未变更，一方所发的文件通知等寄出或在《西安晚报》上公示即视为送达。</w:t>
      </w:r>
    </w:p>
    <w:p w14:paraId="1D69F438">
      <w:pPr>
        <w:rPr>
          <w:rFonts w:hint="eastAsia" w:ascii="仿宋" w:hAnsi="仿宋" w:eastAsia="仿宋" w:cs="仿宋"/>
          <w:color w:val="000000" w:themeColor="text1"/>
          <w:w w:val="110"/>
          <w:sz w:val="21"/>
          <w:szCs w:val="21"/>
          <w:highlight w:val="none"/>
          <w14:textFill>
            <w14:solidFill>
              <w14:schemeClr w14:val="tx1"/>
            </w14:solidFill>
          </w14:textFill>
        </w:rPr>
      </w:pPr>
      <w:r>
        <w:rPr>
          <w:rFonts w:hint="eastAsia" w:ascii="仿宋" w:hAnsi="仿宋" w:eastAsia="仿宋" w:cs="仿宋"/>
          <w:color w:val="000000" w:themeColor="text1"/>
          <w:w w:val="110"/>
          <w:sz w:val="21"/>
          <w:szCs w:val="21"/>
          <w:highlight w:val="none"/>
          <w14:textFill>
            <w14:solidFill>
              <w14:schemeClr w14:val="tx1"/>
            </w14:solidFill>
          </w14:textFill>
        </w:rPr>
        <w:br w:type="page"/>
      </w:r>
    </w:p>
    <w:p w14:paraId="60F9144D">
      <w:pPr>
        <w:keepNext w:val="0"/>
        <w:keepLines w:val="0"/>
        <w:pageBreakBefore w:val="0"/>
        <w:widowControl w:val="0"/>
        <w:kinsoku/>
        <w:wordWrap/>
        <w:overflowPunct/>
        <w:topLinePunct w:val="0"/>
        <w:autoSpaceDE w:val="0"/>
        <w:autoSpaceDN w:val="0"/>
        <w:bidi w:val="0"/>
        <w:adjustRightInd w:val="0"/>
        <w:snapToGrid/>
        <w:spacing w:line="360" w:lineRule="auto"/>
        <w:ind w:firstLine="462" w:firstLineChars="200"/>
        <w:jc w:val="both"/>
        <w:textAlignment w:val="auto"/>
        <w:rPr>
          <w:rFonts w:hint="eastAsia" w:ascii="仿宋" w:hAnsi="仿宋" w:eastAsia="仿宋" w:cs="仿宋"/>
          <w:color w:val="000000" w:themeColor="text1"/>
          <w:w w:val="110"/>
          <w:sz w:val="21"/>
          <w:szCs w:val="21"/>
          <w:highlight w:val="none"/>
          <w14:textFill>
            <w14:solidFill>
              <w14:schemeClr w14:val="tx1"/>
            </w14:solidFill>
          </w14:textFill>
        </w:rPr>
      </w:pPr>
      <w:r>
        <w:rPr>
          <w:rFonts w:hint="eastAsia" w:ascii="仿宋" w:hAnsi="仿宋" w:eastAsia="仿宋" w:cs="仿宋"/>
          <w:color w:val="000000" w:themeColor="text1"/>
          <w:w w:val="110"/>
          <w:sz w:val="21"/>
          <w:szCs w:val="21"/>
          <w:highlight w:val="none"/>
          <w14:textFill>
            <w14:solidFill>
              <w14:schemeClr w14:val="tx1"/>
            </w14:solidFill>
          </w14:textFill>
        </w:rPr>
        <w:t>（以下无正文）</w:t>
      </w:r>
    </w:p>
    <w:p w14:paraId="3A70B415">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甲方：</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西安市第一医院（盖章）         </w:t>
      </w:r>
      <w:r>
        <w:rPr>
          <w:rFonts w:hint="eastAsia" w:ascii="仿宋" w:hAnsi="仿宋" w:eastAsia="仿宋" w:cs="仿宋"/>
          <w:b/>
          <w:bCs/>
          <w:color w:val="000000" w:themeColor="text1"/>
          <w:sz w:val="21"/>
          <w:szCs w:val="21"/>
          <w:highlight w:val="none"/>
          <w:lang w:bidi="en-US"/>
          <w14:textFill>
            <w14:solidFill>
              <w14:schemeClr w14:val="tx1"/>
            </w14:solidFill>
          </w14:textFill>
        </w:rPr>
        <w:t xml:space="preserve">乙方：            </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（盖章）</w:t>
      </w:r>
    </w:p>
    <w:p w14:paraId="4017D73C">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开户行：</w:t>
      </w:r>
      <w:r>
        <w:rPr>
          <w:rFonts w:hint="eastAsia" w:ascii="仿宋" w:hAnsi="仿宋" w:eastAsia="仿宋" w:cs="仿宋"/>
          <w:color w:val="000000" w:themeColor="text1"/>
          <w:sz w:val="21"/>
          <w:szCs w:val="21"/>
          <w:highlight w:val="none"/>
          <w14:textFill>
            <w14:solidFill>
              <w14:schemeClr w14:val="tx1"/>
            </w14:solidFill>
          </w14:textFill>
        </w:rPr>
        <w:t>中国工商银行西安南大街支行</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w:t>
      </w:r>
      <w:r>
        <w:rPr>
          <w:rFonts w:hint="eastAsia" w:ascii="仿宋" w:hAnsi="仿宋" w:eastAsia="仿宋" w:cs="仿宋"/>
          <w:b/>
          <w:bCs/>
          <w:color w:val="000000" w:themeColor="text1"/>
          <w:sz w:val="21"/>
          <w:szCs w:val="21"/>
          <w:highlight w:val="none"/>
          <w:lang w:bidi="en-US"/>
          <w14:textFill>
            <w14:solidFill>
              <w14:schemeClr w14:val="tx1"/>
            </w14:solidFill>
          </w14:textFill>
        </w:rPr>
        <w:t>开户行：</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w:t>
      </w:r>
    </w:p>
    <w:p w14:paraId="10E63EAF">
      <w:pPr>
        <w:widowControl/>
        <w:spacing w:before="0" w:after="0" w:line="360" w:lineRule="auto"/>
        <w:ind w:firstLine="0"/>
        <w:rPr>
          <w:rFonts w:hint="eastAsia" w:ascii="仿宋" w:hAnsi="仿宋" w:eastAsia="仿宋" w:cs="仿宋"/>
          <w:b/>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账号：</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3700020409089344018           </w:t>
      </w:r>
      <w:r>
        <w:rPr>
          <w:rFonts w:hint="eastAsia" w:ascii="仿宋" w:hAnsi="仿宋" w:eastAsia="仿宋" w:cs="仿宋"/>
          <w:b/>
          <w:color w:val="000000" w:themeColor="text1"/>
          <w:sz w:val="21"/>
          <w:szCs w:val="21"/>
          <w:highlight w:val="none"/>
          <w:lang w:bidi="en-US"/>
          <w14:textFill>
            <w14:solidFill>
              <w14:schemeClr w14:val="tx1"/>
            </w14:solidFill>
          </w14:textFill>
        </w:rPr>
        <w:t xml:space="preserve"> 银行账号： </w:t>
      </w:r>
    </w:p>
    <w:p w14:paraId="7D232CC0">
      <w:pPr>
        <w:widowControl/>
        <w:spacing w:before="0" w:after="0" w:line="360" w:lineRule="auto"/>
        <w:ind w:firstLine="0"/>
        <w:rPr>
          <w:rFonts w:hint="eastAsia" w:ascii="仿宋" w:hAnsi="仿宋" w:eastAsia="仿宋" w:cs="仿宋"/>
          <w:b/>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地址：</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西安市南大街粉巷30号          </w:t>
      </w:r>
      <w:r>
        <w:rPr>
          <w:rFonts w:hint="eastAsia" w:ascii="仿宋" w:hAnsi="仿宋" w:eastAsia="仿宋" w:cs="仿宋"/>
          <w:b/>
          <w:bCs/>
          <w:color w:val="000000" w:themeColor="text1"/>
          <w:sz w:val="21"/>
          <w:szCs w:val="21"/>
          <w:highlight w:val="none"/>
          <w:lang w:bidi="en-US"/>
          <w14:textFill>
            <w14:solidFill>
              <w14:schemeClr w14:val="tx1"/>
            </w14:solidFill>
          </w14:textFill>
        </w:rPr>
        <w:t>地址：</w:t>
      </w:r>
    </w:p>
    <w:p w14:paraId="37908E8F">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邮政编码：</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710002                     </w:t>
      </w:r>
      <w:r>
        <w:rPr>
          <w:rFonts w:hint="eastAsia" w:ascii="仿宋" w:hAnsi="仿宋" w:eastAsia="仿宋" w:cs="仿宋"/>
          <w:b/>
          <w:bCs/>
          <w:color w:val="000000" w:themeColor="text1"/>
          <w:sz w:val="21"/>
          <w:szCs w:val="21"/>
          <w:highlight w:val="none"/>
          <w:lang w:bidi="en-US"/>
          <w14:textFill>
            <w14:solidFill>
              <w14:schemeClr w14:val="tx1"/>
            </w14:solidFill>
          </w14:textFill>
        </w:rPr>
        <w:t>邮政编码：</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w:t>
      </w:r>
    </w:p>
    <w:p w14:paraId="50708D4E">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电话：</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029-87630929                   </w:t>
      </w:r>
      <w:r>
        <w:rPr>
          <w:rFonts w:hint="eastAsia" w:ascii="仿宋" w:hAnsi="仿宋" w:eastAsia="仿宋" w:cs="仿宋"/>
          <w:b/>
          <w:bCs/>
          <w:color w:val="000000" w:themeColor="text1"/>
          <w:sz w:val="21"/>
          <w:szCs w:val="21"/>
          <w:highlight w:val="none"/>
          <w:lang w:bidi="en-US"/>
          <w14:textFill>
            <w14:solidFill>
              <w14:schemeClr w14:val="tx1"/>
            </w14:solidFill>
          </w14:textFill>
        </w:rPr>
        <w:t>电话：</w:t>
      </w:r>
    </w:p>
    <w:p w14:paraId="04934A19">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color w:val="000000" w:themeColor="text1"/>
          <w:sz w:val="21"/>
          <w:szCs w:val="21"/>
          <w:highlight w:val="none"/>
          <w:lang w:bidi="en-US"/>
          <w14:textFill>
            <w14:solidFill>
              <w14:schemeClr w14:val="tx1"/>
            </w14:solidFill>
          </w14:textFill>
        </w:rPr>
        <w:t xml:space="preserve">                             </w:t>
      </w:r>
    </w:p>
    <w:p w14:paraId="10CD28EB">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法定代表人（授权代表）：</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w:t>
      </w:r>
      <w:r>
        <w:rPr>
          <w:rFonts w:hint="eastAsia" w:ascii="仿宋" w:hAnsi="仿宋" w:eastAsia="仿宋" w:cs="仿宋"/>
          <w:b/>
          <w:bCs/>
          <w:color w:val="000000" w:themeColor="text1"/>
          <w:sz w:val="21"/>
          <w:szCs w:val="21"/>
          <w:highlight w:val="none"/>
          <w:lang w:bidi="en-US"/>
          <w14:textFill>
            <w14:solidFill>
              <w14:schemeClr w14:val="tx1"/>
            </w14:solidFill>
          </w14:textFill>
        </w:rPr>
        <w:t>法定代表人（授权代表）</w:t>
      </w:r>
      <w:r>
        <w:rPr>
          <w:rFonts w:hint="eastAsia" w:ascii="仿宋" w:hAnsi="仿宋" w:eastAsia="仿宋" w:cs="仿宋"/>
          <w:color w:val="000000" w:themeColor="text1"/>
          <w:sz w:val="21"/>
          <w:szCs w:val="21"/>
          <w:highlight w:val="none"/>
          <w:lang w:bidi="en-US"/>
          <w14:textFill>
            <w14:solidFill>
              <w14:schemeClr w14:val="tx1"/>
            </w14:solidFill>
          </w14:textFill>
        </w:rPr>
        <w:t>：</w:t>
      </w:r>
    </w:p>
    <w:p w14:paraId="392EF455">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p>
    <w:p w14:paraId="725486DA">
      <w:pPr>
        <w:widowControl/>
        <w:spacing w:before="0" w:after="0" w:line="360" w:lineRule="auto"/>
        <w:ind w:firstLine="0"/>
        <w:rPr>
          <w:rFonts w:hint="eastAsia" w:ascii="仿宋" w:hAnsi="仿宋" w:eastAsia="仿宋" w:cs="仿宋"/>
          <w:color w:val="000000" w:themeColor="text1"/>
          <w:sz w:val="21"/>
          <w:szCs w:val="21"/>
          <w:highlight w:val="none"/>
          <w:lang w:bidi="en-US"/>
          <w14:textFill>
            <w14:solidFill>
              <w14:schemeClr w14:val="tx1"/>
            </w14:solidFill>
          </w14:textFill>
        </w:rPr>
      </w:pPr>
      <w:r>
        <w:rPr>
          <w:rFonts w:hint="eastAsia" w:ascii="仿宋" w:hAnsi="仿宋" w:eastAsia="仿宋" w:cs="仿宋"/>
          <w:b/>
          <w:bCs/>
          <w:color w:val="000000" w:themeColor="text1"/>
          <w:sz w:val="21"/>
          <w:szCs w:val="21"/>
          <w:highlight w:val="none"/>
          <w:lang w:bidi="en-US"/>
          <w14:textFill>
            <w14:solidFill>
              <w14:schemeClr w14:val="tx1"/>
            </w14:solidFill>
          </w14:textFill>
        </w:rPr>
        <w:t xml:space="preserve">签订日期：  </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年  月   日          </w:t>
      </w:r>
      <w:r>
        <w:rPr>
          <w:rFonts w:hint="eastAsia" w:ascii="仿宋" w:hAnsi="仿宋" w:eastAsia="仿宋" w:cs="仿宋"/>
          <w:color w:val="000000" w:themeColor="text1"/>
          <w:sz w:val="21"/>
          <w:szCs w:val="21"/>
          <w:highlight w:val="none"/>
          <w:lang w:val="en-US" w:eastAsia="zh-CN" w:bidi="en-US"/>
          <w14:textFill>
            <w14:solidFill>
              <w14:schemeClr w14:val="tx1"/>
            </w14:solidFill>
          </w14:textFill>
        </w:rPr>
        <w:t xml:space="preserve">   </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w:t>
      </w:r>
      <w:r>
        <w:rPr>
          <w:rFonts w:hint="eastAsia" w:ascii="仿宋" w:hAnsi="仿宋" w:eastAsia="仿宋" w:cs="仿宋"/>
          <w:b/>
          <w:bCs/>
          <w:color w:val="000000" w:themeColor="text1"/>
          <w:sz w:val="21"/>
          <w:szCs w:val="21"/>
          <w:highlight w:val="none"/>
          <w:lang w:bidi="en-US"/>
          <w14:textFill>
            <w14:solidFill>
              <w14:schemeClr w14:val="tx1"/>
            </w14:solidFill>
          </w14:textFill>
        </w:rPr>
        <w:t>签订日期：</w:t>
      </w:r>
      <w:r>
        <w:rPr>
          <w:rFonts w:hint="eastAsia" w:ascii="仿宋" w:hAnsi="仿宋" w:eastAsia="仿宋" w:cs="仿宋"/>
          <w:color w:val="000000" w:themeColor="text1"/>
          <w:sz w:val="21"/>
          <w:szCs w:val="21"/>
          <w:highlight w:val="none"/>
          <w:lang w:bidi="en-US"/>
          <w14:textFill>
            <w14:solidFill>
              <w14:schemeClr w14:val="tx1"/>
            </w14:solidFill>
          </w14:textFill>
        </w:rPr>
        <w:t xml:space="preserve">   年  月   日</w:t>
      </w:r>
    </w:p>
    <w:p w14:paraId="492FB3F7">
      <w:pPr>
        <w:widowControl/>
        <w:autoSpaceDE w:val="0"/>
        <w:autoSpaceDN w:val="0"/>
        <w:spacing w:before="0" w:after="0" w:line="360" w:lineRule="auto"/>
        <w:ind w:right="53" w:firstLine="0"/>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0E170BAC">
      <w:pPr>
        <w:pStyle w:val="6"/>
        <w:rPr>
          <w:rFonts w:hint="eastAsia" w:ascii="仿宋" w:hAnsi="仿宋" w:eastAsia="仿宋" w:cs="仿宋"/>
          <w:color w:val="000000" w:themeColor="text1"/>
          <w:sz w:val="21"/>
          <w:szCs w:val="21"/>
          <w:highlight w:val="none"/>
          <w14:textFill>
            <w14:solidFill>
              <w14:schemeClr w14:val="tx1"/>
            </w14:solidFill>
          </w14:textFill>
        </w:rPr>
      </w:pPr>
    </w:p>
    <w:p w14:paraId="123F33FE">
      <w:pPr>
        <w:rPr>
          <w:rFonts w:hint="eastAsia" w:ascii="仿宋" w:hAnsi="仿宋" w:eastAsia="仿宋" w:cs="仿宋"/>
          <w:color w:val="000000" w:themeColor="text1"/>
          <w:sz w:val="21"/>
          <w:szCs w:val="21"/>
          <w:highlight w:val="none"/>
          <w14:textFill>
            <w14:solidFill>
              <w14:schemeClr w14:val="tx1"/>
            </w14:solidFill>
          </w14:textFill>
        </w:rPr>
      </w:pPr>
    </w:p>
    <w:p w14:paraId="451BF844">
      <w:pPr>
        <w:spacing w:before="0" w:after="0" w:line="360" w:lineRule="auto"/>
        <w:ind w:firstLine="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鉴证方</w:t>
      </w:r>
      <w:r>
        <w:rPr>
          <w:rFonts w:hint="eastAsia" w:ascii="仿宋" w:hAnsi="仿宋" w:eastAsia="仿宋" w:cs="仿宋"/>
          <w:color w:val="000000" w:themeColor="text1"/>
          <w:sz w:val="21"/>
          <w:szCs w:val="21"/>
          <w:highlight w:val="none"/>
          <w14:textFill>
            <w14:solidFill>
              <w14:schemeClr w14:val="tx1"/>
            </w14:solidFill>
          </w14:textFill>
        </w:rPr>
        <w:t>（业务专用章）</w:t>
      </w:r>
      <w:r>
        <w:rPr>
          <w:rFonts w:hint="eastAsia" w:ascii="仿宋" w:hAnsi="仿宋" w:eastAsia="仿宋" w:cs="仿宋"/>
          <w:b/>
          <w:bCs/>
          <w:color w:val="000000" w:themeColor="text1"/>
          <w:sz w:val="21"/>
          <w:szCs w:val="21"/>
          <w:highlight w:val="none"/>
          <w14:textFill>
            <w14:solidFill>
              <w14:schemeClr w14:val="tx1"/>
            </w14:solidFill>
          </w14:textFill>
        </w:rPr>
        <w:t>：</w:t>
      </w:r>
    </w:p>
    <w:p w14:paraId="65048828">
      <w:pPr>
        <w:spacing w:before="0" w:after="0" w:line="360" w:lineRule="auto"/>
        <w:ind w:firstLine="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 xml:space="preserve">单位名称：  </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70FC53F7">
      <w:pPr>
        <w:spacing w:before="0" w:after="0" w:line="360" w:lineRule="auto"/>
        <w:ind w:firstLine="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 xml:space="preserve">地址： </w:t>
      </w:r>
    </w:p>
    <w:p w14:paraId="6FDAD160">
      <w:pPr>
        <w:spacing w:before="0" w:after="0" w:line="360" w:lineRule="auto"/>
        <w:ind w:firstLine="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代理人（签字）：</w:t>
      </w:r>
    </w:p>
    <w:p w14:paraId="1D77DAF8">
      <w:pPr>
        <w:spacing w:before="0" w:after="0" w:line="360" w:lineRule="auto"/>
        <w:ind w:firstLine="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 xml:space="preserve">联系电话： </w:t>
      </w:r>
    </w:p>
    <w:p w14:paraId="21BCC3D7">
      <w:pPr>
        <w:pStyle w:val="6"/>
        <w:rPr>
          <w:rFonts w:hint="eastAsia" w:ascii="仿宋" w:hAnsi="仿宋" w:eastAsia="仿宋" w:cs="仿宋"/>
          <w:b/>
          <w:bCs/>
          <w:color w:val="000000" w:themeColor="text1"/>
          <w:sz w:val="21"/>
          <w:szCs w:val="21"/>
          <w:highlight w:val="none"/>
          <w14:textFill>
            <w14:solidFill>
              <w14:schemeClr w14:val="tx1"/>
            </w14:solidFill>
          </w14:textFill>
        </w:rPr>
      </w:pPr>
    </w:p>
    <w:p w14:paraId="7BFF2C5B">
      <w:pPr>
        <w:rPr>
          <w:rFonts w:hint="eastAsia" w:ascii="仿宋" w:hAnsi="仿宋" w:eastAsia="仿宋" w:cs="仿宋"/>
          <w:color w:val="000000" w:themeColor="text1"/>
          <w:sz w:val="21"/>
          <w:szCs w:val="21"/>
          <w:highlight w:val="none"/>
          <w14:textFill>
            <w14:solidFill>
              <w14:schemeClr w14:val="tx1"/>
            </w14:solidFill>
          </w14:textFill>
        </w:rPr>
      </w:pPr>
    </w:p>
    <w:p w14:paraId="5386F583">
      <w:pPr>
        <w:keepNext w:val="0"/>
        <w:keepLines w:val="0"/>
        <w:pageBreakBefore/>
        <w:widowControl w:val="0"/>
        <w:kinsoku/>
        <w:wordWrap/>
        <w:overflowPunct/>
        <w:topLinePunct w:val="0"/>
        <w:autoSpaceDE/>
        <w:autoSpaceDN/>
        <w:bidi w:val="0"/>
        <w:adjustRightInd/>
        <w:snapToGrid/>
        <w:spacing w:before="0" w:after="0" w:line="360" w:lineRule="auto"/>
        <w:ind w:firstLine="0"/>
        <w:textAlignment w:val="auto"/>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 xml:space="preserve">附件一：配置清单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4"/>
        <w:gridCol w:w="1714"/>
        <w:gridCol w:w="1715"/>
        <w:gridCol w:w="1715"/>
        <w:gridCol w:w="1664"/>
      </w:tblGrid>
      <w:tr w14:paraId="16FC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noWrap w:val="0"/>
            <w:vAlign w:val="top"/>
          </w:tcPr>
          <w:p w14:paraId="30F679F3">
            <w:pPr>
              <w:pStyle w:val="6"/>
              <w:spacing w:line="360" w:lineRule="auto"/>
              <w:ind w:firstLine="0"/>
              <w:jc w:val="center"/>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序号</w:t>
            </w:r>
          </w:p>
        </w:tc>
        <w:tc>
          <w:tcPr>
            <w:tcW w:w="1869" w:type="dxa"/>
            <w:noWrap w:val="0"/>
            <w:vAlign w:val="top"/>
          </w:tcPr>
          <w:p w14:paraId="675188AF">
            <w:pPr>
              <w:pStyle w:val="6"/>
              <w:spacing w:line="360" w:lineRule="auto"/>
              <w:ind w:firstLine="0"/>
              <w:jc w:val="center"/>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产品名称</w:t>
            </w:r>
          </w:p>
        </w:tc>
        <w:tc>
          <w:tcPr>
            <w:tcW w:w="1869" w:type="dxa"/>
            <w:noWrap w:val="0"/>
            <w:vAlign w:val="top"/>
          </w:tcPr>
          <w:p w14:paraId="2150E712">
            <w:pPr>
              <w:pStyle w:val="6"/>
              <w:spacing w:line="360" w:lineRule="auto"/>
              <w:ind w:firstLine="0"/>
              <w:jc w:val="center"/>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型号</w:t>
            </w:r>
          </w:p>
        </w:tc>
        <w:tc>
          <w:tcPr>
            <w:tcW w:w="1869" w:type="dxa"/>
            <w:noWrap w:val="0"/>
            <w:vAlign w:val="top"/>
          </w:tcPr>
          <w:p w14:paraId="7E7003D4">
            <w:pPr>
              <w:pStyle w:val="6"/>
              <w:spacing w:line="360" w:lineRule="auto"/>
              <w:ind w:firstLine="0"/>
              <w:jc w:val="center"/>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数量</w:t>
            </w:r>
          </w:p>
        </w:tc>
        <w:tc>
          <w:tcPr>
            <w:tcW w:w="1812" w:type="dxa"/>
            <w:noWrap w:val="0"/>
            <w:vAlign w:val="top"/>
          </w:tcPr>
          <w:p w14:paraId="6103E9FF">
            <w:pPr>
              <w:pStyle w:val="6"/>
              <w:spacing w:line="360" w:lineRule="auto"/>
              <w:ind w:firstLine="0"/>
              <w:jc w:val="center"/>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单位</w:t>
            </w:r>
          </w:p>
        </w:tc>
      </w:tr>
      <w:tr w14:paraId="1038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noWrap w:val="0"/>
            <w:vAlign w:val="top"/>
          </w:tcPr>
          <w:p w14:paraId="405202AA">
            <w:pPr>
              <w:pStyle w:val="6"/>
              <w:spacing w:line="360" w:lineRule="auto"/>
              <w:ind w:firstLine="0"/>
              <w:rPr>
                <w:rFonts w:hint="eastAsia" w:ascii="仿宋" w:hAnsi="仿宋" w:eastAsia="仿宋" w:cs="仿宋"/>
                <w:color w:val="000000" w:themeColor="text1"/>
                <w:kern w:val="2"/>
                <w:sz w:val="21"/>
                <w:szCs w:val="21"/>
                <w:highlight w:val="none"/>
                <w14:textFill>
                  <w14:solidFill>
                    <w14:schemeClr w14:val="tx1"/>
                  </w14:solidFill>
                </w14:textFill>
              </w:rPr>
            </w:pPr>
          </w:p>
        </w:tc>
        <w:tc>
          <w:tcPr>
            <w:tcW w:w="1869" w:type="dxa"/>
            <w:noWrap w:val="0"/>
            <w:vAlign w:val="top"/>
          </w:tcPr>
          <w:p w14:paraId="4C6E15B7">
            <w:pPr>
              <w:pStyle w:val="6"/>
              <w:spacing w:line="360" w:lineRule="auto"/>
              <w:ind w:firstLine="0"/>
              <w:rPr>
                <w:rFonts w:hint="eastAsia" w:ascii="仿宋" w:hAnsi="仿宋" w:eastAsia="仿宋" w:cs="仿宋"/>
                <w:color w:val="000000" w:themeColor="text1"/>
                <w:kern w:val="2"/>
                <w:sz w:val="21"/>
                <w:szCs w:val="21"/>
                <w:highlight w:val="none"/>
                <w14:textFill>
                  <w14:solidFill>
                    <w14:schemeClr w14:val="tx1"/>
                  </w14:solidFill>
                </w14:textFill>
              </w:rPr>
            </w:pPr>
          </w:p>
        </w:tc>
        <w:tc>
          <w:tcPr>
            <w:tcW w:w="1869" w:type="dxa"/>
            <w:noWrap w:val="0"/>
            <w:vAlign w:val="top"/>
          </w:tcPr>
          <w:p w14:paraId="3E66D744">
            <w:pPr>
              <w:pStyle w:val="6"/>
              <w:spacing w:line="360" w:lineRule="auto"/>
              <w:ind w:firstLine="0"/>
              <w:rPr>
                <w:rFonts w:hint="eastAsia" w:ascii="仿宋" w:hAnsi="仿宋" w:eastAsia="仿宋" w:cs="仿宋"/>
                <w:color w:val="000000" w:themeColor="text1"/>
                <w:kern w:val="2"/>
                <w:sz w:val="21"/>
                <w:szCs w:val="21"/>
                <w:highlight w:val="none"/>
                <w14:textFill>
                  <w14:solidFill>
                    <w14:schemeClr w14:val="tx1"/>
                  </w14:solidFill>
                </w14:textFill>
              </w:rPr>
            </w:pPr>
          </w:p>
        </w:tc>
        <w:tc>
          <w:tcPr>
            <w:tcW w:w="1869" w:type="dxa"/>
            <w:noWrap w:val="0"/>
            <w:vAlign w:val="top"/>
          </w:tcPr>
          <w:p w14:paraId="236AB589">
            <w:pPr>
              <w:pStyle w:val="6"/>
              <w:spacing w:line="360" w:lineRule="auto"/>
              <w:ind w:firstLine="0"/>
              <w:rPr>
                <w:rFonts w:hint="eastAsia" w:ascii="仿宋" w:hAnsi="仿宋" w:eastAsia="仿宋" w:cs="仿宋"/>
                <w:color w:val="000000" w:themeColor="text1"/>
                <w:kern w:val="2"/>
                <w:sz w:val="21"/>
                <w:szCs w:val="21"/>
                <w:highlight w:val="none"/>
                <w14:textFill>
                  <w14:solidFill>
                    <w14:schemeClr w14:val="tx1"/>
                  </w14:solidFill>
                </w14:textFill>
              </w:rPr>
            </w:pPr>
          </w:p>
        </w:tc>
        <w:tc>
          <w:tcPr>
            <w:tcW w:w="1812" w:type="dxa"/>
            <w:noWrap w:val="0"/>
            <w:vAlign w:val="top"/>
          </w:tcPr>
          <w:p w14:paraId="1440D143">
            <w:pPr>
              <w:pStyle w:val="6"/>
              <w:spacing w:line="360" w:lineRule="auto"/>
              <w:ind w:firstLine="0"/>
              <w:rPr>
                <w:rFonts w:hint="eastAsia" w:ascii="仿宋" w:hAnsi="仿宋" w:eastAsia="仿宋" w:cs="仿宋"/>
                <w:color w:val="000000" w:themeColor="text1"/>
                <w:kern w:val="2"/>
                <w:sz w:val="21"/>
                <w:szCs w:val="21"/>
                <w:highlight w:val="none"/>
                <w14:textFill>
                  <w14:solidFill>
                    <w14:schemeClr w14:val="tx1"/>
                  </w14:solidFill>
                </w14:textFill>
              </w:rPr>
            </w:pPr>
          </w:p>
        </w:tc>
      </w:tr>
    </w:tbl>
    <w:p w14:paraId="1D0FA956">
      <w:pPr>
        <w:spacing w:before="0" w:after="0" w:line="360" w:lineRule="auto"/>
        <w:ind w:firstLine="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附件二：营业执照、法人授权委托书、受托人/法人身份证复印件</w:t>
      </w:r>
    </w:p>
    <w:p w14:paraId="2AB13F5D">
      <w:pPr>
        <w:spacing w:line="360" w:lineRule="auto"/>
        <w:ind w:left="0" w:leftChars="0" w:firstLine="0" w:firstLineChars="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附件三：厂家提供的3年质保证明和维保内容</w:t>
      </w:r>
    </w:p>
    <w:p w14:paraId="00056BD4"/>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7313">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D9C481"/>
    <w:multiLevelType w:val="singleLevel"/>
    <w:tmpl w:val="54D9C481"/>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394DAA"/>
    <w:rsid w:val="331A616A"/>
    <w:rsid w:val="378253CB"/>
    <w:rsid w:val="452024EE"/>
    <w:rsid w:val="50103EED"/>
    <w:rsid w:val="56F60198"/>
    <w:rsid w:val="6396607D"/>
    <w:rsid w:val="6843096F"/>
    <w:rsid w:val="761E0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7"/>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2">
    <w:name w:val="heading 4"/>
    <w:basedOn w:val="1"/>
    <w:next w:val="1"/>
    <w:unhideWhenUsed/>
    <w:qFormat/>
    <w:uiPriority w:val="0"/>
    <w:pPr>
      <w:spacing w:line="360" w:lineRule="auto"/>
      <w:outlineLvl w:val="3"/>
    </w:pPr>
    <w:rPr>
      <w:rFonts w:ascii="仿宋" w:hAnsi="仿宋" w:eastAsia="仿宋" w:cs="仿宋"/>
      <w:bCs/>
      <w:color w:val="000000"/>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before="60" w:line="360" w:lineRule="auto"/>
      <w:ind w:firstLine="420"/>
    </w:pPr>
    <w:rPr>
      <w:rFonts w:ascii="Times New Roman" w:hAnsi="Times New Roman"/>
      <w:color w:val="auto"/>
      <w:spacing w:val="6"/>
      <w:kern w:val="2"/>
    </w:rPr>
  </w:style>
  <w:style w:type="paragraph" w:styleId="6">
    <w:name w:val="Body Text"/>
    <w:basedOn w:val="1"/>
    <w:next w:val="1"/>
    <w:qFormat/>
    <w:uiPriority w:val="0"/>
    <w:rPr>
      <w:rFonts w:ascii="宋体" w:hAnsi="宋体" w:eastAsia="宋体" w:cs="宋体"/>
      <w:sz w:val="20"/>
      <w:szCs w:val="20"/>
      <w:lang w:val="en-US" w:eastAsia="en-US" w:bidi="ar-SA"/>
    </w:rPr>
  </w:style>
  <w:style w:type="paragraph" w:styleId="7">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Body Text Indent 2"/>
    <w:basedOn w:val="1"/>
    <w:qFormat/>
    <w:uiPriority w:val="99"/>
    <w:pPr>
      <w:tabs>
        <w:tab w:val="left" w:pos="5625"/>
      </w:tabs>
      <w:ind w:left="1138" w:leftChars="542"/>
    </w:p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0">
    <w:name w:val="toc 1"/>
    <w:basedOn w:val="1"/>
    <w:next w:val="1"/>
    <w:qFormat/>
    <w:uiPriority w:val="39"/>
  </w:style>
  <w:style w:type="paragraph" w:styleId="11">
    <w:name w:val="Body Text First Indent"/>
    <w:basedOn w:val="6"/>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2">
    <w:name w:val="Body Text First Indent 2"/>
    <w:basedOn w:val="7"/>
    <w:next w:val="1"/>
    <w:qFormat/>
    <w:uiPriority w:val="0"/>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ormal Indent1"/>
    <w:basedOn w:val="1"/>
    <w:qFormat/>
    <w:uiPriority w:val="99"/>
    <w:pPr>
      <w:ind w:firstLine="880" w:firstLineChars="200"/>
    </w:pPr>
  </w:style>
  <w:style w:type="character" w:customStyle="1" w:styleId="17">
    <w:name w:val="标题 2 字符"/>
    <w:link w:val="3"/>
    <w:qFormat/>
    <w:uiPriority w:val="0"/>
    <w:rPr>
      <w:rFonts w:ascii="仿宋" w:hAnsi="仿宋" w:eastAsia="仿宋" w:cs="仿宋"/>
      <w:b/>
      <w:bCs/>
      <w:color w:val="auto"/>
      <w:sz w:val="24"/>
      <w:highlight w:val="none"/>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character" w:customStyle="1" w:styleId="19">
    <w:name w:val="font21"/>
    <w:basedOn w:val="15"/>
    <w:qFormat/>
    <w:uiPriority w:val="0"/>
    <w:rPr>
      <w:rFonts w:hint="eastAsia" w:ascii="仿宋" w:hAnsi="仿宋" w:eastAsia="仿宋" w:cs="仿宋"/>
      <w:color w:val="C00000"/>
      <w:sz w:val="24"/>
      <w:szCs w:val="24"/>
      <w:u w:val="none"/>
    </w:rPr>
  </w:style>
  <w:style w:type="character" w:customStyle="1" w:styleId="20">
    <w:name w:val="font31"/>
    <w:basedOn w:val="15"/>
    <w:qFormat/>
    <w:uiPriority w:val="0"/>
    <w:rPr>
      <w:rFonts w:hint="eastAsia" w:ascii="宋体" w:hAnsi="宋体" w:eastAsia="宋体" w:cs="宋体"/>
      <w:color w:val="000000"/>
      <w:sz w:val="21"/>
      <w:szCs w:val="21"/>
      <w:u w:val="none"/>
    </w:rPr>
  </w:style>
  <w:style w:type="character" w:customStyle="1" w:styleId="21">
    <w:name w:val="font41"/>
    <w:basedOn w:val="15"/>
    <w:qFormat/>
    <w:uiPriority w:val="0"/>
    <w:rPr>
      <w:rFonts w:hint="eastAsia" w:ascii="宋体" w:hAnsi="宋体" w:eastAsia="宋体" w:cs="宋体"/>
      <w:b/>
      <w:bCs/>
      <w:color w:val="000000"/>
      <w:sz w:val="21"/>
      <w:szCs w:val="21"/>
      <w:u w:val="none"/>
    </w:rPr>
  </w:style>
  <w:style w:type="character" w:customStyle="1" w:styleId="22">
    <w:name w:val="font51"/>
    <w:basedOn w:val="15"/>
    <w:qFormat/>
    <w:uiPriority w:val="0"/>
    <w:rPr>
      <w:rFonts w:ascii="宋体" w:hAnsi="宋体" w:eastAsia="宋体" w:cs="宋体"/>
      <w:color w:val="000000"/>
      <w:sz w:val="20"/>
      <w:szCs w:val="20"/>
      <w:u w:val="none"/>
    </w:rPr>
  </w:style>
  <w:style w:type="character" w:customStyle="1" w:styleId="23">
    <w:name w:val="font61"/>
    <w:basedOn w:val="15"/>
    <w:qFormat/>
    <w:uiPriority w:val="0"/>
    <w:rPr>
      <w:rFonts w:hint="default" w:ascii="Arial" w:hAnsi="Arial" w:cs="Arial"/>
      <w:color w:val="000000"/>
      <w:sz w:val="10"/>
      <w:szCs w:val="10"/>
      <w:u w:val="none"/>
    </w:rPr>
  </w:style>
  <w:style w:type="paragraph" w:customStyle="1" w:styleId="24">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5">
    <w:name w:val="样式 首行缩进:  2 字符"/>
    <w:basedOn w:val="1"/>
    <w:qFormat/>
    <w:uiPriority w:val="0"/>
    <w:pPr>
      <w:spacing w:line="400" w:lineRule="exact"/>
      <w:ind w:firstLine="200" w:firstLineChars="200"/>
    </w:pPr>
    <w:rPr>
      <w:rFonts w:cs="宋体"/>
      <w:sz w:val="24"/>
    </w:rPr>
  </w:style>
  <w:style w:type="paragraph" w:styleId="26">
    <w:name w:val="List Paragraph"/>
    <w:basedOn w:val="1"/>
    <w:qFormat/>
    <w:uiPriority w:val="99"/>
    <w:pPr>
      <w:ind w:firstLine="420" w:firstLineChars="200"/>
    </w:p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Table Text"/>
    <w:basedOn w:val="1"/>
    <w:semiHidden/>
    <w:qFormat/>
    <w:uiPriority w:val="0"/>
    <w:rPr>
      <w:rFonts w:ascii="Arial" w:hAnsi="Arial" w:eastAsia="Arial" w:cs="Arial"/>
      <w:sz w:val="21"/>
      <w:szCs w:val="21"/>
      <w:lang w:val="en-US" w:eastAsia="en-US" w:bidi="ar-SA"/>
    </w:rPr>
  </w:style>
  <w:style w:type="paragraph" w:customStyle="1" w:styleId="29">
    <w:name w:val="正文首行缩进两字符"/>
    <w:basedOn w:val="1"/>
    <w:qFormat/>
    <w:uiPriority w:val="0"/>
    <w:pPr>
      <w:spacing w:line="360" w:lineRule="auto"/>
      <w:ind w:firstLine="200" w:firstLineChars="200"/>
    </w:pPr>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2498</Words>
  <Characters>2523</Characters>
  <Lines>0</Lines>
  <Paragraphs>0</Paragraphs>
  <TotalTime>0</TotalTime>
  <ScaleCrop>false</ScaleCrop>
  <LinksUpToDate>false</LinksUpToDate>
  <CharactersWithSpaces>2561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2026-06-24T01:14:35Z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350A0181A42E4F5584E829A6F056B162_13</vt:lpwstr>
  </property>
</Properties>
</file>