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6A33F">
      <w:pPr>
        <w:pStyle w:val="14"/>
        <w:keepNext w:val="0"/>
        <w:keepLines w:val="0"/>
        <w:pageBreakBefore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sz w:val="36"/>
          <w:lang w:eastAsia="zh-CN"/>
        </w:rPr>
      </w:pPr>
      <w:r>
        <w:rPr>
          <w:rFonts w:hint="eastAsia" w:ascii="仿宋" w:hAnsi="仿宋" w:eastAsia="仿宋" w:cs="仿宋"/>
          <w:b/>
          <w:sz w:val="36"/>
        </w:rPr>
        <w:t>近年业绩的有关证明材料</w:t>
      </w:r>
      <w:r>
        <w:rPr>
          <w:rFonts w:hint="eastAsia" w:ascii="仿宋" w:hAnsi="仿宋" w:eastAsia="仿宋" w:cs="仿宋"/>
          <w:b/>
          <w:sz w:val="36"/>
          <w:lang w:eastAsia="zh-CN"/>
        </w:rPr>
        <w:t>（</w:t>
      </w:r>
      <w:r>
        <w:rPr>
          <w:rFonts w:hint="eastAsia" w:ascii="仿宋" w:hAnsi="仿宋" w:eastAsia="仿宋" w:cs="仿宋"/>
          <w:b/>
          <w:sz w:val="36"/>
          <w:lang w:val="en-US" w:eastAsia="zh-CN"/>
        </w:rPr>
        <w:t>若有</w:t>
      </w:r>
      <w:r>
        <w:rPr>
          <w:rFonts w:hint="eastAsia" w:ascii="仿宋" w:hAnsi="仿宋" w:eastAsia="仿宋" w:cs="仿宋"/>
          <w:b/>
          <w:sz w:val="36"/>
          <w:lang w:eastAsia="zh-CN"/>
        </w:rPr>
        <w:t>）</w:t>
      </w:r>
    </w:p>
    <w:p w14:paraId="4170DBE7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DE2A95"/>
    <w:rsid w:val="23EC2E8C"/>
    <w:rsid w:val="378253CB"/>
    <w:rsid w:val="5A025048"/>
    <w:rsid w:val="5BDD3B2B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0</TotalTime>
  <ScaleCrop>false</ScaleCrop>
  <LinksUpToDate>false</LinksUpToDate>
  <CharactersWithSpaces>230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2026-06-24T01:15:34Z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eyJoZGlkIjoiMzE0NTIwYTlhNWQ4YjZmN2M5MGEwYTBmMzViYzU4MzEiLCJ1c2VySWQiOiI0NTcxNjM2MzMifQ==</vt:lpwstr>
  </property>
  <property fmtid="{D5CDD505-2E9C-101B-9397-08002B2CF9AE}" pid="4" name="ICV">
    <vt:lpwstr>08658A49628F4F6C8E2B44CD8522D422_13</vt:lpwstr>
  </property>
</Properties>
</file>