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版本号：ZX2026-05-72.20260707001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旋转挤压增材制造设备</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ZX2026-05-72.</w:t>
      </w:r>
      <w:r>
        <w:br/>
      </w:r>
      <w:r>
        <w:br/>
      </w:r>
      <w:r>
        <w:br/>
      </w:r>
      <w:r>
        <w:br/>
      </w:r>
      <w:r>
        <w:br/>
      </w:r>
    </w:p>
    <w:p>
      <w:pPr>
        <w:pStyle w:val="null3"/>
        <w:jc w:val="center"/>
        <w:outlineLvl w:val="5"/>
      </w:pPr>
      <w:r>
        <w:rPr>
          <w:rFonts w:ascii="仿宋_GB2312" w:hAnsi="仿宋_GB2312" w:cs="仿宋_GB2312" w:eastAsia="仿宋_GB2312"/>
          <w:sz w:val="15"/>
          <w:b/>
        </w:rPr>
        <w:t>西安建筑科技大学</w:t>
      </w:r>
    </w:p>
    <w:p>
      <w:pPr>
        <w:pStyle w:val="null3"/>
        <w:jc w:val="center"/>
        <w:outlineLvl w:val="5"/>
      </w:pPr>
      <w:r>
        <w:rPr>
          <w:rFonts w:ascii="仿宋_GB2312" w:hAnsi="仿宋_GB2312" w:cs="仿宋_GB2312" w:eastAsia="仿宋_GB2312"/>
          <w:sz w:val="15"/>
          <w:b/>
        </w:rPr>
        <w:t>陕西正信招标有限公司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旋转挤压增材制造设备</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ZX2026-05-72.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旋转挤压增材制造设备</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本项目为旋转挤压增材制造设备，具体详见采购文件第三章。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1、法定代表人授权委托书：法定代表人参加协商的，须提供身份证；法定代表人授权本单位他人参加协商的，须提供法定代表人授权委托书。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李雨 胡怡洁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采购包1保证金金额：20,572.00元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号)收费标准，①项目金额在100万元及以下的，按中标金额全额计取；②项目金额超过100万元的，100万元及以下部分全额计取，超出部分按75%计取。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按谈判文件、响应文件及合同约定执行</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祁鑫</w:t>
      </w:r>
    </w:p>
    <w:p>
      <w:pPr>
        <w:pStyle w:val="null3"/>
      </w:pPr>
      <w:r>
        <w:rPr>
          <w:rFonts w:ascii="仿宋_GB2312" w:hAnsi="仿宋_GB2312" w:cs="仿宋_GB2312" w:eastAsia="仿宋_GB2312"/>
        </w:rPr>
        <w:t>联系电话：邮箱438904813@qq.com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旋转挤压增材制造设备，1套，具体详见采购文件第二部分。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旋转挤压增材制造设备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标的名称：旋转挤压增材制造设备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2"/>
              <w:gridCol w:w="1384"/>
              <w:gridCol w:w="610"/>
              <w:gridCol w:w="257"/>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技术标准</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配置要求</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数量</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旋转挤压增材制造设备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1.适用材料：铝合金、镁合金、铜合金等金属；</w:t>
                  </w:r>
                </w:p>
                <w:p>
                  <w:pPr>
                    <w:pStyle w:val="null3"/>
                    <w:jc w:val="both"/>
                  </w:pPr>
                  <w:r>
                    <w:rPr>
                      <w:rFonts w:ascii="仿宋_GB2312" w:hAnsi="仿宋_GB2312" w:cs="仿宋_GB2312" w:eastAsia="仿宋_GB2312"/>
                      <w:sz w:val="21"/>
                      <w:color w:val="000000"/>
                    </w:rPr>
                    <w:t>2.工作台面：≥ 1200mm×600mm；</w:t>
                  </w:r>
                </w:p>
                <w:p>
                  <w:pPr>
                    <w:pStyle w:val="null3"/>
                    <w:jc w:val="left"/>
                  </w:pPr>
                  <w:r>
                    <w:rPr>
                      <w:rFonts w:ascii="仿宋_GB2312" w:hAnsi="仿宋_GB2312" w:cs="仿宋_GB2312" w:eastAsia="仿宋_GB2312"/>
                      <w:sz w:val="21"/>
                      <w:color w:val="000000"/>
                    </w:rPr>
                    <w:t>3.X/Y/Z轴行程：≥600mm/800mm/400mm；</w:t>
                  </w:r>
                </w:p>
                <w:p>
                  <w:pPr>
                    <w:pStyle w:val="null3"/>
                    <w:jc w:val="both"/>
                  </w:pPr>
                  <w:r>
                    <w:rPr>
                      <w:rFonts w:ascii="仿宋_GB2312" w:hAnsi="仿宋_GB2312" w:cs="仿宋_GB2312" w:eastAsia="仿宋_GB2312"/>
                      <w:sz w:val="21"/>
                      <w:color w:val="000000"/>
                    </w:rPr>
                    <w:t>4.X/Y/Z轴定位精度：≤0.05mm/全程；</w:t>
                  </w:r>
                </w:p>
                <w:p>
                  <w:pPr>
                    <w:pStyle w:val="null3"/>
                    <w:jc w:val="both"/>
                  </w:pPr>
                  <w:r>
                    <w:rPr>
                      <w:rFonts w:ascii="仿宋_GB2312" w:hAnsi="仿宋_GB2312" w:cs="仿宋_GB2312" w:eastAsia="仿宋_GB2312"/>
                      <w:sz w:val="21"/>
                      <w:color w:val="000000"/>
                    </w:rPr>
                    <w:t>5.X/Y/Z轴重复定位精度：≤0.03mm/全程；</w:t>
                  </w:r>
                </w:p>
                <w:p>
                  <w:pPr>
                    <w:pStyle w:val="null3"/>
                    <w:jc w:val="both"/>
                  </w:pPr>
                  <w:r>
                    <w:rPr>
                      <w:rFonts w:ascii="仿宋_GB2312" w:hAnsi="仿宋_GB2312" w:cs="仿宋_GB2312" w:eastAsia="仿宋_GB2312"/>
                      <w:sz w:val="21"/>
                      <w:color w:val="000000"/>
                    </w:rPr>
                    <w:t>6.设备主轴采用电主轴，结构紧凑。</w:t>
                  </w:r>
                </w:p>
                <w:p>
                  <w:pPr>
                    <w:pStyle w:val="null3"/>
                    <w:jc w:val="both"/>
                  </w:pPr>
                  <w:r>
                    <w:rPr>
                      <w:rFonts w:ascii="仿宋_GB2312" w:hAnsi="仿宋_GB2312" w:cs="仿宋_GB2312" w:eastAsia="仿宋_GB2312"/>
                      <w:sz w:val="21"/>
                      <w:color w:val="000000"/>
                    </w:rPr>
                    <w:t>7.主轴扭矩：≥120N.m；</w:t>
                  </w:r>
                </w:p>
                <w:p>
                  <w:pPr>
                    <w:pStyle w:val="null3"/>
                    <w:jc w:val="both"/>
                  </w:pPr>
                  <w:r>
                    <w:rPr>
                      <w:rFonts w:ascii="仿宋_GB2312" w:hAnsi="仿宋_GB2312" w:cs="仿宋_GB2312" w:eastAsia="仿宋_GB2312"/>
                      <w:sz w:val="21"/>
                      <w:color w:val="000000"/>
                    </w:rPr>
                    <w:t>8.主轴最大转速：≥1500rpm；</w:t>
                  </w:r>
                </w:p>
                <w:p>
                  <w:pPr>
                    <w:pStyle w:val="null3"/>
                    <w:jc w:val="both"/>
                  </w:pPr>
                  <w:r>
                    <w:rPr>
                      <w:rFonts w:ascii="仿宋_GB2312" w:hAnsi="仿宋_GB2312" w:cs="仿宋_GB2312" w:eastAsia="仿宋_GB2312"/>
                      <w:sz w:val="21"/>
                      <w:color w:val="000000"/>
                    </w:rPr>
                    <w:t>9.顶锻轴最大推力：≥2.5t；</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10.适用棒料尺寸：10mm×10mm×300mm（±1mm），方棒；</w:t>
                  </w:r>
                </w:p>
                <w:p>
                  <w:pPr>
                    <w:pStyle w:val="null3"/>
                    <w:jc w:val="both"/>
                  </w:pPr>
                  <w:r>
                    <w:rPr>
                      <w:rFonts w:ascii="仿宋_GB2312" w:hAnsi="仿宋_GB2312" w:cs="仿宋_GB2312" w:eastAsia="仿宋_GB2312"/>
                      <w:sz w:val="21"/>
                      <w:color w:val="000000"/>
                    </w:rPr>
                    <w:t>11.分层厚度：0.2mm~2mm可调；</w:t>
                  </w:r>
                </w:p>
                <w:p>
                  <w:pPr>
                    <w:pStyle w:val="null3"/>
                    <w:jc w:val="both"/>
                  </w:pPr>
                  <w:r>
                    <w:rPr>
                      <w:rFonts w:ascii="仿宋_GB2312" w:hAnsi="仿宋_GB2312" w:cs="仿宋_GB2312" w:eastAsia="仿宋_GB2312"/>
                      <w:sz w:val="21"/>
                      <w:color w:val="000000"/>
                    </w:rPr>
                    <w:t>12.批量上料系统：配置棒料仓，</w:t>
                  </w:r>
                  <w:r>
                    <w:rPr>
                      <w:rFonts w:ascii="仿宋_GB2312" w:hAnsi="仿宋_GB2312" w:cs="仿宋_GB2312" w:eastAsia="仿宋_GB2312"/>
                      <w:sz w:val="21"/>
                    </w:rPr>
                    <w:t>全自动送料，棒料尺寸为</w:t>
                  </w:r>
                  <w:r>
                    <w:rPr>
                      <w:rFonts w:ascii="仿宋_GB2312" w:hAnsi="仿宋_GB2312" w:cs="仿宋_GB2312" w:eastAsia="仿宋_GB2312"/>
                      <w:sz w:val="21"/>
                      <w:color w:val="000000"/>
                    </w:rPr>
                    <w:t>10mm×10mm×300mm</w:t>
                  </w:r>
                  <w:r>
                    <w:rPr>
                      <w:rFonts w:ascii="仿宋_GB2312" w:hAnsi="仿宋_GB2312" w:cs="仿宋_GB2312" w:eastAsia="仿宋_GB2312"/>
                      <w:sz w:val="21"/>
                    </w:rPr>
                    <w:t>。</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13.在线搅拌工具冷却系统：增材工具具备超低位内循环冷却功能，可实现搅拌工具在线冷却；</w:t>
                  </w:r>
                </w:p>
                <w:p>
                  <w:pPr>
                    <w:pStyle w:val="null3"/>
                    <w:jc w:val="both"/>
                  </w:pPr>
                  <w:r>
                    <w:rPr>
                      <w:rFonts w:ascii="仿宋_GB2312" w:hAnsi="仿宋_GB2312" w:cs="仿宋_GB2312" w:eastAsia="仿宋_GB2312"/>
                      <w:sz w:val="21"/>
                      <w:color w:val="000000"/>
                    </w:rPr>
                    <w:t>14.设备配备无线数据采集系统，采集模块位于增材刀柄上，可在主轴旋转过程中直接检测增材区域力、扭矩、温度，并无线传输至接收模块，进行实时显示。其参数指标如下</w:t>
                  </w:r>
                  <w:r>
                    <w:rPr>
                      <w:rFonts w:ascii="仿宋_GB2312" w:hAnsi="仿宋_GB2312" w:cs="仿宋_GB2312" w:eastAsia="仿宋_GB2312"/>
                      <w:sz w:val="21"/>
                      <w:b/>
                      <w:color w:val="000000"/>
                    </w:rPr>
                    <w:t>（提供佐证材料）</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19"/>
                    </w:rPr>
                    <w:t xml:space="preserve"> </w:t>
                  </w:r>
                  <w:r>
                    <w:rPr>
                      <w:rFonts w:ascii="仿宋_GB2312" w:hAnsi="仿宋_GB2312" w:cs="仿宋_GB2312" w:eastAsia="仿宋_GB2312"/>
                      <w:sz w:val="21"/>
                      <w:color w:val="000000"/>
                    </w:rPr>
                    <w:t>温度检测范围</w:t>
                  </w:r>
                  <w:r>
                    <w:rPr>
                      <w:rFonts w:ascii="仿宋_GB2312" w:hAnsi="仿宋_GB2312" w:cs="仿宋_GB2312" w:eastAsia="仿宋_GB2312"/>
                      <w:sz w:val="21"/>
                      <w:color w:val="000000"/>
                    </w:rPr>
                    <w:t>0～650℃，测量精度±1℃，采集频率1～128 Hz可调；</w:t>
                  </w:r>
                </w:p>
                <w:p>
                  <w:pPr>
                    <w:pStyle w:val="null3"/>
                    <w:jc w:val="both"/>
                  </w:pPr>
                  <w:r>
                    <w:rPr>
                      <w:rFonts w:ascii="仿宋_GB2312" w:hAnsi="仿宋_GB2312" w:cs="仿宋_GB2312" w:eastAsia="仿宋_GB2312"/>
                      <w:sz w:val="21"/>
                      <w:color w:val="000000"/>
                    </w:rPr>
                    <w:t>2）压力检测范围0～45 kN，采集频率1～1024 Hz；</w:t>
                  </w:r>
                </w:p>
                <w:p>
                  <w:pPr>
                    <w:pStyle w:val="null3"/>
                    <w:jc w:val="both"/>
                  </w:pPr>
                  <w:r>
                    <w:rPr>
                      <w:rFonts w:ascii="仿宋_GB2312" w:hAnsi="仿宋_GB2312" w:cs="仿宋_GB2312" w:eastAsia="仿宋_GB2312"/>
                      <w:sz w:val="21"/>
                      <w:color w:val="000000"/>
                    </w:rPr>
                    <w:t>3）扭矩检测范围-150～+150Nm，采集频率1～1024 Hz；</w:t>
                  </w:r>
                </w:p>
                <w:p>
                  <w:pPr>
                    <w:pStyle w:val="null3"/>
                    <w:jc w:val="both"/>
                  </w:pPr>
                  <w:r>
                    <w:rPr>
                      <w:rFonts w:ascii="仿宋_GB2312" w:hAnsi="仿宋_GB2312" w:cs="仿宋_GB2312" w:eastAsia="仿宋_GB2312"/>
                      <w:sz w:val="21"/>
                      <w:color w:val="000000"/>
                    </w:rPr>
                    <w:t>4）压力、扭矩检测精度为量程的2%，误差≤5%。</w:t>
                  </w:r>
                </w:p>
                <w:p>
                  <w:pPr>
                    <w:pStyle w:val="null3"/>
                    <w:jc w:val="both"/>
                  </w:pPr>
                  <w:r>
                    <w:rPr>
                      <w:rFonts w:ascii="仿宋_GB2312" w:hAnsi="仿宋_GB2312" w:cs="仿宋_GB2312" w:eastAsia="仿宋_GB2312"/>
                      <w:sz w:val="21"/>
                      <w:color w:val="000000"/>
                    </w:rPr>
                    <w:t>15.气氛保护系统：满足高熔点金属固相增材的气氛需要，气氛保护范围≥200mm×200mm×100mm。</w:t>
                  </w:r>
                </w:p>
                <w:p>
                  <w:pPr>
                    <w:pStyle w:val="null3"/>
                    <w:jc w:val="both"/>
                  </w:pPr>
                  <w:r>
                    <w:rPr>
                      <w:rFonts w:ascii="仿宋_GB2312" w:hAnsi="仿宋_GB2312" w:cs="仿宋_GB2312" w:eastAsia="仿宋_GB2312"/>
                      <w:sz w:val="21"/>
                      <w:color w:val="000000"/>
                    </w:rPr>
                    <w:t>16.数控系统：专用控制系统，X、Y、Z、P 四轴联动。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X/Y/Z轴快移速度≥3000mm/min，P轴快移速度≥1000mm/min。</w:t>
                  </w:r>
                </w:p>
                <w:p>
                  <w:pPr>
                    <w:pStyle w:val="null3"/>
                    <w:jc w:val="both"/>
                  </w:pPr>
                  <w:r>
                    <w:rPr>
                      <w:rFonts w:ascii="仿宋_GB2312" w:hAnsi="仿宋_GB2312" w:cs="仿宋_GB2312" w:eastAsia="仿宋_GB2312"/>
                      <w:sz w:val="21"/>
                      <w:color w:val="000000"/>
                    </w:rPr>
                    <w:t>17.控制系统具有超程保护、过载保护及其他报警和保护功能。</w:t>
                  </w:r>
                </w:p>
                <w:p>
                  <w:pPr>
                    <w:pStyle w:val="null3"/>
                    <w:jc w:val="both"/>
                  </w:pPr>
                  <w:r>
                    <w:rPr>
                      <w:rFonts w:ascii="仿宋_GB2312" w:hAnsi="仿宋_GB2312" w:cs="仿宋_GB2312" w:eastAsia="仿宋_GB2312"/>
                      <w:sz w:val="21"/>
                      <w:color w:val="000000"/>
                    </w:rPr>
                    <w:t>18.系统配有电子手轮，具有轴选择、手动操作、急停和使能等功能，可以对增材层高进行手动精细微调</w:t>
                  </w:r>
                  <w:r>
                    <w:rPr>
                      <w:rFonts w:ascii="仿宋_GB2312" w:hAnsi="仿宋_GB2312" w:cs="仿宋_GB2312" w:eastAsia="仿宋_GB2312"/>
                      <w:sz w:val="21"/>
                    </w:rPr>
                    <w:t>，最小调整量</w:t>
                  </w:r>
                  <w:r>
                    <w:rPr>
                      <w:rFonts w:ascii="仿宋_GB2312" w:hAnsi="仿宋_GB2312" w:cs="仿宋_GB2312" w:eastAsia="仿宋_GB2312"/>
                      <w:sz w:val="21"/>
                    </w:rPr>
                    <w:t>0.001mm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19.视频监视系统：可远程观察增材状态，可扩展功能和接口。</w:t>
                  </w:r>
                  <w:r>
                    <w:rPr>
                      <w:rFonts w:ascii="仿宋_GB2312" w:hAnsi="仿宋_GB2312" w:cs="仿宋_GB2312" w:eastAsia="仿宋_GB2312"/>
                      <w:sz w:val="21"/>
                    </w:rPr>
                    <w:t>视频监视系统采集频率</w:t>
                  </w:r>
                  <w:r>
                    <w:rPr>
                      <w:rFonts w:ascii="仿宋_GB2312" w:hAnsi="仿宋_GB2312" w:cs="仿宋_GB2312" w:eastAsia="仿宋_GB2312"/>
                      <w:sz w:val="21"/>
                    </w:rPr>
                    <w:t>≥50Hz；视频分辨率：1920×1080。</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1.循环冷水机1台</w:t>
                  </w:r>
                </w:p>
                <w:p>
                  <w:pPr>
                    <w:pStyle w:val="null3"/>
                    <w:jc w:val="both"/>
                  </w:pPr>
                  <w:r>
                    <w:rPr>
                      <w:rFonts w:ascii="仿宋_GB2312" w:hAnsi="仿宋_GB2312" w:cs="仿宋_GB2312" w:eastAsia="仿宋_GB2312"/>
                      <w:sz w:val="21"/>
                      <w:color w:val="000000"/>
                    </w:rPr>
                    <w:t>2.增材顶杆：10*10mm顶杆3套</w:t>
                  </w:r>
                </w:p>
                <w:p>
                  <w:pPr>
                    <w:pStyle w:val="null3"/>
                    <w:jc w:val="both"/>
                  </w:pPr>
                  <w:r>
                    <w:rPr>
                      <w:rFonts w:ascii="仿宋_GB2312" w:hAnsi="仿宋_GB2312" w:cs="仿宋_GB2312" w:eastAsia="仿宋_GB2312"/>
                      <w:sz w:val="21"/>
                      <w:color w:val="000000"/>
                    </w:rPr>
                    <w:t>3.增材刀柄：2套</w:t>
                  </w:r>
                </w:p>
                <w:p>
                  <w:pPr>
                    <w:pStyle w:val="null3"/>
                    <w:jc w:val="both"/>
                  </w:pPr>
                  <w:r>
                    <w:rPr>
                      <w:rFonts w:ascii="仿宋_GB2312" w:hAnsi="仿宋_GB2312" w:cs="仿宋_GB2312" w:eastAsia="仿宋_GB2312"/>
                      <w:sz w:val="21"/>
                      <w:color w:val="000000"/>
                    </w:rPr>
                    <w:t>4.分体轴肩：10*10mm，3个</w:t>
                  </w:r>
                </w:p>
                <w:p>
                  <w:pPr>
                    <w:pStyle w:val="null3"/>
                    <w:jc w:val="both"/>
                  </w:pPr>
                  <w:r>
                    <w:rPr>
                      <w:rFonts w:ascii="仿宋_GB2312" w:hAnsi="仿宋_GB2312" w:cs="仿宋_GB2312" w:eastAsia="仿宋_GB2312"/>
                      <w:sz w:val="21"/>
                      <w:color w:val="000000"/>
                    </w:rPr>
                    <w:t>5.增高平台及压板：1套</w:t>
                  </w:r>
                </w:p>
                <w:p>
                  <w:pPr>
                    <w:pStyle w:val="null3"/>
                    <w:jc w:val="both"/>
                  </w:pPr>
                  <w:r>
                    <w:rPr>
                      <w:rFonts w:ascii="仿宋_GB2312" w:hAnsi="仿宋_GB2312" w:cs="仿宋_GB2312" w:eastAsia="仿宋_GB2312"/>
                      <w:sz w:val="21"/>
                      <w:color w:val="000000"/>
                    </w:rPr>
                    <w:t>6.气氛保护工装：1套</w:t>
                  </w:r>
                </w:p>
                <w:p>
                  <w:pPr>
                    <w:pStyle w:val="null3"/>
                    <w:jc w:val="both"/>
                  </w:pPr>
                  <w:r>
                    <w:rPr>
                      <w:rFonts w:ascii="仿宋_GB2312" w:hAnsi="仿宋_GB2312" w:cs="仿宋_GB2312" w:eastAsia="仿宋_GB2312"/>
                      <w:sz w:val="21"/>
                      <w:color w:val="000000"/>
                    </w:rPr>
                    <w:t>7.数据采集刀柄：1套</w:t>
                  </w:r>
                </w:p>
                <w:p>
                  <w:pPr>
                    <w:pStyle w:val="null3"/>
                    <w:jc w:val="both"/>
                  </w:pPr>
                  <w:r>
                    <w:rPr>
                      <w:rFonts w:ascii="仿宋_GB2312" w:hAnsi="仿宋_GB2312" w:cs="仿宋_GB2312" w:eastAsia="仿宋_GB2312"/>
                      <w:sz w:val="21"/>
                      <w:color w:val="000000"/>
                    </w:rPr>
                    <w:t>8.水冷工装：1套</w:t>
                  </w:r>
                </w:p>
                <w:p>
                  <w:pPr>
                    <w:pStyle w:val="null3"/>
                    <w:jc w:val="both"/>
                  </w:pPr>
                  <w:r>
                    <w:rPr>
                      <w:rFonts w:ascii="仿宋_GB2312" w:hAnsi="仿宋_GB2312" w:cs="仿宋_GB2312" w:eastAsia="仿宋_GB2312"/>
                      <w:sz w:val="21"/>
                      <w:color w:val="000000"/>
                    </w:rPr>
                    <w:t>9.U盘（16G）1个</w:t>
                  </w:r>
                </w:p>
                <w:p>
                  <w:pPr>
                    <w:pStyle w:val="null3"/>
                    <w:jc w:val="both"/>
                  </w:pPr>
                  <w:r>
                    <w:rPr>
                      <w:rFonts w:ascii="仿宋_GB2312" w:hAnsi="仿宋_GB2312" w:cs="仿宋_GB2312" w:eastAsia="仿宋_GB2312"/>
                      <w:sz w:val="21"/>
                      <w:color w:val="000000"/>
                    </w:rPr>
                    <w:t>10.安装工具1套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注：以上技术参数与性能指标不允许负偏离，任意一项负偏离按无效</w:t>
            </w:r>
            <w:r>
              <w:rPr>
                <w:rFonts w:ascii="仿宋_GB2312" w:hAnsi="仿宋_GB2312" w:cs="仿宋_GB2312" w:eastAsia="仿宋_GB2312"/>
                <w:sz w:val="21"/>
                <w:color w:val="000000"/>
              </w:rPr>
              <w:t>文件</w:t>
            </w:r>
            <w:r>
              <w:rPr>
                <w:rFonts w:ascii="仿宋_GB2312" w:hAnsi="仿宋_GB2312" w:cs="仿宋_GB2312" w:eastAsia="仿宋_GB2312"/>
                <w:sz w:val="21"/>
                <w:color w:val="000000"/>
              </w:rPr>
              <w:t>处理，并根据技术参数要求提供佐证材料，佐证材料不限于产品彩页、检测报告、官网功能截图、生产厂家加盖公章的技术参数与性能指标证明材料等，未提供或提供的证明材料低于文件规定的相应技术参数时视为负偏离。技术参数未要求提供佐证材料的，以技术响应偏离表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培训要求：</w:t>
            </w:r>
          </w:p>
          <w:p>
            <w:pPr>
              <w:pStyle w:val="null3"/>
              <w:jc w:val="both"/>
            </w:pPr>
            <w:r>
              <w:rPr>
                <w:rFonts w:ascii="仿宋_GB2312" w:hAnsi="仿宋_GB2312" w:cs="仿宋_GB2312" w:eastAsia="仿宋_GB2312"/>
                <w:sz w:val="21"/>
                <w:color w:val="000000"/>
              </w:rPr>
              <w:t>1、培训内容及要求：设备原理，制样，仪器操作，数据处理。</w:t>
            </w:r>
          </w:p>
          <w:p>
            <w:pPr>
              <w:pStyle w:val="null3"/>
            </w:pPr>
            <w:r>
              <w:rPr>
                <w:rFonts w:ascii="仿宋_GB2312" w:hAnsi="仿宋_GB2312" w:cs="仿宋_GB2312" w:eastAsia="仿宋_GB2312"/>
                <w:sz w:val="21"/>
                <w:color w:val="000000"/>
              </w:rPr>
              <w:t>2、培训服务要求：培训≥3人。</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其他要求：</w:t>
            </w:r>
          </w:p>
          <w:p>
            <w:pPr>
              <w:pStyle w:val="null3"/>
            </w:pPr>
            <w:r>
              <w:rPr>
                <w:rFonts w:ascii="仿宋_GB2312" w:hAnsi="仿宋_GB2312" w:cs="仿宋_GB2312" w:eastAsia="仿宋_GB2312"/>
                <w:sz w:val="21"/>
                <w:color w:val="000000"/>
              </w:rPr>
              <w:t>1、提供产品使用寿命承诺书。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合同签订后60日内安装调试完成保证可正常使用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进度款，签订合同后，乙方提供经甲方认可的合同金额100%的预付款保函或双方认可的其他担保措施，达到付款条件起10个工作日内，支付合同总金额的100.0%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安装验收合格之日起两年。（2）售后服务响应时间（质保期内）：即时响应（包括电话响应）；电话响应无法解决72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供应商的情形除外）；以保函形式交纳投标保证金的，投标人应在投标截止时间前将保函扫描成清晰的PDF文件，发送至邮箱2559647209@qq.com（邮件命名：项目编号），并将保函原件单独递交至代理机构财务；投标人应在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二、因系统格式限制，本项目最终签订合同的付款方式为：签订合同后10个工作日内，乙方提供经甲方认可的合同金额100%的预付款保函或双方认可的其他担保措施，支付合同金额的100%。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四、中标（成交）结果发布后，中标供应商在2个工作日内向采购代理机构提供一正一副（和上传文件保持一致的）纸质投标（响应）文件用于备案及档案保存。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2供应商的资格证明材料.docx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2供应商的资格证明材料.docx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法定代表人参加协商的，须提供身份证；法定代表人授权本单位他人参加协商的，须提供法定代表人授权委托书。</w:t>
            </w:r>
          </w:p>
        </w:tc>
        <w:tc>
          <w:tcPr>
            <w:tcW w:type="dxa" w:w="1661"/>
          </w:tcPr>
          <w:p>
            <w:pPr>
              <w:pStyle w:val="null3"/>
            </w:pPr>
            <w:r>
              <w:rPr>
                <w:rFonts w:ascii="仿宋_GB2312" w:hAnsi="仿宋_GB2312" w:cs="仿宋_GB2312" w:eastAsia="仿宋_GB2312"/>
              </w:rPr>
              <w:t>2供应商的资格证明材料.docx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2供应商的资格证明材料.docx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本项目为非专门面向中小企业项目</w:t>
            </w:r>
          </w:p>
        </w:tc>
        <w:tc>
          <w:tcPr>
            <w:tcW w:type="dxa" w:w="3322"/>
          </w:tcPr>
          <w:p>
            <w:pPr>
              <w:pStyle w:val="null3"/>
            </w:pPr>
            <w:r>
              <w:rPr>
                <w:rFonts w:ascii="仿宋_GB2312" w:hAnsi="仿宋_GB2312" w:cs="仿宋_GB2312" w:eastAsia="仿宋_GB2312"/>
              </w:rPr>
              <w:t>本项目为非专门面向中小企业项目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满足本单一来源采购文件中第三章3.4商务要求中“交货时间、交货地点、采购资金的支付方式及约定、验收标准和方法、质量保修范围和保修期”的要求。</w:t>
            </w:r>
          </w:p>
        </w:tc>
        <w:tc>
          <w:tcPr>
            <w:tcW w:type="dxa" w:w="1661"/>
          </w:tcPr>
          <w:p>
            <w:pPr>
              <w:pStyle w:val="null3"/>
            </w:pPr>
            <w:r>
              <w:rPr>
                <w:rFonts w:ascii="仿宋_GB2312" w:hAnsi="仿宋_GB2312" w:cs="仿宋_GB2312" w:eastAsia="仿宋_GB2312"/>
              </w:rPr>
              <w:t>4商务部分偏离表.docx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1分项价格表及设备配置表.docx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不属于法律、法规和单一来源文件规定的其他无效情形</w:t>
            </w:r>
          </w:p>
        </w:tc>
        <w:tc>
          <w:tcPr>
            <w:tcW w:type="dxa" w:w="1661"/>
          </w:tcPr>
          <w:p>
            <w:pPr>
              <w:pStyle w:val="null3"/>
            </w:pPr>
            <w:r>
              <w:rPr>
                <w:rFonts w:ascii="仿宋_GB2312" w:hAnsi="仿宋_GB2312" w:cs="仿宋_GB2312" w:eastAsia="仿宋_GB2312"/>
              </w:rPr>
              <w:t>6技术方案及实施方案、组织机构、售后服务承诺.docx 5技术响应与偏离表.docx 7产品使用寿命承诺书.docx 3承诺书.docx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报价未超过采购文件中规定的采购预算或最高限价的</w:t>
            </w:r>
          </w:p>
        </w:tc>
        <w:tc>
          <w:tcPr>
            <w:tcW w:type="dxa" w:w="1661"/>
          </w:tcPr>
          <w:p>
            <w:pPr>
              <w:pStyle w:val="null3"/>
            </w:pPr>
            <w:r>
              <w:rPr>
                <w:rFonts w:ascii="仿宋_GB2312" w:hAnsi="仿宋_GB2312" w:cs="仿宋_GB2312" w:eastAsia="仿宋_GB2312"/>
              </w:rPr>
              <w:t>本国产品说明.docx 关于符合本国产品标准的声明函.docx 标的清单 报价表 中国境内生产的组件成本核算基本规则.docx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响应文件按照单一来源文件规定要求签署、盖章的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响应有效期满足单一来源文件要求的</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详见附件：1分项价格表及设备配置表.docx</w:t>
      </w:r>
    </w:p>
    <w:p>
      <w:pPr>
        <w:pStyle w:val="null3"/>
        <w:ind w:firstLine="960"/>
      </w:pPr>
      <w:r>
        <w:rPr>
          <w:rFonts w:ascii="仿宋_GB2312" w:hAnsi="仿宋_GB2312" w:cs="仿宋_GB2312" w:eastAsia="仿宋_GB2312"/>
        </w:rPr>
        <w:t>详见附件：2供应商的资格证明材料.docx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详见附件：4商务部分偏离表.docx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详见附件：6技术方案及实施方案、组织机构、售后服务承诺.docx</w:t>
      </w:r>
    </w:p>
    <w:p>
      <w:pPr>
        <w:pStyle w:val="null3"/>
        <w:ind w:firstLine="960"/>
      </w:pPr>
      <w:r>
        <w:rPr>
          <w:rFonts w:ascii="仿宋_GB2312" w:hAnsi="仿宋_GB2312" w:cs="仿宋_GB2312" w:eastAsia="仿宋_GB2312"/>
        </w:rPr>
        <w:t>详见附件：7产品使用寿命承诺书.docx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