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4DD81">
      <w:pPr>
        <w:adjustRightInd w:val="0"/>
        <w:snapToGrid w:val="0"/>
        <w:jc w:val="center"/>
        <w:outlineLvl w:val="9"/>
        <w:rPr>
          <w:rFonts w:hint="eastAsia" w:ascii="宋体" w:hAnsi="宋体" w:eastAsia="宋体" w:cs="宋体"/>
          <w:color w:val="auto"/>
          <w:sz w:val="36"/>
          <w:szCs w:val="36"/>
        </w:rPr>
      </w:pPr>
      <w:r>
        <w:rPr>
          <w:rFonts w:hint="eastAsia" w:ascii="宋体" w:hAnsi="宋体" w:eastAsia="宋体" w:cs="宋体"/>
          <w:color w:val="auto"/>
          <w:sz w:val="36"/>
          <w:szCs w:val="36"/>
        </w:rPr>
        <w:t>仪器设备类采购合同示范文本</w:t>
      </w:r>
    </w:p>
    <w:p w14:paraId="7351A689">
      <w:pPr>
        <w:spacing w:line="480" w:lineRule="exact"/>
        <w:ind w:firstLine="480" w:firstLineChars="200"/>
        <w:outlineLvl w:val="9"/>
        <w:rPr>
          <w:rFonts w:hint="eastAsia" w:ascii="宋体" w:hAnsi="宋体" w:eastAsia="宋体" w:cs="宋体"/>
          <w:color w:val="auto"/>
          <w:sz w:val="24"/>
          <w:szCs w:val="22"/>
        </w:rPr>
      </w:pPr>
    </w:p>
    <w:p w14:paraId="512932AF">
      <w:pPr>
        <w:spacing w:line="48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 xml:space="preserve">  西安建筑科技大学   </w:t>
      </w:r>
    </w:p>
    <w:p w14:paraId="5DE9DCDA">
      <w:pPr>
        <w:spacing w:line="48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2532E1D9">
      <w:pPr>
        <w:spacing w:line="480" w:lineRule="exact"/>
        <w:ind w:firstLine="480" w:firstLineChars="200"/>
        <w:outlineLvl w:val="9"/>
        <w:rPr>
          <w:rFonts w:hint="eastAsia" w:ascii="宋体" w:hAnsi="宋体" w:eastAsia="宋体" w:cs="宋体"/>
          <w:color w:val="auto"/>
          <w:sz w:val="24"/>
          <w:szCs w:val="22"/>
        </w:rPr>
      </w:pPr>
    </w:p>
    <w:p w14:paraId="0D995A1A">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依据《中华人民共和国政府采购法》《中华人民共和国民法典》等相关法律法规，以及</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5B45F173">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一、合同标的</w:t>
      </w:r>
    </w:p>
    <w:p w14:paraId="21247C64">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1.标的明细清单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65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2033C199">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序号</w:t>
            </w:r>
          </w:p>
        </w:tc>
        <w:tc>
          <w:tcPr>
            <w:tcW w:w="1805" w:type="dxa"/>
            <w:noWrap/>
            <w:tcMar>
              <w:top w:w="20" w:type="dxa"/>
              <w:left w:w="20" w:type="dxa"/>
              <w:bottom w:w="0" w:type="dxa"/>
              <w:right w:w="20" w:type="dxa"/>
            </w:tcMar>
            <w:vAlign w:val="center"/>
          </w:tcPr>
          <w:p w14:paraId="4E26E8AD">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980" w:type="dxa"/>
            <w:noWrap/>
            <w:tcMar>
              <w:top w:w="20" w:type="dxa"/>
              <w:left w:w="20" w:type="dxa"/>
              <w:bottom w:w="0" w:type="dxa"/>
              <w:right w:w="20" w:type="dxa"/>
            </w:tcMar>
            <w:vAlign w:val="center"/>
          </w:tcPr>
          <w:p w14:paraId="2DDB5DE4">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品牌、规格、型号</w:t>
            </w:r>
          </w:p>
        </w:tc>
        <w:tc>
          <w:tcPr>
            <w:tcW w:w="886" w:type="dxa"/>
            <w:noWrap/>
            <w:tcMar>
              <w:top w:w="20" w:type="dxa"/>
              <w:left w:w="20" w:type="dxa"/>
              <w:bottom w:w="0" w:type="dxa"/>
              <w:right w:w="20" w:type="dxa"/>
            </w:tcMar>
            <w:vAlign w:val="center"/>
          </w:tcPr>
          <w:p w14:paraId="1B54C57E">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数量</w:t>
            </w:r>
          </w:p>
          <w:p w14:paraId="7B8D283C">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（台、套）</w:t>
            </w:r>
          </w:p>
        </w:tc>
        <w:tc>
          <w:tcPr>
            <w:tcW w:w="985" w:type="dxa"/>
            <w:noWrap/>
            <w:tcMar>
              <w:top w:w="20" w:type="dxa"/>
              <w:left w:w="20" w:type="dxa"/>
              <w:bottom w:w="0" w:type="dxa"/>
              <w:right w:w="20" w:type="dxa"/>
            </w:tcMar>
            <w:vAlign w:val="center"/>
          </w:tcPr>
          <w:p w14:paraId="0E255FE0">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单价</w:t>
            </w:r>
          </w:p>
          <w:p w14:paraId="7357846C">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(万元)</w:t>
            </w:r>
          </w:p>
        </w:tc>
        <w:tc>
          <w:tcPr>
            <w:tcW w:w="984" w:type="dxa"/>
            <w:noWrap/>
            <w:tcMar>
              <w:top w:w="20" w:type="dxa"/>
              <w:left w:w="20" w:type="dxa"/>
              <w:bottom w:w="0" w:type="dxa"/>
              <w:right w:w="20" w:type="dxa"/>
            </w:tcMar>
            <w:vAlign w:val="center"/>
          </w:tcPr>
          <w:p w14:paraId="5BBC771A">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合计</w:t>
            </w:r>
          </w:p>
          <w:p w14:paraId="75EBB271">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（万元）</w:t>
            </w:r>
          </w:p>
        </w:tc>
        <w:tc>
          <w:tcPr>
            <w:tcW w:w="978" w:type="dxa"/>
            <w:noWrap/>
            <w:vAlign w:val="center"/>
          </w:tcPr>
          <w:p w14:paraId="33FA72B9">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生产商</w:t>
            </w:r>
          </w:p>
        </w:tc>
        <w:tc>
          <w:tcPr>
            <w:tcW w:w="580" w:type="dxa"/>
            <w:noWrap/>
            <w:tcMar>
              <w:top w:w="20" w:type="dxa"/>
              <w:left w:w="20" w:type="dxa"/>
              <w:bottom w:w="0" w:type="dxa"/>
              <w:right w:w="20" w:type="dxa"/>
            </w:tcMar>
            <w:vAlign w:val="center"/>
          </w:tcPr>
          <w:p w14:paraId="25CEF9B8">
            <w:pPr>
              <w:spacing w:line="360" w:lineRule="auto"/>
              <w:jc w:val="center"/>
              <w:outlineLvl w:val="9"/>
              <w:rPr>
                <w:rFonts w:hint="eastAsia" w:ascii="宋体" w:hAnsi="宋体" w:eastAsia="宋体" w:cs="宋体"/>
                <w:b/>
                <w:color w:val="auto"/>
                <w:szCs w:val="21"/>
              </w:rPr>
            </w:pPr>
            <w:r>
              <w:rPr>
                <w:rFonts w:hint="eastAsia" w:ascii="宋体" w:hAnsi="宋体" w:eastAsia="宋体" w:cs="宋体"/>
                <w:b/>
                <w:color w:val="auto"/>
                <w:szCs w:val="21"/>
              </w:rPr>
              <w:t>备注</w:t>
            </w:r>
          </w:p>
        </w:tc>
      </w:tr>
      <w:tr w14:paraId="69EA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2E0B4B03">
            <w:pPr>
              <w:spacing w:line="360" w:lineRule="auto"/>
              <w:jc w:val="center"/>
              <w:outlineLvl w:val="9"/>
              <w:rPr>
                <w:rFonts w:hint="eastAsia" w:ascii="宋体" w:hAnsi="宋体" w:eastAsia="宋体" w:cs="宋体"/>
                <w:color w:val="auto"/>
                <w:szCs w:val="21"/>
              </w:rPr>
            </w:pPr>
            <w:r>
              <w:rPr>
                <w:rFonts w:hint="eastAsia" w:ascii="宋体" w:hAnsi="宋体" w:eastAsia="宋体" w:cs="宋体"/>
                <w:color w:val="auto"/>
                <w:szCs w:val="21"/>
              </w:rPr>
              <w:t>1</w:t>
            </w:r>
          </w:p>
        </w:tc>
        <w:tc>
          <w:tcPr>
            <w:tcW w:w="1805" w:type="dxa"/>
            <w:noWrap/>
            <w:tcMar>
              <w:top w:w="20" w:type="dxa"/>
              <w:left w:w="20" w:type="dxa"/>
              <w:bottom w:w="0" w:type="dxa"/>
              <w:right w:w="20" w:type="dxa"/>
            </w:tcMar>
            <w:vAlign w:val="center"/>
          </w:tcPr>
          <w:p w14:paraId="1D97D6C7">
            <w:pPr>
              <w:spacing w:line="360" w:lineRule="auto"/>
              <w:jc w:val="center"/>
              <w:outlineLvl w:val="9"/>
              <w:rPr>
                <w:rFonts w:hint="eastAsia" w:ascii="宋体" w:hAnsi="宋体" w:eastAsia="宋体" w:cs="宋体"/>
                <w:color w:val="auto"/>
                <w:szCs w:val="21"/>
              </w:rPr>
            </w:pPr>
          </w:p>
        </w:tc>
        <w:tc>
          <w:tcPr>
            <w:tcW w:w="1980" w:type="dxa"/>
            <w:noWrap/>
            <w:tcMar>
              <w:top w:w="20" w:type="dxa"/>
              <w:left w:w="20" w:type="dxa"/>
              <w:bottom w:w="0" w:type="dxa"/>
              <w:right w:w="20" w:type="dxa"/>
            </w:tcMar>
            <w:vAlign w:val="center"/>
          </w:tcPr>
          <w:p w14:paraId="6C71E2AD">
            <w:pPr>
              <w:spacing w:line="360" w:lineRule="auto"/>
              <w:jc w:val="center"/>
              <w:outlineLvl w:val="9"/>
              <w:rPr>
                <w:rFonts w:hint="eastAsia" w:ascii="宋体" w:hAnsi="宋体" w:eastAsia="宋体" w:cs="宋体"/>
                <w:color w:val="auto"/>
                <w:szCs w:val="21"/>
              </w:rPr>
            </w:pPr>
          </w:p>
        </w:tc>
        <w:tc>
          <w:tcPr>
            <w:tcW w:w="886" w:type="dxa"/>
            <w:noWrap/>
            <w:tcMar>
              <w:top w:w="20" w:type="dxa"/>
              <w:left w:w="20" w:type="dxa"/>
              <w:bottom w:w="0" w:type="dxa"/>
              <w:right w:w="20" w:type="dxa"/>
            </w:tcMar>
            <w:vAlign w:val="center"/>
          </w:tcPr>
          <w:p w14:paraId="443B346E">
            <w:pPr>
              <w:spacing w:line="360" w:lineRule="auto"/>
              <w:jc w:val="center"/>
              <w:outlineLvl w:val="9"/>
              <w:rPr>
                <w:rFonts w:hint="eastAsia" w:ascii="宋体" w:hAnsi="宋体" w:eastAsia="宋体" w:cs="宋体"/>
                <w:color w:val="auto"/>
                <w:szCs w:val="21"/>
              </w:rPr>
            </w:pPr>
          </w:p>
        </w:tc>
        <w:tc>
          <w:tcPr>
            <w:tcW w:w="985" w:type="dxa"/>
            <w:noWrap/>
            <w:tcMar>
              <w:top w:w="20" w:type="dxa"/>
              <w:left w:w="20" w:type="dxa"/>
              <w:bottom w:w="0" w:type="dxa"/>
              <w:right w:w="20" w:type="dxa"/>
            </w:tcMar>
            <w:vAlign w:val="center"/>
          </w:tcPr>
          <w:p w14:paraId="479B18A4">
            <w:pPr>
              <w:spacing w:line="360" w:lineRule="auto"/>
              <w:jc w:val="center"/>
              <w:outlineLvl w:val="9"/>
              <w:rPr>
                <w:rFonts w:hint="eastAsia" w:ascii="宋体" w:hAnsi="宋体" w:eastAsia="宋体" w:cs="宋体"/>
                <w:color w:val="auto"/>
                <w:szCs w:val="21"/>
              </w:rPr>
            </w:pPr>
          </w:p>
        </w:tc>
        <w:tc>
          <w:tcPr>
            <w:tcW w:w="984" w:type="dxa"/>
            <w:noWrap/>
            <w:tcMar>
              <w:top w:w="20" w:type="dxa"/>
              <w:left w:w="20" w:type="dxa"/>
              <w:bottom w:w="0" w:type="dxa"/>
              <w:right w:w="20" w:type="dxa"/>
            </w:tcMar>
            <w:vAlign w:val="center"/>
          </w:tcPr>
          <w:p w14:paraId="4FD0531E">
            <w:pPr>
              <w:spacing w:line="360" w:lineRule="auto"/>
              <w:jc w:val="center"/>
              <w:outlineLvl w:val="9"/>
              <w:rPr>
                <w:rFonts w:hint="eastAsia" w:ascii="宋体" w:hAnsi="宋体" w:eastAsia="宋体" w:cs="宋体"/>
                <w:color w:val="auto"/>
                <w:szCs w:val="21"/>
              </w:rPr>
            </w:pPr>
          </w:p>
        </w:tc>
        <w:tc>
          <w:tcPr>
            <w:tcW w:w="978" w:type="dxa"/>
            <w:noWrap/>
            <w:vAlign w:val="center"/>
          </w:tcPr>
          <w:p w14:paraId="7C42AFBD">
            <w:pPr>
              <w:spacing w:line="360" w:lineRule="auto"/>
              <w:jc w:val="center"/>
              <w:outlineLvl w:val="9"/>
              <w:rPr>
                <w:rFonts w:hint="eastAsia" w:ascii="宋体" w:hAnsi="宋体" w:eastAsia="宋体" w:cs="宋体"/>
                <w:color w:val="auto"/>
                <w:szCs w:val="21"/>
              </w:rPr>
            </w:pPr>
          </w:p>
        </w:tc>
        <w:tc>
          <w:tcPr>
            <w:tcW w:w="580" w:type="dxa"/>
            <w:noWrap/>
            <w:tcMar>
              <w:top w:w="20" w:type="dxa"/>
              <w:left w:w="20" w:type="dxa"/>
              <w:bottom w:w="0" w:type="dxa"/>
              <w:right w:w="20" w:type="dxa"/>
            </w:tcMar>
            <w:vAlign w:val="center"/>
          </w:tcPr>
          <w:p w14:paraId="1576E311">
            <w:pPr>
              <w:spacing w:line="360" w:lineRule="auto"/>
              <w:jc w:val="center"/>
              <w:outlineLvl w:val="9"/>
              <w:rPr>
                <w:rFonts w:hint="eastAsia" w:ascii="宋体" w:hAnsi="宋体" w:eastAsia="宋体" w:cs="宋体"/>
                <w:color w:val="auto"/>
                <w:szCs w:val="21"/>
              </w:rPr>
            </w:pPr>
          </w:p>
        </w:tc>
      </w:tr>
      <w:tr w14:paraId="3AEB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2F7FE660">
            <w:pPr>
              <w:spacing w:line="360" w:lineRule="auto"/>
              <w:jc w:val="center"/>
              <w:outlineLvl w:val="9"/>
              <w:rPr>
                <w:rFonts w:hint="eastAsia" w:ascii="宋体" w:hAnsi="宋体" w:eastAsia="宋体" w:cs="宋体"/>
                <w:color w:val="auto"/>
                <w:szCs w:val="21"/>
              </w:rPr>
            </w:pPr>
            <w:r>
              <w:rPr>
                <w:rFonts w:hint="eastAsia" w:ascii="宋体" w:hAnsi="宋体" w:eastAsia="宋体" w:cs="宋体"/>
                <w:color w:val="auto"/>
                <w:szCs w:val="21"/>
              </w:rPr>
              <w:t>2</w:t>
            </w:r>
          </w:p>
        </w:tc>
        <w:tc>
          <w:tcPr>
            <w:tcW w:w="1805" w:type="dxa"/>
            <w:noWrap/>
            <w:tcMar>
              <w:top w:w="20" w:type="dxa"/>
              <w:left w:w="20" w:type="dxa"/>
              <w:bottom w:w="0" w:type="dxa"/>
              <w:right w:w="20" w:type="dxa"/>
            </w:tcMar>
            <w:vAlign w:val="center"/>
          </w:tcPr>
          <w:p w14:paraId="2B3110F6">
            <w:pPr>
              <w:spacing w:line="360" w:lineRule="auto"/>
              <w:jc w:val="center"/>
              <w:outlineLvl w:val="9"/>
              <w:rPr>
                <w:rFonts w:hint="eastAsia" w:ascii="宋体" w:hAnsi="宋体" w:eastAsia="宋体" w:cs="宋体"/>
                <w:color w:val="auto"/>
                <w:szCs w:val="21"/>
              </w:rPr>
            </w:pPr>
          </w:p>
        </w:tc>
        <w:tc>
          <w:tcPr>
            <w:tcW w:w="1980" w:type="dxa"/>
            <w:noWrap/>
            <w:tcMar>
              <w:top w:w="20" w:type="dxa"/>
              <w:left w:w="20" w:type="dxa"/>
              <w:bottom w:w="0" w:type="dxa"/>
              <w:right w:w="20" w:type="dxa"/>
            </w:tcMar>
            <w:vAlign w:val="center"/>
          </w:tcPr>
          <w:p w14:paraId="1AEB202F">
            <w:pPr>
              <w:spacing w:line="360" w:lineRule="auto"/>
              <w:jc w:val="center"/>
              <w:outlineLvl w:val="9"/>
              <w:rPr>
                <w:rFonts w:hint="eastAsia" w:ascii="宋体" w:hAnsi="宋体" w:eastAsia="宋体" w:cs="宋体"/>
                <w:color w:val="auto"/>
                <w:szCs w:val="21"/>
              </w:rPr>
            </w:pPr>
          </w:p>
        </w:tc>
        <w:tc>
          <w:tcPr>
            <w:tcW w:w="886" w:type="dxa"/>
            <w:noWrap/>
            <w:tcMar>
              <w:top w:w="20" w:type="dxa"/>
              <w:left w:w="20" w:type="dxa"/>
              <w:bottom w:w="0" w:type="dxa"/>
              <w:right w:w="20" w:type="dxa"/>
            </w:tcMar>
            <w:vAlign w:val="center"/>
          </w:tcPr>
          <w:p w14:paraId="20D570C0">
            <w:pPr>
              <w:spacing w:line="360" w:lineRule="auto"/>
              <w:jc w:val="center"/>
              <w:outlineLvl w:val="9"/>
              <w:rPr>
                <w:rFonts w:hint="eastAsia" w:ascii="宋体" w:hAnsi="宋体" w:eastAsia="宋体" w:cs="宋体"/>
                <w:color w:val="auto"/>
                <w:szCs w:val="21"/>
              </w:rPr>
            </w:pPr>
          </w:p>
        </w:tc>
        <w:tc>
          <w:tcPr>
            <w:tcW w:w="985" w:type="dxa"/>
            <w:noWrap/>
            <w:tcMar>
              <w:top w:w="20" w:type="dxa"/>
              <w:left w:w="20" w:type="dxa"/>
              <w:bottom w:w="0" w:type="dxa"/>
              <w:right w:w="20" w:type="dxa"/>
            </w:tcMar>
            <w:vAlign w:val="center"/>
          </w:tcPr>
          <w:p w14:paraId="32444817">
            <w:pPr>
              <w:spacing w:line="360" w:lineRule="auto"/>
              <w:jc w:val="center"/>
              <w:outlineLvl w:val="9"/>
              <w:rPr>
                <w:rFonts w:hint="eastAsia" w:ascii="宋体" w:hAnsi="宋体" w:eastAsia="宋体" w:cs="宋体"/>
                <w:color w:val="auto"/>
                <w:szCs w:val="21"/>
              </w:rPr>
            </w:pPr>
          </w:p>
        </w:tc>
        <w:tc>
          <w:tcPr>
            <w:tcW w:w="984" w:type="dxa"/>
            <w:noWrap/>
            <w:tcMar>
              <w:top w:w="20" w:type="dxa"/>
              <w:left w:w="20" w:type="dxa"/>
              <w:bottom w:w="0" w:type="dxa"/>
              <w:right w:w="20" w:type="dxa"/>
            </w:tcMar>
            <w:vAlign w:val="center"/>
          </w:tcPr>
          <w:p w14:paraId="5D51E4A0">
            <w:pPr>
              <w:spacing w:line="360" w:lineRule="auto"/>
              <w:jc w:val="center"/>
              <w:outlineLvl w:val="9"/>
              <w:rPr>
                <w:rFonts w:hint="eastAsia" w:ascii="宋体" w:hAnsi="宋体" w:eastAsia="宋体" w:cs="宋体"/>
                <w:color w:val="auto"/>
                <w:szCs w:val="21"/>
              </w:rPr>
            </w:pPr>
          </w:p>
        </w:tc>
        <w:tc>
          <w:tcPr>
            <w:tcW w:w="978" w:type="dxa"/>
            <w:noWrap/>
            <w:vAlign w:val="center"/>
          </w:tcPr>
          <w:p w14:paraId="66A554EF">
            <w:pPr>
              <w:spacing w:line="360" w:lineRule="auto"/>
              <w:jc w:val="center"/>
              <w:outlineLvl w:val="9"/>
              <w:rPr>
                <w:rFonts w:hint="eastAsia" w:ascii="宋体" w:hAnsi="宋体" w:eastAsia="宋体" w:cs="宋体"/>
                <w:color w:val="auto"/>
                <w:kern w:val="0"/>
                <w:szCs w:val="21"/>
              </w:rPr>
            </w:pPr>
          </w:p>
        </w:tc>
        <w:tc>
          <w:tcPr>
            <w:tcW w:w="580" w:type="dxa"/>
            <w:noWrap/>
            <w:tcMar>
              <w:top w:w="20" w:type="dxa"/>
              <w:left w:w="20" w:type="dxa"/>
              <w:bottom w:w="0" w:type="dxa"/>
              <w:right w:w="20" w:type="dxa"/>
            </w:tcMar>
            <w:vAlign w:val="center"/>
          </w:tcPr>
          <w:p w14:paraId="352B07C3">
            <w:pPr>
              <w:spacing w:line="360" w:lineRule="auto"/>
              <w:jc w:val="center"/>
              <w:outlineLvl w:val="9"/>
              <w:rPr>
                <w:rFonts w:hint="eastAsia" w:ascii="宋体" w:hAnsi="宋体" w:eastAsia="宋体" w:cs="宋体"/>
                <w:color w:val="auto"/>
                <w:szCs w:val="21"/>
              </w:rPr>
            </w:pPr>
          </w:p>
        </w:tc>
      </w:tr>
      <w:tr w14:paraId="4FF1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4572960F">
            <w:pPr>
              <w:spacing w:line="360" w:lineRule="auto"/>
              <w:jc w:val="center"/>
              <w:outlineLvl w:val="9"/>
              <w:rPr>
                <w:rFonts w:hint="eastAsia" w:ascii="宋体" w:hAnsi="宋体" w:eastAsia="宋体" w:cs="宋体"/>
                <w:color w:val="auto"/>
                <w:szCs w:val="21"/>
              </w:rPr>
            </w:pPr>
            <w:r>
              <w:rPr>
                <w:rFonts w:hint="eastAsia" w:ascii="宋体" w:hAnsi="宋体" w:eastAsia="宋体" w:cs="宋体"/>
                <w:color w:val="auto"/>
                <w:szCs w:val="21"/>
              </w:rPr>
              <w:t>3</w:t>
            </w:r>
          </w:p>
        </w:tc>
        <w:tc>
          <w:tcPr>
            <w:tcW w:w="1805" w:type="dxa"/>
            <w:noWrap/>
            <w:tcMar>
              <w:top w:w="20" w:type="dxa"/>
              <w:left w:w="20" w:type="dxa"/>
              <w:bottom w:w="0" w:type="dxa"/>
              <w:right w:w="20" w:type="dxa"/>
            </w:tcMar>
            <w:vAlign w:val="center"/>
          </w:tcPr>
          <w:p w14:paraId="62A4497C">
            <w:pPr>
              <w:spacing w:line="360" w:lineRule="auto"/>
              <w:jc w:val="center"/>
              <w:outlineLvl w:val="9"/>
              <w:rPr>
                <w:rFonts w:hint="eastAsia" w:ascii="宋体" w:hAnsi="宋体" w:eastAsia="宋体" w:cs="宋体"/>
                <w:color w:val="auto"/>
                <w:szCs w:val="21"/>
              </w:rPr>
            </w:pPr>
          </w:p>
        </w:tc>
        <w:tc>
          <w:tcPr>
            <w:tcW w:w="1980" w:type="dxa"/>
            <w:noWrap/>
            <w:tcMar>
              <w:top w:w="20" w:type="dxa"/>
              <w:left w:w="20" w:type="dxa"/>
              <w:bottom w:w="0" w:type="dxa"/>
              <w:right w:w="20" w:type="dxa"/>
            </w:tcMar>
            <w:vAlign w:val="center"/>
          </w:tcPr>
          <w:p w14:paraId="2B97907C">
            <w:pPr>
              <w:spacing w:line="360" w:lineRule="auto"/>
              <w:jc w:val="center"/>
              <w:outlineLvl w:val="9"/>
              <w:rPr>
                <w:rFonts w:hint="eastAsia" w:ascii="宋体" w:hAnsi="宋体" w:eastAsia="宋体" w:cs="宋体"/>
                <w:color w:val="auto"/>
                <w:szCs w:val="21"/>
              </w:rPr>
            </w:pPr>
          </w:p>
        </w:tc>
        <w:tc>
          <w:tcPr>
            <w:tcW w:w="886" w:type="dxa"/>
            <w:noWrap/>
            <w:tcMar>
              <w:top w:w="20" w:type="dxa"/>
              <w:left w:w="20" w:type="dxa"/>
              <w:bottom w:w="0" w:type="dxa"/>
              <w:right w:w="20" w:type="dxa"/>
            </w:tcMar>
            <w:vAlign w:val="center"/>
          </w:tcPr>
          <w:p w14:paraId="48F29FB1">
            <w:pPr>
              <w:spacing w:line="360" w:lineRule="auto"/>
              <w:jc w:val="center"/>
              <w:outlineLvl w:val="9"/>
              <w:rPr>
                <w:rFonts w:hint="eastAsia" w:ascii="宋体" w:hAnsi="宋体" w:eastAsia="宋体" w:cs="宋体"/>
                <w:color w:val="auto"/>
                <w:szCs w:val="21"/>
              </w:rPr>
            </w:pPr>
          </w:p>
        </w:tc>
        <w:tc>
          <w:tcPr>
            <w:tcW w:w="985" w:type="dxa"/>
            <w:noWrap/>
            <w:tcMar>
              <w:top w:w="20" w:type="dxa"/>
              <w:left w:w="20" w:type="dxa"/>
              <w:bottom w:w="0" w:type="dxa"/>
              <w:right w:w="20" w:type="dxa"/>
            </w:tcMar>
            <w:vAlign w:val="center"/>
          </w:tcPr>
          <w:p w14:paraId="3729EB48">
            <w:pPr>
              <w:spacing w:line="360" w:lineRule="auto"/>
              <w:jc w:val="center"/>
              <w:outlineLvl w:val="9"/>
              <w:rPr>
                <w:rFonts w:hint="eastAsia" w:ascii="宋体" w:hAnsi="宋体" w:eastAsia="宋体" w:cs="宋体"/>
                <w:color w:val="auto"/>
                <w:szCs w:val="21"/>
              </w:rPr>
            </w:pPr>
          </w:p>
        </w:tc>
        <w:tc>
          <w:tcPr>
            <w:tcW w:w="984" w:type="dxa"/>
            <w:noWrap/>
            <w:tcMar>
              <w:top w:w="20" w:type="dxa"/>
              <w:left w:w="20" w:type="dxa"/>
              <w:bottom w:w="0" w:type="dxa"/>
              <w:right w:w="20" w:type="dxa"/>
            </w:tcMar>
            <w:vAlign w:val="center"/>
          </w:tcPr>
          <w:p w14:paraId="635834B5">
            <w:pPr>
              <w:spacing w:line="360" w:lineRule="auto"/>
              <w:jc w:val="center"/>
              <w:outlineLvl w:val="9"/>
              <w:rPr>
                <w:rFonts w:hint="eastAsia" w:ascii="宋体" w:hAnsi="宋体" w:eastAsia="宋体" w:cs="宋体"/>
                <w:color w:val="auto"/>
                <w:szCs w:val="21"/>
              </w:rPr>
            </w:pPr>
          </w:p>
        </w:tc>
        <w:tc>
          <w:tcPr>
            <w:tcW w:w="978" w:type="dxa"/>
            <w:noWrap/>
            <w:vAlign w:val="center"/>
          </w:tcPr>
          <w:p w14:paraId="4E91BABF">
            <w:pPr>
              <w:spacing w:line="360" w:lineRule="auto"/>
              <w:jc w:val="center"/>
              <w:outlineLvl w:val="9"/>
              <w:rPr>
                <w:rFonts w:hint="eastAsia" w:ascii="宋体" w:hAnsi="宋体" w:eastAsia="宋体" w:cs="宋体"/>
                <w:color w:val="auto"/>
                <w:szCs w:val="21"/>
              </w:rPr>
            </w:pPr>
          </w:p>
        </w:tc>
        <w:tc>
          <w:tcPr>
            <w:tcW w:w="580" w:type="dxa"/>
            <w:noWrap/>
            <w:tcMar>
              <w:top w:w="20" w:type="dxa"/>
              <w:left w:w="20" w:type="dxa"/>
              <w:bottom w:w="0" w:type="dxa"/>
              <w:right w:w="20" w:type="dxa"/>
            </w:tcMar>
            <w:vAlign w:val="center"/>
          </w:tcPr>
          <w:p w14:paraId="6CACFAE9">
            <w:pPr>
              <w:spacing w:line="360" w:lineRule="auto"/>
              <w:jc w:val="center"/>
              <w:outlineLvl w:val="9"/>
              <w:rPr>
                <w:rFonts w:hint="eastAsia" w:ascii="宋体" w:hAnsi="宋体" w:eastAsia="宋体" w:cs="宋体"/>
                <w:color w:val="auto"/>
                <w:szCs w:val="21"/>
              </w:rPr>
            </w:pPr>
          </w:p>
        </w:tc>
      </w:tr>
      <w:tr w14:paraId="5E68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157E05D4">
            <w:pPr>
              <w:spacing w:line="360" w:lineRule="auto"/>
              <w:jc w:val="center"/>
              <w:outlineLvl w:val="9"/>
              <w:rPr>
                <w:rFonts w:hint="eastAsia" w:ascii="宋体" w:hAnsi="宋体" w:eastAsia="宋体" w:cs="宋体"/>
                <w:color w:val="auto"/>
                <w:szCs w:val="21"/>
              </w:rPr>
            </w:pPr>
            <w:r>
              <w:rPr>
                <w:rFonts w:hint="eastAsia" w:ascii="宋体" w:hAnsi="宋体" w:eastAsia="宋体" w:cs="宋体"/>
                <w:color w:val="auto"/>
                <w:szCs w:val="21"/>
              </w:rPr>
              <w:t>合同金额(元)</w:t>
            </w:r>
          </w:p>
        </w:tc>
        <w:tc>
          <w:tcPr>
            <w:tcW w:w="4413" w:type="dxa"/>
            <w:gridSpan w:val="5"/>
            <w:noWrap/>
            <w:tcMar>
              <w:top w:w="20" w:type="dxa"/>
              <w:left w:w="20" w:type="dxa"/>
              <w:bottom w:w="0" w:type="dxa"/>
              <w:right w:w="20" w:type="dxa"/>
            </w:tcMar>
            <w:vAlign w:val="center"/>
          </w:tcPr>
          <w:p w14:paraId="3791D315">
            <w:pPr>
              <w:spacing w:line="360" w:lineRule="auto"/>
              <w:jc w:val="left"/>
              <w:outlineLvl w:val="9"/>
              <w:rPr>
                <w:rFonts w:hint="eastAsia" w:ascii="宋体" w:hAnsi="宋体" w:eastAsia="宋体" w:cs="宋体"/>
                <w:color w:val="auto"/>
                <w:szCs w:val="21"/>
              </w:rPr>
            </w:pPr>
            <w:r>
              <w:rPr>
                <w:rFonts w:hint="eastAsia" w:ascii="宋体" w:hAnsi="宋体" w:eastAsia="宋体" w:cs="宋体"/>
                <w:color w:val="auto"/>
                <w:szCs w:val="21"/>
              </w:rPr>
              <w:t xml:space="preserve">大写： </w:t>
            </w:r>
          </w:p>
        </w:tc>
      </w:tr>
      <w:tr w14:paraId="28D0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3B4B2323">
            <w:pPr>
              <w:spacing w:line="360" w:lineRule="auto"/>
              <w:jc w:val="center"/>
              <w:outlineLvl w:val="9"/>
              <w:rPr>
                <w:rFonts w:hint="eastAsia" w:ascii="宋体" w:hAnsi="宋体" w:eastAsia="宋体" w:cs="宋体"/>
                <w:color w:val="auto"/>
                <w:szCs w:val="21"/>
              </w:rPr>
            </w:pPr>
          </w:p>
        </w:tc>
        <w:tc>
          <w:tcPr>
            <w:tcW w:w="4413" w:type="dxa"/>
            <w:gridSpan w:val="5"/>
            <w:noWrap/>
            <w:tcMar>
              <w:top w:w="20" w:type="dxa"/>
              <w:left w:w="20" w:type="dxa"/>
              <w:bottom w:w="0" w:type="dxa"/>
              <w:right w:w="20" w:type="dxa"/>
            </w:tcMar>
            <w:vAlign w:val="center"/>
          </w:tcPr>
          <w:p w14:paraId="7510E7CF">
            <w:pPr>
              <w:spacing w:line="360" w:lineRule="auto"/>
              <w:jc w:val="left"/>
              <w:outlineLvl w:val="9"/>
              <w:rPr>
                <w:rFonts w:hint="eastAsia" w:ascii="宋体" w:hAnsi="宋体" w:eastAsia="宋体" w:cs="宋体"/>
                <w:color w:val="auto"/>
                <w:szCs w:val="21"/>
              </w:rPr>
            </w:pPr>
            <w:r>
              <w:rPr>
                <w:rFonts w:hint="eastAsia" w:ascii="宋体" w:hAnsi="宋体" w:eastAsia="宋体" w:cs="宋体"/>
                <w:color w:val="auto"/>
                <w:szCs w:val="21"/>
              </w:rPr>
              <w:t>小写：   元</w:t>
            </w:r>
          </w:p>
        </w:tc>
      </w:tr>
    </w:tbl>
    <w:p w14:paraId="3DC79CDF">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2.上述合同金额为一次性包干总价，不受市场价格的变化和影响，在合同不发生变更时作为付款结算的依据。</w:t>
      </w:r>
    </w:p>
    <w:p w14:paraId="5E5286D0">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495E4E20">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4.在实际合同履行过程中，如果乙方未完全履行合同义务或履行的合同义务不符合约定的，则未履行或履行不符合合同约定的内容所对应的价款由甲方直接从上述约定的包干价中扣除。</w:t>
      </w:r>
    </w:p>
    <w:p w14:paraId="474B5497">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二、货物质量</w:t>
      </w:r>
    </w:p>
    <w:p w14:paraId="58F24D97">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13FA9822">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2.乙方提供的设备及配套产品须</w:t>
      </w:r>
      <w:r>
        <w:rPr>
          <w:rFonts w:hint="eastAsia" w:ascii="宋体" w:hAnsi="宋体" w:eastAsia="宋体" w:cs="宋体"/>
          <w:color w:val="auto"/>
          <w:sz w:val="24"/>
          <w:szCs w:val="24"/>
        </w:rPr>
        <w:t>符合国家有关质量标准、规范和环保要求。</w:t>
      </w:r>
    </w:p>
    <w:p w14:paraId="514B6BF7">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0A334C00">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4.乙方提供的设备及配套产品必须能按国家标准供应、检测、调试，确保产品技术指标满足使用要求。</w:t>
      </w:r>
    </w:p>
    <w:p w14:paraId="16EB2E51">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5.除非技术规范中另有规定，计量单位均采用中华人民共和国法定计量单位。</w:t>
      </w:r>
    </w:p>
    <w:p w14:paraId="1197901B">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三、交货时间及交货地点</w:t>
      </w:r>
    </w:p>
    <w:p w14:paraId="5B7DAC96">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1.交货（安装）地点：</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（具体到房间）。乙方要提供整套合格产品，切实做好安全防护相关工作，并负责安排卸货和安装所需工具以及人员。</w:t>
      </w:r>
    </w:p>
    <w:p w14:paraId="16880D8D">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2.交货日期：20</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日前或合同签订后</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个工作日内，乙方负责将产品运输到交货（安装）地点，并按照验收标准和验收程序完成设备的安装、调试和验收工作。乙方交货时须保证产品包装完好，安装调试及验收时设备外观无划痕，设备质量完好。</w:t>
      </w:r>
    </w:p>
    <w:p w14:paraId="0BD24D09">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四、货物交付及验收</w:t>
      </w:r>
    </w:p>
    <w:p w14:paraId="61F2203F">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1.货物交付</w:t>
      </w:r>
    </w:p>
    <w:p w14:paraId="7D8F5C17">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33E3A042">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1.2乙方负责提供货物（设备）相应的技术资料，包括产品合格证、产品保修单、安装使用及维护说明书以及运输装箱清单等,并对所有技术材料的真实性、准确性、先进性、完整性负责。</w:t>
      </w:r>
    </w:p>
    <w:p w14:paraId="39274EAA">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0C371ABD">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63C0A036">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0189123D">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9E0C473">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1.6乙方应向甲方提供有关标准的中文文本。</w:t>
      </w:r>
    </w:p>
    <w:p w14:paraId="6911D13F">
      <w:pPr>
        <w:widowControl/>
        <w:spacing w:line="480" w:lineRule="exact"/>
        <w:ind w:firstLine="482"/>
        <w:jc w:val="left"/>
        <w:outlineLvl w:val="9"/>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2.验收</w:t>
      </w:r>
    </w:p>
    <w:p w14:paraId="0CAB8C30">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2.1验收方法及标准：</w:t>
      </w:r>
      <w:r>
        <w:rPr>
          <w:rFonts w:hint="eastAsia" w:ascii="宋体" w:hAnsi="宋体" w:eastAsia="宋体" w:cs="宋体"/>
          <w:color w:val="auto"/>
          <w:kern w:val="0"/>
          <w:sz w:val="24"/>
          <w:szCs w:val="24"/>
          <w:u w:val="single"/>
        </w:rPr>
        <w:t xml:space="preserve"> 具体详见附件2 </w:t>
      </w:r>
      <w:r>
        <w:rPr>
          <w:rFonts w:hint="eastAsia" w:ascii="宋体" w:hAnsi="宋体" w:eastAsia="宋体" w:cs="宋体"/>
          <w:color w:val="auto"/>
          <w:kern w:val="0"/>
          <w:sz w:val="24"/>
          <w:szCs w:val="24"/>
        </w:rPr>
        <w:t>。</w:t>
      </w:r>
    </w:p>
    <w:p w14:paraId="531F89DE">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五、合同价款支付及履约保证金</w:t>
      </w:r>
    </w:p>
    <w:p w14:paraId="218E71B3">
      <w:pPr>
        <w:snapToGrid w:val="0"/>
        <w:spacing w:line="480" w:lineRule="exact"/>
        <w:ind w:firstLine="482" w:firstLineChars="200"/>
        <w:outlineLvl w:val="9"/>
        <w:rPr>
          <w:rFonts w:hint="eastAsia" w:ascii="宋体" w:hAnsi="宋体" w:eastAsia="宋体" w:cs="宋体"/>
          <w:b/>
          <w:bCs/>
          <w:color w:val="auto"/>
          <w:sz w:val="24"/>
          <w:szCs w:val="24"/>
        </w:rPr>
      </w:pPr>
      <w:r>
        <w:rPr>
          <w:rFonts w:hint="eastAsia" w:ascii="宋体" w:hAnsi="宋体" w:eastAsia="宋体" w:cs="宋体"/>
          <w:b/>
          <w:bCs/>
          <w:color w:val="auto"/>
          <w:sz w:val="24"/>
          <w:szCs w:val="24"/>
        </w:rPr>
        <w:t>1. 合同价款支付</w:t>
      </w:r>
    </w:p>
    <w:p w14:paraId="1B0643D1">
      <w:pPr>
        <w:snapToGrid w:val="0"/>
        <w:spacing w:line="480" w:lineRule="exact"/>
        <w:ind w:firstLine="482" w:firstLineChars="20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1.1合同价款支付方式</w:t>
      </w:r>
    </w:p>
    <w:p w14:paraId="62F1108A">
      <w:pPr>
        <w:snapToGrid w:val="0"/>
        <w:spacing w:line="480" w:lineRule="exact"/>
        <w:ind w:firstLine="482" w:firstLineChars="20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签订合同后1</w:t>
      </w:r>
      <w:r>
        <w:rPr>
          <w:rFonts w:hint="eastAsia" w:ascii="宋体" w:hAnsi="宋体" w:cs="宋体"/>
          <w:b/>
          <w:bCs/>
          <w:color w:val="auto"/>
          <w:sz w:val="24"/>
          <w:szCs w:val="24"/>
          <w:highlight w:val="none"/>
          <w:lang w:val="en-US" w:eastAsia="zh-CN"/>
        </w:rPr>
        <w:t>0个工作</w:t>
      </w:r>
      <w:r>
        <w:rPr>
          <w:rFonts w:hint="eastAsia" w:ascii="宋体" w:hAnsi="宋体" w:eastAsia="宋体" w:cs="宋体"/>
          <w:b/>
          <w:bCs/>
          <w:color w:val="auto"/>
          <w:sz w:val="24"/>
          <w:szCs w:val="24"/>
          <w:highlight w:val="none"/>
        </w:rPr>
        <w:t>日内，乙方提供经甲方认可的合同金额100%的预付款保函或双方认可的其他担保措施，支付合同金额的100%。</w:t>
      </w:r>
    </w:p>
    <w:p w14:paraId="2CA28AEA">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1.2甲方向乙方付款时，乙方须向甲方出具合同总价款的增值税专用发票。</w:t>
      </w:r>
    </w:p>
    <w:p w14:paraId="1BBF298E">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2.履约保证金</w:t>
      </w:r>
    </w:p>
    <w:p w14:paraId="29A5B677">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2.1乙方应在收到中标（成交）通知书后3个工作日内，向甲方提交合同总价5%的履约保证金；</w:t>
      </w:r>
    </w:p>
    <w:p w14:paraId="53F732EE">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2.2履约保证金应使用人民币，按</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方式提交；</w:t>
      </w:r>
    </w:p>
    <w:p w14:paraId="40A5970D">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2.3项目全部完成并由甲方验收合格后，乙方申请，甲方应把履约保证金（无息）退还乙方。</w:t>
      </w:r>
    </w:p>
    <w:p w14:paraId="4B36F027">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六、质量保证期及售后服务</w:t>
      </w:r>
    </w:p>
    <w:p w14:paraId="26BCDF50">
      <w:pPr>
        <w:widowControl/>
        <w:spacing w:line="480" w:lineRule="exact"/>
        <w:ind w:firstLine="482"/>
        <w:jc w:val="left"/>
        <w:outlineLvl w:val="9"/>
        <w:rPr>
          <w:rFonts w:hint="eastAsia" w:ascii="宋体" w:hAnsi="宋体" w:eastAsia="宋体" w:cs="宋体"/>
          <w:color w:val="auto"/>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sz w:val="24"/>
          <w:szCs w:val="24"/>
        </w:rPr>
        <w:t>产品质量保证期为甲方最终设备验收合格后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A20A296">
      <w:pPr>
        <w:widowControl/>
        <w:spacing w:line="480" w:lineRule="exact"/>
        <w:ind w:firstLine="482"/>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2.质保期内乙方对甲方提出的服务响应不得超出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14:paraId="289C78F5">
      <w:pPr>
        <w:widowControl/>
        <w:spacing w:line="480" w:lineRule="exact"/>
        <w:ind w:firstLine="482"/>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3.售后服务：具体服务详见乙方投标文件中乙方的承诺书。</w:t>
      </w:r>
    </w:p>
    <w:p w14:paraId="358E74B1">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sz w:val="24"/>
          <w:szCs w:val="24"/>
        </w:rPr>
        <w:t>4.人员培训：乙方终身免费为甲方培训设备使用人员，培训内容包括：设备操作、维护、简单维修等。</w:t>
      </w:r>
    </w:p>
    <w:p w14:paraId="3E00F0CD">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七、违约责任</w:t>
      </w:r>
    </w:p>
    <w:p w14:paraId="1CE7FEFC">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1.合同生效后，甲乙双方应按合同规定认真履约。合同履约责任只涉及合同甲乙双方，不考虑第三方因素。</w:t>
      </w:r>
    </w:p>
    <w:p w14:paraId="37783344">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2.除不可抗力原因外，如遇下列情况之一者，乙方所缴纳的履约保证金、产品质量保证金甲方有权不予退还，作为对甲方的赔偿，且甲方有权解除本合同：</w:t>
      </w:r>
    </w:p>
    <w:p w14:paraId="0D8310B8">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（1）合同签订后不能按合同时限要求供货或安装调试；</w:t>
      </w:r>
    </w:p>
    <w:p w14:paraId="133AB25E">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（2）所供设备不合格、与合同不符；</w:t>
      </w:r>
    </w:p>
    <w:p w14:paraId="7AB4910B">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（3）不能按合同履约；</w:t>
      </w:r>
    </w:p>
    <w:p w14:paraId="2015D7D7">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（4）因产品质量原因，不能通过验收。</w:t>
      </w:r>
    </w:p>
    <w:p w14:paraId="0D2F1782">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3.如乙方产品质量不符合国家标准、行业内控标准或本合同技术附件要求的，甲方有权退货，乙方应退还全部货款，并承担甲方合同总价款10％的违约金及其他损失。</w:t>
      </w:r>
    </w:p>
    <w:p w14:paraId="4F6A74A7">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4.在合同规定的供货期内乙方未全部交货，除应在</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天内如数补齐外，还应承担合同总款的10％违约金。</w:t>
      </w:r>
    </w:p>
    <w:p w14:paraId="5C094282">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5.乙方对货物不按招标文件要求，擅自更换，除恢复原招标产品外，应承担更换部分价款10%的违约金；乙方如对产品材质、随机配品以次充好，除全部按要求恢复外，应承担此部分价款10%的违约金。</w:t>
      </w:r>
    </w:p>
    <w:p w14:paraId="3FCC4C3F">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5A8C2DE">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171743">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8.出现下列情形之一的，视为乙方违约。甲方可向乙方发出书面通知，部分或全部终止合同，同时保留向乙方索赔的权利，具体情形如下：</w:t>
      </w:r>
    </w:p>
    <w:p w14:paraId="7EF76A25">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（1）乙方未能在合同规定的限期或甲方同意延长的限期内，提供全部或部分货物的； </w:t>
      </w:r>
    </w:p>
    <w:p w14:paraId="388CDA09">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（2）乙方未能履行合同规定的其它主要义务的；</w:t>
      </w:r>
    </w:p>
    <w:p w14:paraId="23C1F66D">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（3）乙方在本合同履行过程中有欺诈行为的。</w:t>
      </w:r>
    </w:p>
    <w:p w14:paraId="4B873E4A">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9.索赔：</w:t>
      </w:r>
      <w:r>
        <w:rPr>
          <w:rFonts w:hint="eastAsia" w:ascii="宋体" w:hAnsi="宋体" w:eastAsia="宋体" w:cs="宋体"/>
          <w:color w:val="auto"/>
          <w:kern w:val="0"/>
          <w:sz w:val="24"/>
          <w:szCs w:val="24"/>
          <w:u w:val="single"/>
        </w:rPr>
        <w:t xml:space="preserve"> 具体详见附件3 </w:t>
      </w:r>
      <w:r>
        <w:rPr>
          <w:rFonts w:hint="eastAsia" w:ascii="宋体" w:hAnsi="宋体" w:eastAsia="宋体" w:cs="宋体"/>
          <w:color w:val="auto"/>
          <w:kern w:val="0"/>
          <w:sz w:val="24"/>
          <w:szCs w:val="24"/>
        </w:rPr>
        <w:t>。</w:t>
      </w:r>
    </w:p>
    <w:p w14:paraId="23AA8D68">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0155C2A2">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八、合同争议的解决：</w:t>
      </w:r>
    </w:p>
    <w:p w14:paraId="690ED005">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1.甲乙双方由于本合同的履行而发生任何争议时，双方可先通过协商解决。</w:t>
      </w:r>
    </w:p>
    <w:p w14:paraId="17238295">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2.任何一方不愿通过协商或通过协商仍不能解决争议，则双方中任何一方均应向甲方所在地人民法院起诉。</w:t>
      </w:r>
    </w:p>
    <w:p w14:paraId="68108995">
      <w:pPr>
        <w:widowControl/>
        <w:spacing w:line="480" w:lineRule="exact"/>
        <w:ind w:firstLine="482"/>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九、其他：</w:t>
      </w:r>
    </w:p>
    <w:p w14:paraId="63D843EF">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1.合同经双方签字盖章后生效。本合同一式五份，甲方执四份，乙方执一份，执行完毕后自行失效。</w:t>
      </w:r>
    </w:p>
    <w:p w14:paraId="22ACED4B">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3.合同的附件、投标文件均作为本合同不可分割的内容，且具有同等法律效力。合同的附件由甲方使用单位负责审核并签章。</w:t>
      </w:r>
    </w:p>
    <w:p w14:paraId="28BE095B">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4.在本合同执行过程中，甲、乙双方协商签订的补充合同与原合同具有同等法律效力。</w:t>
      </w:r>
    </w:p>
    <w:p w14:paraId="44E89496">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5.未尽事宜，双方协商解决。</w:t>
      </w:r>
    </w:p>
    <w:p w14:paraId="3BEFE5E6">
      <w:pPr>
        <w:snapToGrid w:val="0"/>
        <w:spacing w:line="440" w:lineRule="exact"/>
        <w:ind w:firstLine="420" w:firstLineChars="200"/>
        <w:outlineLvl w:val="9"/>
        <w:rPr>
          <w:rFonts w:hint="eastAsia" w:ascii="宋体" w:hAnsi="宋体" w:eastAsia="宋体" w:cs="宋体"/>
          <w:color w:val="auto"/>
          <w:szCs w:val="21"/>
        </w:rPr>
      </w:pPr>
    </w:p>
    <w:p w14:paraId="7A3E0FAE">
      <w:pPr>
        <w:snapToGrid w:val="0"/>
        <w:spacing w:line="480" w:lineRule="exact"/>
        <w:outlineLvl w:val="9"/>
        <w:rPr>
          <w:rFonts w:hint="eastAsia" w:ascii="宋体" w:hAnsi="宋体" w:eastAsia="宋体" w:cs="宋体"/>
          <w:b/>
          <w:color w:val="auto"/>
          <w:szCs w:val="21"/>
        </w:rPr>
      </w:pPr>
      <w:r>
        <w:rPr>
          <w:rFonts w:hint="eastAsia" w:ascii="宋体" w:hAnsi="宋体" w:eastAsia="宋体" w:cs="宋体"/>
          <w:b/>
          <w:color w:val="auto"/>
          <w:szCs w:val="21"/>
        </w:rPr>
        <w:t>合同签订地点：西安建筑科技大学</w:t>
      </w:r>
    </w:p>
    <w:p w14:paraId="11239D4A">
      <w:pPr>
        <w:snapToGrid w:val="0"/>
        <w:spacing w:line="480" w:lineRule="exact"/>
        <w:outlineLvl w:val="9"/>
        <w:rPr>
          <w:rFonts w:hint="eastAsia" w:ascii="宋体" w:hAnsi="宋体" w:eastAsia="宋体" w:cs="宋体"/>
          <w:b/>
          <w:color w:val="auto"/>
          <w:szCs w:val="21"/>
        </w:rPr>
      </w:pPr>
      <w:r>
        <w:rPr>
          <w:rFonts w:hint="eastAsia" w:ascii="宋体" w:hAnsi="宋体" w:eastAsia="宋体" w:cs="宋体"/>
          <w:b/>
          <w:color w:val="auto"/>
          <w:szCs w:val="21"/>
        </w:rPr>
        <w:t>合同签订时间：      年    月    日</w:t>
      </w:r>
    </w:p>
    <w:p w14:paraId="3A25F0B1">
      <w:pPr>
        <w:rPr>
          <w:rFonts w:hint="eastAsia" w:ascii="宋体" w:hAnsi="宋体" w:eastAsia="宋体" w:cs="宋体"/>
          <w:b/>
          <w:color w:val="auto"/>
          <w:szCs w:val="21"/>
        </w:rPr>
      </w:pPr>
      <w:r>
        <w:rPr>
          <w:rFonts w:hint="eastAsia" w:ascii="宋体" w:hAnsi="宋体" w:eastAsia="宋体" w:cs="宋体"/>
          <w:b/>
          <w:color w:val="auto"/>
          <w:szCs w:val="21"/>
        </w:rPr>
        <w:br w:type="page"/>
      </w:r>
    </w:p>
    <w:p w14:paraId="5A1A4ED4">
      <w:pPr>
        <w:snapToGrid w:val="0"/>
        <w:spacing w:line="480" w:lineRule="exact"/>
        <w:outlineLvl w:val="9"/>
        <w:rPr>
          <w:rFonts w:hint="eastAsia" w:ascii="宋体" w:hAnsi="宋体" w:eastAsia="宋体" w:cs="宋体"/>
          <w:b/>
          <w:color w:val="auto"/>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98F4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48B4A62">
            <w:pPr>
              <w:outlineLvl w:val="9"/>
              <w:rPr>
                <w:rFonts w:hint="eastAsia" w:ascii="宋体" w:hAnsi="宋体" w:eastAsia="宋体" w:cs="宋体"/>
                <w:b/>
                <w:color w:val="auto"/>
                <w:szCs w:val="21"/>
              </w:rPr>
            </w:pPr>
            <w:r>
              <w:rPr>
                <w:rFonts w:hint="eastAsia" w:ascii="宋体" w:hAnsi="宋体" w:eastAsia="宋体" w:cs="宋体"/>
                <w:b/>
                <w:color w:val="auto"/>
                <w:szCs w:val="21"/>
              </w:rPr>
              <w:t>甲  方（盖章）：西安建筑科技大学</w:t>
            </w:r>
          </w:p>
        </w:tc>
        <w:tc>
          <w:tcPr>
            <w:tcW w:w="4503" w:type="dxa"/>
            <w:vAlign w:val="center"/>
          </w:tcPr>
          <w:p w14:paraId="7D89FF24">
            <w:pPr>
              <w:outlineLvl w:val="9"/>
              <w:rPr>
                <w:rFonts w:hint="eastAsia" w:ascii="宋体" w:hAnsi="宋体" w:eastAsia="宋体" w:cs="宋体"/>
                <w:color w:val="auto"/>
                <w:szCs w:val="21"/>
              </w:rPr>
            </w:pPr>
            <w:r>
              <w:rPr>
                <w:rFonts w:hint="eastAsia" w:ascii="宋体" w:hAnsi="宋体" w:eastAsia="宋体" w:cs="宋体"/>
                <w:b/>
                <w:color w:val="auto"/>
                <w:szCs w:val="21"/>
              </w:rPr>
              <w:t>乙  方（盖章）：</w:t>
            </w:r>
          </w:p>
        </w:tc>
      </w:tr>
      <w:tr w14:paraId="7950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1BB133C">
            <w:pPr>
              <w:outlineLvl w:val="9"/>
              <w:rPr>
                <w:rFonts w:hint="eastAsia" w:ascii="宋体" w:hAnsi="宋体" w:eastAsia="宋体" w:cs="宋体"/>
                <w:color w:val="auto"/>
                <w:szCs w:val="21"/>
              </w:rPr>
            </w:pPr>
            <w:r>
              <w:rPr>
                <w:rFonts w:hint="eastAsia" w:ascii="宋体" w:hAnsi="宋体" w:eastAsia="宋体" w:cs="宋体"/>
                <w:b/>
                <w:color w:val="auto"/>
                <w:szCs w:val="21"/>
              </w:rPr>
              <w:t>地  址：西安市雁塔路13号</w:t>
            </w:r>
          </w:p>
        </w:tc>
        <w:tc>
          <w:tcPr>
            <w:tcW w:w="4503" w:type="dxa"/>
            <w:vAlign w:val="center"/>
          </w:tcPr>
          <w:p w14:paraId="42ABD7A6">
            <w:pPr>
              <w:outlineLvl w:val="9"/>
              <w:rPr>
                <w:rFonts w:hint="eastAsia" w:ascii="宋体" w:hAnsi="宋体" w:eastAsia="宋体" w:cs="宋体"/>
                <w:color w:val="auto"/>
                <w:szCs w:val="21"/>
              </w:rPr>
            </w:pPr>
            <w:r>
              <w:rPr>
                <w:rFonts w:hint="eastAsia" w:ascii="宋体" w:hAnsi="宋体" w:eastAsia="宋体" w:cs="宋体"/>
                <w:b/>
                <w:color w:val="auto"/>
                <w:szCs w:val="21"/>
              </w:rPr>
              <w:t>地  址：</w:t>
            </w:r>
          </w:p>
        </w:tc>
      </w:tr>
      <w:tr w14:paraId="11DC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578F4C0">
            <w:pPr>
              <w:outlineLvl w:val="9"/>
              <w:rPr>
                <w:rFonts w:hint="eastAsia" w:ascii="宋体" w:hAnsi="宋体" w:eastAsia="宋体" w:cs="宋体"/>
                <w:color w:val="auto"/>
                <w:szCs w:val="21"/>
              </w:rPr>
            </w:pPr>
            <w:r>
              <w:rPr>
                <w:rFonts w:hint="eastAsia" w:ascii="宋体" w:hAnsi="宋体" w:eastAsia="宋体" w:cs="宋体"/>
                <w:b/>
                <w:color w:val="auto"/>
                <w:szCs w:val="21"/>
              </w:rPr>
              <w:t>法定代表人（签字）：</w:t>
            </w:r>
          </w:p>
        </w:tc>
        <w:tc>
          <w:tcPr>
            <w:tcW w:w="4503" w:type="dxa"/>
            <w:vAlign w:val="center"/>
          </w:tcPr>
          <w:p w14:paraId="05312A07">
            <w:pPr>
              <w:outlineLvl w:val="9"/>
              <w:rPr>
                <w:rFonts w:hint="eastAsia" w:ascii="宋体" w:hAnsi="宋体" w:eastAsia="宋体" w:cs="宋体"/>
                <w:color w:val="auto"/>
                <w:szCs w:val="21"/>
              </w:rPr>
            </w:pPr>
            <w:r>
              <w:rPr>
                <w:rFonts w:hint="eastAsia" w:ascii="宋体" w:hAnsi="宋体" w:eastAsia="宋体" w:cs="宋体"/>
                <w:b/>
                <w:color w:val="auto"/>
                <w:szCs w:val="21"/>
              </w:rPr>
              <w:t>法定代表人（签字）：</w:t>
            </w:r>
          </w:p>
        </w:tc>
      </w:tr>
      <w:tr w14:paraId="3EFA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B68BDC1">
            <w:pPr>
              <w:outlineLvl w:val="9"/>
              <w:rPr>
                <w:rFonts w:hint="eastAsia" w:ascii="宋体" w:hAnsi="宋体" w:eastAsia="宋体" w:cs="宋体"/>
                <w:color w:val="auto"/>
                <w:szCs w:val="21"/>
              </w:rPr>
            </w:pPr>
            <w:r>
              <w:rPr>
                <w:rFonts w:hint="eastAsia" w:ascii="宋体" w:hAnsi="宋体" w:eastAsia="宋体" w:cs="宋体"/>
                <w:b/>
                <w:color w:val="auto"/>
                <w:szCs w:val="21"/>
              </w:rPr>
              <w:t>委托代理人（签字）：</w:t>
            </w:r>
          </w:p>
        </w:tc>
        <w:tc>
          <w:tcPr>
            <w:tcW w:w="4503" w:type="dxa"/>
            <w:vAlign w:val="center"/>
          </w:tcPr>
          <w:p w14:paraId="47C17E35">
            <w:pPr>
              <w:outlineLvl w:val="9"/>
              <w:rPr>
                <w:rFonts w:hint="eastAsia" w:ascii="宋体" w:hAnsi="宋体" w:eastAsia="宋体" w:cs="宋体"/>
                <w:color w:val="auto"/>
                <w:szCs w:val="21"/>
              </w:rPr>
            </w:pPr>
            <w:r>
              <w:rPr>
                <w:rFonts w:hint="eastAsia" w:ascii="宋体" w:hAnsi="宋体" w:eastAsia="宋体" w:cs="宋体"/>
                <w:b/>
                <w:color w:val="auto"/>
                <w:szCs w:val="21"/>
              </w:rPr>
              <w:t>委托代理人（签字）：</w:t>
            </w:r>
          </w:p>
        </w:tc>
      </w:tr>
      <w:tr w14:paraId="2DD8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8D863B0">
            <w:pPr>
              <w:outlineLvl w:val="9"/>
              <w:rPr>
                <w:rFonts w:hint="eastAsia" w:ascii="宋体" w:hAnsi="宋体" w:eastAsia="宋体" w:cs="宋体"/>
                <w:color w:val="auto"/>
                <w:szCs w:val="21"/>
              </w:rPr>
            </w:pPr>
            <w:r>
              <w:rPr>
                <w:rFonts w:hint="eastAsia" w:ascii="宋体" w:hAnsi="宋体" w:eastAsia="宋体" w:cs="宋体"/>
                <w:b/>
                <w:color w:val="auto"/>
                <w:szCs w:val="21"/>
              </w:rPr>
              <w:t>开户名：西安建筑科技大学</w:t>
            </w:r>
          </w:p>
        </w:tc>
        <w:tc>
          <w:tcPr>
            <w:tcW w:w="4503" w:type="dxa"/>
            <w:vAlign w:val="center"/>
          </w:tcPr>
          <w:p w14:paraId="57DBB873">
            <w:pPr>
              <w:outlineLvl w:val="9"/>
              <w:rPr>
                <w:rFonts w:hint="eastAsia" w:ascii="宋体" w:hAnsi="宋体" w:eastAsia="宋体" w:cs="宋体"/>
                <w:color w:val="auto"/>
                <w:szCs w:val="21"/>
              </w:rPr>
            </w:pPr>
            <w:r>
              <w:rPr>
                <w:rFonts w:hint="eastAsia" w:ascii="宋体" w:hAnsi="宋体" w:eastAsia="宋体" w:cs="宋体"/>
                <w:b/>
                <w:color w:val="auto"/>
                <w:szCs w:val="21"/>
              </w:rPr>
              <w:t>开户名：</w:t>
            </w:r>
          </w:p>
        </w:tc>
      </w:tr>
      <w:tr w14:paraId="4390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AE3AC9E">
            <w:pPr>
              <w:outlineLvl w:val="9"/>
              <w:rPr>
                <w:rFonts w:hint="eastAsia" w:ascii="宋体" w:hAnsi="宋体" w:eastAsia="宋体" w:cs="宋体"/>
                <w:b/>
                <w:color w:val="auto"/>
                <w:szCs w:val="21"/>
              </w:rPr>
            </w:pPr>
            <w:r>
              <w:rPr>
                <w:rFonts w:hint="eastAsia" w:ascii="宋体" w:hAnsi="宋体" w:eastAsia="宋体" w:cs="宋体"/>
                <w:b/>
                <w:color w:val="auto"/>
                <w:szCs w:val="21"/>
              </w:rPr>
              <w:t>开户行：工行雁塔路支行</w:t>
            </w:r>
          </w:p>
          <w:p w14:paraId="32B2D40F">
            <w:pPr>
              <w:outlineLvl w:val="9"/>
              <w:rPr>
                <w:rFonts w:hint="eastAsia" w:ascii="宋体" w:hAnsi="宋体" w:eastAsia="宋体" w:cs="宋体"/>
                <w:b/>
                <w:color w:val="auto"/>
                <w:szCs w:val="21"/>
              </w:rPr>
            </w:pPr>
            <w:r>
              <w:rPr>
                <w:rFonts w:hint="eastAsia" w:ascii="宋体" w:hAnsi="宋体" w:eastAsia="宋体" w:cs="宋体"/>
                <w:b/>
                <w:color w:val="auto"/>
                <w:szCs w:val="21"/>
              </w:rPr>
              <w:t>行  号: 102791000242</w:t>
            </w:r>
          </w:p>
          <w:p w14:paraId="03F2C0CA">
            <w:pPr>
              <w:outlineLvl w:val="9"/>
              <w:rPr>
                <w:rFonts w:hint="eastAsia" w:ascii="宋体" w:hAnsi="宋体" w:eastAsia="宋体" w:cs="宋体"/>
                <w:b/>
                <w:color w:val="auto"/>
                <w:szCs w:val="21"/>
              </w:rPr>
            </w:pPr>
            <w:r>
              <w:rPr>
                <w:rFonts w:hint="eastAsia" w:ascii="宋体" w:hAnsi="宋体" w:eastAsia="宋体" w:cs="宋体"/>
                <w:b/>
                <w:color w:val="auto"/>
                <w:szCs w:val="21"/>
              </w:rPr>
              <w:t>税  号: 1261000043523106XB</w:t>
            </w:r>
          </w:p>
        </w:tc>
        <w:tc>
          <w:tcPr>
            <w:tcW w:w="4503" w:type="dxa"/>
            <w:vAlign w:val="center"/>
          </w:tcPr>
          <w:p w14:paraId="01602B37">
            <w:pPr>
              <w:outlineLvl w:val="9"/>
              <w:rPr>
                <w:rFonts w:hint="eastAsia" w:ascii="宋体" w:hAnsi="宋体" w:eastAsia="宋体" w:cs="宋体"/>
                <w:color w:val="auto"/>
                <w:szCs w:val="21"/>
              </w:rPr>
            </w:pPr>
            <w:r>
              <w:rPr>
                <w:rFonts w:hint="eastAsia" w:ascii="宋体" w:hAnsi="宋体" w:eastAsia="宋体" w:cs="宋体"/>
                <w:b/>
                <w:color w:val="auto"/>
                <w:szCs w:val="21"/>
              </w:rPr>
              <w:t>开户行：</w:t>
            </w:r>
          </w:p>
        </w:tc>
      </w:tr>
      <w:tr w14:paraId="7849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5326940">
            <w:pPr>
              <w:outlineLvl w:val="9"/>
              <w:rPr>
                <w:rFonts w:hint="eastAsia" w:ascii="宋体" w:hAnsi="宋体" w:eastAsia="宋体" w:cs="宋体"/>
                <w:b/>
                <w:color w:val="auto"/>
                <w:szCs w:val="21"/>
              </w:rPr>
            </w:pPr>
            <w:r>
              <w:rPr>
                <w:rFonts w:hint="eastAsia" w:ascii="宋体" w:hAnsi="宋体" w:eastAsia="宋体" w:cs="宋体"/>
                <w:b/>
                <w:color w:val="auto"/>
                <w:szCs w:val="21"/>
              </w:rPr>
              <w:t>帐  号：3700023009026400639</w:t>
            </w:r>
          </w:p>
        </w:tc>
        <w:tc>
          <w:tcPr>
            <w:tcW w:w="4503" w:type="dxa"/>
            <w:vAlign w:val="center"/>
          </w:tcPr>
          <w:p w14:paraId="5DDD2DC3">
            <w:pPr>
              <w:outlineLvl w:val="9"/>
              <w:rPr>
                <w:rFonts w:hint="eastAsia" w:ascii="宋体" w:hAnsi="宋体" w:eastAsia="宋体" w:cs="宋体"/>
                <w:color w:val="auto"/>
                <w:szCs w:val="21"/>
              </w:rPr>
            </w:pPr>
            <w:r>
              <w:rPr>
                <w:rFonts w:hint="eastAsia" w:ascii="宋体" w:hAnsi="宋体" w:eastAsia="宋体" w:cs="宋体"/>
                <w:b/>
                <w:color w:val="auto"/>
                <w:szCs w:val="21"/>
              </w:rPr>
              <w:t>帐  号：</w:t>
            </w:r>
          </w:p>
        </w:tc>
      </w:tr>
      <w:tr w14:paraId="273B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7A0DDF7">
            <w:pPr>
              <w:outlineLvl w:val="9"/>
              <w:rPr>
                <w:rFonts w:hint="eastAsia" w:ascii="宋体" w:hAnsi="宋体" w:eastAsia="宋体" w:cs="宋体"/>
                <w:b/>
                <w:color w:val="auto"/>
                <w:szCs w:val="21"/>
              </w:rPr>
            </w:pPr>
            <w:r>
              <w:rPr>
                <w:rFonts w:hint="eastAsia" w:ascii="宋体" w:hAnsi="宋体" w:eastAsia="宋体" w:cs="宋体"/>
                <w:b/>
                <w:color w:val="auto"/>
                <w:szCs w:val="21"/>
              </w:rPr>
              <w:t>联系人： 梁武</w:t>
            </w:r>
          </w:p>
        </w:tc>
        <w:tc>
          <w:tcPr>
            <w:tcW w:w="4503" w:type="dxa"/>
            <w:vAlign w:val="center"/>
          </w:tcPr>
          <w:p w14:paraId="435EF035">
            <w:pPr>
              <w:outlineLvl w:val="9"/>
              <w:rPr>
                <w:rFonts w:hint="eastAsia" w:ascii="宋体" w:hAnsi="宋体" w:eastAsia="宋体" w:cs="宋体"/>
                <w:color w:val="auto"/>
                <w:szCs w:val="21"/>
              </w:rPr>
            </w:pPr>
            <w:r>
              <w:rPr>
                <w:rFonts w:hint="eastAsia" w:ascii="宋体" w:hAnsi="宋体" w:eastAsia="宋体" w:cs="宋体"/>
                <w:b/>
                <w:color w:val="auto"/>
                <w:szCs w:val="21"/>
              </w:rPr>
              <w:t>联系人：</w:t>
            </w:r>
          </w:p>
        </w:tc>
      </w:tr>
      <w:tr w14:paraId="1438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7753B42">
            <w:pPr>
              <w:outlineLvl w:val="9"/>
              <w:rPr>
                <w:rFonts w:hint="eastAsia" w:ascii="宋体" w:hAnsi="宋体" w:eastAsia="宋体" w:cs="宋体"/>
                <w:b/>
                <w:color w:val="auto"/>
                <w:szCs w:val="21"/>
              </w:rPr>
            </w:pPr>
            <w:r>
              <w:rPr>
                <w:rFonts w:hint="eastAsia" w:ascii="宋体" w:hAnsi="宋体" w:eastAsia="宋体" w:cs="宋体"/>
                <w:b/>
                <w:color w:val="auto"/>
                <w:szCs w:val="21"/>
              </w:rPr>
              <w:t>联系电话：029-82202312</w:t>
            </w:r>
          </w:p>
        </w:tc>
        <w:tc>
          <w:tcPr>
            <w:tcW w:w="4503" w:type="dxa"/>
            <w:vAlign w:val="center"/>
          </w:tcPr>
          <w:p w14:paraId="35C99ED8">
            <w:pPr>
              <w:outlineLvl w:val="9"/>
              <w:rPr>
                <w:rFonts w:hint="eastAsia" w:ascii="宋体" w:hAnsi="宋体" w:eastAsia="宋体" w:cs="宋体"/>
                <w:color w:val="auto"/>
                <w:szCs w:val="21"/>
              </w:rPr>
            </w:pPr>
            <w:r>
              <w:rPr>
                <w:rFonts w:hint="eastAsia" w:ascii="宋体" w:hAnsi="宋体" w:eastAsia="宋体" w:cs="宋体"/>
                <w:b/>
                <w:color w:val="auto"/>
                <w:szCs w:val="21"/>
              </w:rPr>
              <w:t>联系电话：</w:t>
            </w:r>
          </w:p>
        </w:tc>
      </w:tr>
    </w:tbl>
    <w:p w14:paraId="650822F9">
      <w:pPr>
        <w:widowControl/>
        <w:spacing w:line="360" w:lineRule="auto"/>
        <w:ind w:firstLine="482"/>
        <w:jc w:val="left"/>
        <w:outlineLvl w:val="9"/>
        <w:rPr>
          <w:rFonts w:hint="eastAsia" w:ascii="宋体" w:hAnsi="宋体" w:eastAsia="宋体" w:cs="宋体"/>
          <w:b/>
          <w:color w:val="auto"/>
          <w:kern w:val="0"/>
          <w:sz w:val="28"/>
          <w:szCs w:val="28"/>
        </w:rPr>
      </w:pPr>
    </w:p>
    <w:p w14:paraId="2041B121">
      <w:pPr>
        <w:widowControl/>
        <w:spacing w:line="360" w:lineRule="auto"/>
        <w:ind w:firstLine="482"/>
        <w:jc w:val="left"/>
        <w:outlineLvl w:val="9"/>
        <w:rPr>
          <w:rFonts w:hint="eastAsia" w:ascii="宋体" w:hAnsi="宋体" w:eastAsia="宋体" w:cs="宋体"/>
          <w:b/>
          <w:color w:val="auto"/>
          <w:kern w:val="0"/>
          <w:sz w:val="28"/>
          <w:szCs w:val="28"/>
        </w:rPr>
      </w:pPr>
    </w:p>
    <w:p w14:paraId="50E055B8">
      <w:pPr>
        <w:widowControl/>
        <w:spacing w:line="360" w:lineRule="auto"/>
        <w:jc w:val="left"/>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附件：</w:t>
      </w:r>
    </w:p>
    <w:p w14:paraId="5595A559">
      <w:pPr>
        <w:widowControl/>
        <w:spacing w:line="52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附件1：技术协议</w:t>
      </w:r>
    </w:p>
    <w:p w14:paraId="0549CC7D">
      <w:pPr>
        <w:widowControl/>
        <w:spacing w:line="52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附件2：验收方法及标准</w:t>
      </w:r>
    </w:p>
    <w:p w14:paraId="13BD24B9">
      <w:pPr>
        <w:widowControl/>
        <w:spacing w:line="52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附件3：索赔</w:t>
      </w:r>
    </w:p>
    <w:p w14:paraId="0DBB61E9">
      <w:pPr>
        <w:widowControl/>
        <w:spacing w:line="360" w:lineRule="auto"/>
        <w:jc w:val="left"/>
        <w:outlineLvl w:val="9"/>
        <w:rPr>
          <w:rFonts w:hint="eastAsia" w:ascii="宋体" w:hAnsi="宋体" w:eastAsia="宋体" w:cs="宋体"/>
          <w:color w:val="auto"/>
          <w:kern w:val="0"/>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016C8C8A">
      <w:pPr>
        <w:widowControl/>
        <w:spacing w:line="360" w:lineRule="auto"/>
        <w:jc w:val="left"/>
        <w:outlineLvl w:val="9"/>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附件1：技术协议</w:t>
      </w:r>
    </w:p>
    <w:p w14:paraId="643C44FA">
      <w:pPr>
        <w:spacing w:line="440" w:lineRule="exact"/>
        <w:outlineLvl w:val="9"/>
        <w:rPr>
          <w:rFonts w:hint="eastAsia" w:ascii="宋体" w:hAnsi="宋体" w:eastAsia="宋体" w:cs="宋体"/>
          <w:b/>
          <w:color w:val="auto"/>
          <w:sz w:val="30"/>
          <w:szCs w:val="30"/>
        </w:rPr>
      </w:pPr>
      <w:bookmarkStart w:id="0" w:name="_Toc390360542"/>
      <w:bookmarkStart w:id="1" w:name="_Toc390373038"/>
      <w:r>
        <w:rPr>
          <w:rFonts w:hint="eastAsia" w:ascii="宋体" w:hAnsi="宋体" w:eastAsia="宋体" w:cs="宋体"/>
          <w:b/>
          <w:color w:val="auto"/>
          <w:sz w:val="32"/>
          <w:szCs w:val="32"/>
        </w:rPr>
        <w:t>1.</w:t>
      </w:r>
      <w:r>
        <w:rPr>
          <w:rFonts w:hint="eastAsia" w:ascii="宋体" w:hAnsi="宋体" w:eastAsia="宋体" w:cs="宋体"/>
          <w:b/>
          <w:color w:val="auto"/>
          <w:sz w:val="30"/>
          <w:szCs w:val="30"/>
        </w:rPr>
        <w:t>中标产品技术参数明细</w:t>
      </w:r>
    </w:p>
    <w:p w14:paraId="60DFB853">
      <w:pPr>
        <w:spacing w:line="440" w:lineRule="exac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我公司承诺：合同中数列产品均满足标书及使用要求，无任何负偏离。并与所供产品完全一致。</w:t>
      </w:r>
    </w:p>
    <w:bookmarkEnd w:id="0"/>
    <w:bookmarkEnd w:id="1"/>
    <w:p w14:paraId="20C56F82">
      <w:pPr>
        <w:spacing w:line="440" w:lineRule="exact"/>
        <w:outlineLvl w:val="9"/>
        <w:rPr>
          <w:rFonts w:hint="eastAsia" w:ascii="宋体" w:hAnsi="宋体" w:eastAsia="宋体" w:cs="宋体"/>
          <w:color w:val="auto"/>
          <w:sz w:val="24"/>
          <w:szCs w:val="24"/>
        </w:rPr>
      </w:pPr>
      <w:r>
        <w:rPr>
          <w:rFonts w:hint="eastAsia" w:ascii="宋体" w:hAnsi="宋体" w:eastAsia="宋体" w:cs="宋体"/>
          <w:b/>
          <w:bCs/>
          <w:color w:val="auto"/>
          <w:sz w:val="24"/>
          <w:szCs w:val="24"/>
        </w:rPr>
        <w:t>1.1设备特性</w:t>
      </w:r>
    </w:p>
    <w:p w14:paraId="29401774">
      <w:pPr>
        <w:spacing w:line="440" w:lineRule="exact"/>
        <w:outlineLvl w:val="9"/>
        <w:rPr>
          <w:rFonts w:hint="eastAsia" w:ascii="宋体" w:hAnsi="宋体" w:eastAsia="宋体" w:cs="宋体"/>
          <w:b/>
          <w:color w:val="auto"/>
          <w:sz w:val="24"/>
          <w:szCs w:val="24"/>
        </w:rPr>
      </w:pPr>
      <w:r>
        <w:rPr>
          <w:rFonts w:hint="eastAsia" w:ascii="宋体" w:hAnsi="宋体" w:eastAsia="宋体" w:cs="宋体"/>
          <w:b/>
          <w:bCs/>
          <w:color w:val="auto"/>
          <w:sz w:val="24"/>
          <w:szCs w:val="24"/>
        </w:rPr>
        <w:t>1.2</w:t>
      </w:r>
      <w:r>
        <w:rPr>
          <w:rFonts w:hint="eastAsia" w:ascii="宋体" w:hAnsi="宋体" w:eastAsia="宋体" w:cs="宋体"/>
          <w:b/>
          <w:color w:val="auto"/>
          <w:sz w:val="24"/>
          <w:szCs w:val="24"/>
        </w:rPr>
        <w:t>设备用途</w:t>
      </w:r>
    </w:p>
    <w:p w14:paraId="5ADDE330">
      <w:pPr>
        <w:spacing w:line="440" w:lineRule="exact"/>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1.3设备主要参数指标</w:t>
      </w:r>
    </w:p>
    <w:p w14:paraId="3727A5FF">
      <w:pPr>
        <w:spacing w:line="440" w:lineRule="exact"/>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1.4质量要求与安全要求 </w:t>
      </w:r>
    </w:p>
    <w:p w14:paraId="2C7DF221">
      <w:pPr>
        <w:spacing w:line="440" w:lineRule="exact"/>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1.5设备运行一般流程图</w:t>
      </w:r>
    </w:p>
    <w:p w14:paraId="4DFC212B">
      <w:pPr>
        <w:spacing w:line="440" w:lineRule="exact"/>
        <w:outlineLvl w:val="9"/>
        <w:rPr>
          <w:rFonts w:hint="eastAsia" w:ascii="宋体" w:hAnsi="宋体" w:eastAsia="宋体" w:cs="宋体"/>
          <w:color w:val="auto"/>
          <w:szCs w:val="21"/>
        </w:rPr>
      </w:pPr>
      <w:r>
        <w:rPr>
          <w:rFonts w:hint="eastAsia" w:ascii="宋体" w:hAnsi="宋体" w:eastAsia="宋体" w:cs="宋体"/>
          <w:b w:val="0"/>
          <w:bCs w:val="0"/>
          <w:color w:val="auto"/>
          <w:szCs w:val="21"/>
        </w:rPr>
        <w:t xml:space="preserve"> </w:t>
      </w:r>
    </w:p>
    <w:p w14:paraId="241E6D3E">
      <w:pPr>
        <w:spacing w:line="440" w:lineRule="exact"/>
        <w:outlineLvl w:val="9"/>
        <w:rPr>
          <w:rFonts w:hint="eastAsia" w:ascii="宋体" w:hAnsi="宋体" w:eastAsia="宋体" w:cs="宋体"/>
          <w:b/>
          <w:color w:val="auto"/>
          <w:sz w:val="30"/>
          <w:szCs w:val="30"/>
        </w:rPr>
      </w:pPr>
      <w:r>
        <w:rPr>
          <w:rFonts w:hint="eastAsia" w:ascii="宋体" w:hAnsi="宋体" w:eastAsia="宋体" w:cs="宋体"/>
          <w:b/>
          <w:color w:val="auto"/>
          <w:sz w:val="30"/>
          <w:szCs w:val="30"/>
        </w:rPr>
        <w:t>2售后服务内容</w:t>
      </w:r>
      <w:bookmarkStart w:id="2" w:name="_Toc373263358"/>
      <w:bookmarkStart w:id="3" w:name="_Toc390373053"/>
      <w:bookmarkStart w:id="4" w:name="_Toc390360557"/>
    </w:p>
    <w:p w14:paraId="31B17200">
      <w:pPr>
        <w:spacing w:line="440" w:lineRule="exact"/>
        <w:outlineLvl w:val="9"/>
        <w:rPr>
          <w:rFonts w:hint="eastAsia" w:ascii="宋体" w:hAnsi="宋体" w:eastAsia="宋体" w:cs="宋体"/>
          <w:b/>
          <w:color w:val="auto"/>
          <w:sz w:val="24"/>
          <w:szCs w:val="24"/>
        </w:rPr>
      </w:pPr>
      <w:bookmarkStart w:id="5" w:name="_Toc373263359"/>
      <w:bookmarkStart w:id="6" w:name="_Toc390360558"/>
      <w:bookmarkStart w:id="7" w:name="_Toc390373054"/>
      <w:r>
        <w:rPr>
          <w:rFonts w:hint="eastAsia" w:ascii="宋体" w:hAnsi="宋体" w:eastAsia="宋体" w:cs="宋体"/>
          <w:b/>
          <w:color w:val="auto"/>
          <w:sz w:val="24"/>
          <w:szCs w:val="24"/>
        </w:rPr>
        <w:t>2.1技术服务、售后服务体系、故障响应时间、应急维修措施</w:t>
      </w:r>
      <w:bookmarkEnd w:id="5"/>
      <w:bookmarkEnd w:id="6"/>
      <w:bookmarkEnd w:id="7"/>
    </w:p>
    <w:p w14:paraId="4FE51102">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2.1.1技术服务措施</w:t>
      </w:r>
    </w:p>
    <w:p w14:paraId="7EC58B5D">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2.1.2售后服务体系</w:t>
      </w:r>
    </w:p>
    <w:p w14:paraId="2F5D9796">
      <w:pPr>
        <w:spacing w:line="440" w:lineRule="exact"/>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质保期内服务</w:t>
      </w:r>
    </w:p>
    <w:p w14:paraId="24F9C6AB">
      <w:pPr>
        <w:spacing w:line="440" w:lineRule="exact"/>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质保期外服务</w:t>
      </w:r>
    </w:p>
    <w:p w14:paraId="51659BCD">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2.1.3故障响应时间</w:t>
      </w:r>
    </w:p>
    <w:p w14:paraId="0D633FF7">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2.1.4应急维修措施</w:t>
      </w:r>
    </w:p>
    <w:p w14:paraId="70ADCEAF">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2.1.5易损件、备件的供应</w:t>
      </w:r>
    </w:p>
    <w:p w14:paraId="280B98B2">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2.1.6质保期以外技术支持或技术服务</w:t>
      </w:r>
    </w:p>
    <w:p w14:paraId="3E356999">
      <w:pPr>
        <w:spacing w:line="440" w:lineRule="exact"/>
        <w:ind w:right="210" w:rightChars="100"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2.1.7制定切实可行的操作规程和使用指南</w:t>
      </w:r>
    </w:p>
    <w:p w14:paraId="785E3888">
      <w:pPr>
        <w:spacing w:line="440" w:lineRule="exact"/>
        <w:outlineLvl w:val="9"/>
        <w:rPr>
          <w:rFonts w:hint="eastAsia" w:ascii="宋体" w:hAnsi="宋体" w:eastAsia="宋体" w:cs="宋体"/>
          <w:b/>
          <w:color w:val="auto"/>
          <w:sz w:val="24"/>
          <w:szCs w:val="24"/>
        </w:rPr>
      </w:pPr>
    </w:p>
    <w:p w14:paraId="23255337">
      <w:pPr>
        <w:spacing w:line="440" w:lineRule="exact"/>
        <w:outlineLvl w:val="9"/>
        <w:rPr>
          <w:rFonts w:hint="eastAsia" w:ascii="宋体" w:hAnsi="宋体" w:eastAsia="宋体" w:cs="宋体"/>
          <w:b/>
          <w:color w:val="auto"/>
          <w:sz w:val="30"/>
          <w:szCs w:val="30"/>
        </w:rPr>
      </w:pPr>
      <w:r>
        <w:rPr>
          <w:rFonts w:hint="eastAsia" w:ascii="宋体" w:hAnsi="宋体" w:eastAsia="宋体" w:cs="宋体"/>
          <w:b/>
          <w:color w:val="auto"/>
          <w:sz w:val="30"/>
          <w:szCs w:val="30"/>
        </w:rPr>
        <w:t>3 培训服务内容</w:t>
      </w:r>
    </w:p>
    <w:bookmarkEnd w:id="2"/>
    <w:bookmarkEnd w:id="3"/>
    <w:bookmarkEnd w:id="4"/>
    <w:p w14:paraId="0C9F26F3">
      <w:pPr>
        <w:spacing w:line="440" w:lineRule="exact"/>
        <w:ind w:right="210" w:rightChars="100"/>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3.1培训方案</w:t>
      </w:r>
    </w:p>
    <w:p w14:paraId="738F9186">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培训目标和要求</w:t>
      </w:r>
    </w:p>
    <w:p w14:paraId="198E8319">
      <w:pPr>
        <w:spacing w:line="440" w:lineRule="exact"/>
        <w:jc w:val="left"/>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3.2培训对象</w:t>
      </w:r>
    </w:p>
    <w:p w14:paraId="6FC5947F">
      <w:pPr>
        <w:spacing w:line="440" w:lineRule="exact"/>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3.3培训方式</w:t>
      </w:r>
    </w:p>
    <w:p w14:paraId="5B679DB9">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3.3.1系统使用培训：</w:t>
      </w:r>
    </w:p>
    <w:p w14:paraId="174659BD">
      <w:pPr>
        <w:spacing w:line="440" w:lineRule="exact"/>
        <w:ind w:firstLine="480" w:firstLineChars="200"/>
        <w:outlineLvl w:val="9"/>
        <w:rPr>
          <w:rFonts w:hint="eastAsia" w:ascii="宋体" w:hAnsi="宋体" w:eastAsia="宋体" w:cs="宋体"/>
          <w:bCs/>
          <w:color w:val="auto"/>
          <w:sz w:val="24"/>
          <w:szCs w:val="24"/>
        </w:rPr>
      </w:pPr>
      <w:bookmarkStart w:id="8" w:name="_Toc301613871"/>
      <w:bookmarkStart w:id="9" w:name="_Toc302460939"/>
      <w:bookmarkStart w:id="10" w:name="_Toc316311443"/>
      <w:bookmarkStart w:id="11" w:name="_Toc304629018"/>
      <w:bookmarkStart w:id="12" w:name="_Toc301812591"/>
      <w:bookmarkStart w:id="13" w:name="_Toc301634428"/>
      <w:bookmarkStart w:id="14" w:name="_Toc312502614"/>
      <w:bookmarkStart w:id="15" w:name="_Toc333266004"/>
      <w:bookmarkStart w:id="16" w:name="_Toc343188540"/>
      <w:bookmarkStart w:id="17" w:name="_Toc313387932"/>
      <w:bookmarkStart w:id="18" w:name="_Toc317944561"/>
      <w:r>
        <w:rPr>
          <w:rFonts w:hint="eastAsia" w:ascii="宋体" w:hAnsi="宋体" w:eastAsia="宋体" w:cs="宋体"/>
          <w:bCs/>
          <w:color w:val="auto"/>
          <w:sz w:val="24"/>
          <w:szCs w:val="24"/>
        </w:rPr>
        <w:t>3.3.2培训课程及培训人数</w:t>
      </w:r>
      <w:bookmarkEnd w:id="8"/>
      <w:bookmarkEnd w:id="9"/>
      <w:bookmarkEnd w:id="10"/>
      <w:bookmarkEnd w:id="11"/>
      <w:bookmarkEnd w:id="12"/>
      <w:bookmarkEnd w:id="13"/>
      <w:bookmarkEnd w:id="14"/>
      <w:bookmarkEnd w:id="15"/>
      <w:bookmarkEnd w:id="16"/>
      <w:bookmarkEnd w:id="17"/>
      <w:bookmarkEnd w:id="18"/>
      <w:r>
        <w:rPr>
          <w:rFonts w:hint="eastAsia" w:ascii="宋体" w:hAnsi="宋体" w:eastAsia="宋体" w:cs="宋体"/>
          <w:bCs/>
          <w:color w:val="auto"/>
          <w:sz w:val="24"/>
          <w:szCs w:val="24"/>
        </w:rPr>
        <w:t>：</w:t>
      </w:r>
    </w:p>
    <w:p w14:paraId="079FAE83">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3.3.3培训教师安排</w:t>
      </w:r>
    </w:p>
    <w:p w14:paraId="14CD658E">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3.3.4培训时间安排</w:t>
      </w:r>
    </w:p>
    <w:p w14:paraId="7AC703BB">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3.3.5培训及安全保证</w:t>
      </w:r>
    </w:p>
    <w:p w14:paraId="6B0CDC71">
      <w:pPr>
        <w:widowControl w:val="0"/>
        <w:spacing w:after="0" w:line="440" w:lineRule="exact"/>
        <w:ind w:left="0" w:leftChars="0" w:firstLine="480" w:firstLineChars="200"/>
        <w:jc w:val="both"/>
        <w:outlineLvl w:val="9"/>
        <w:rPr>
          <w:rFonts w:hint="eastAsia" w:ascii="宋体" w:hAnsi="宋体" w:eastAsia="宋体" w:cs="宋体"/>
          <w:snapToGrid w:val="0"/>
          <w:color w:val="auto"/>
          <w:kern w:val="2"/>
          <w:sz w:val="24"/>
          <w:szCs w:val="24"/>
          <w:lang w:val="en-US" w:eastAsia="zh-CN" w:bidi="ar-SA"/>
        </w:rPr>
      </w:pPr>
      <w:r>
        <w:rPr>
          <w:rFonts w:hint="eastAsia" w:ascii="宋体" w:hAnsi="宋体" w:eastAsia="宋体" w:cs="宋体"/>
          <w:snapToGrid w:val="0"/>
          <w:color w:val="auto"/>
          <w:kern w:val="2"/>
          <w:sz w:val="24"/>
          <w:szCs w:val="24"/>
          <w:lang w:val="en-US" w:eastAsia="zh-CN" w:bidi="ar-SA"/>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3C40FAE4">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② 设备本体对可能造成伤害的部位均应采用防护板或防护网隔离并有醒目警示。</w:t>
      </w:r>
    </w:p>
    <w:p w14:paraId="03397F21">
      <w:pPr>
        <w:spacing w:line="440" w:lineRule="exact"/>
        <w:ind w:firstLine="480" w:firstLineChars="200"/>
        <w:outlineLvl w:val="9"/>
        <w:rPr>
          <w:rFonts w:hint="eastAsia" w:ascii="宋体" w:hAnsi="宋体" w:eastAsia="宋体" w:cs="宋体"/>
          <w:color w:val="auto"/>
          <w:sz w:val="24"/>
          <w:szCs w:val="24"/>
        </w:rPr>
      </w:pPr>
      <w:r>
        <w:rPr>
          <w:rFonts w:hint="eastAsia" w:ascii="宋体" w:hAnsi="宋体" w:eastAsia="宋体" w:cs="宋体"/>
          <w:color w:val="auto"/>
          <w:sz w:val="24"/>
          <w:szCs w:val="24"/>
        </w:rPr>
        <w:t>③ 所用电气元件均按照国标选配，确保稳定安全，符合三防要求。</w:t>
      </w:r>
    </w:p>
    <w:p w14:paraId="53572981">
      <w:pPr>
        <w:spacing w:line="440" w:lineRule="exact"/>
        <w:outlineLvl w:val="9"/>
        <w:rPr>
          <w:rFonts w:hint="eastAsia" w:ascii="宋体" w:hAnsi="宋体" w:eastAsia="宋体" w:cs="宋体"/>
          <w:b/>
          <w:color w:val="auto"/>
          <w:szCs w:val="21"/>
        </w:rPr>
      </w:pPr>
      <w:bookmarkStart w:id="19" w:name="_Toc346025578"/>
      <w:bookmarkStart w:id="20" w:name="_Toc345966650"/>
      <w:bookmarkStart w:id="21" w:name="_Toc345966825"/>
    </w:p>
    <w:p w14:paraId="3950EF63">
      <w:pPr>
        <w:widowControl w:val="0"/>
        <w:numPr>
          <w:ilvl w:val="1"/>
          <w:numId w:val="1"/>
        </w:numPr>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767523D0">
      <w:pPr>
        <w:widowControl w:val="0"/>
        <w:numPr>
          <w:ilvl w:val="1"/>
          <w:numId w:val="1"/>
        </w:numPr>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652EBD6B">
      <w:pPr>
        <w:widowControl w:val="0"/>
        <w:numPr>
          <w:ilvl w:val="1"/>
          <w:numId w:val="1"/>
        </w:numPr>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1D03585E">
      <w:pPr>
        <w:widowControl w:val="0"/>
        <w:numPr>
          <w:ilvl w:val="1"/>
          <w:numId w:val="1"/>
        </w:numPr>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bookmarkEnd w:id="19"/>
    <w:bookmarkEnd w:id="20"/>
    <w:bookmarkEnd w:id="21"/>
    <w:p w14:paraId="1646E4CE">
      <w:pPr>
        <w:spacing w:line="440" w:lineRule="exact"/>
        <w:outlineLvl w:val="9"/>
        <w:rPr>
          <w:rFonts w:hint="eastAsia" w:ascii="宋体" w:hAnsi="宋体" w:eastAsia="宋体" w:cs="宋体"/>
          <w:color w:val="auto"/>
          <w:szCs w:val="21"/>
        </w:rPr>
      </w:pPr>
    </w:p>
    <w:p w14:paraId="56DDBEC4">
      <w:pPr>
        <w:spacing w:line="440" w:lineRule="exact"/>
        <w:ind w:firstLine="420" w:firstLineChars="200"/>
        <w:outlineLvl w:val="9"/>
        <w:rPr>
          <w:rFonts w:hint="eastAsia" w:ascii="宋体" w:hAnsi="宋体" w:eastAsia="宋体" w:cs="宋体"/>
          <w:color w:val="auto"/>
          <w:szCs w:val="21"/>
        </w:rPr>
      </w:pPr>
    </w:p>
    <w:p w14:paraId="243B19A9">
      <w:pPr>
        <w:widowControl/>
        <w:spacing w:before="100" w:beforeAutospacing="1" w:after="100" w:afterAutospacing="1" w:line="320" w:lineRule="exact"/>
        <w:outlineLvl w:val="9"/>
        <w:rPr>
          <w:rFonts w:hint="eastAsia" w:ascii="宋体" w:hAnsi="宋体" w:eastAsia="宋体" w:cs="宋体"/>
          <w:b/>
          <w:color w:val="auto"/>
          <w:sz w:val="24"/>
          <w:szCs w:val="22"/>
        </w:rPr>
      </w:pPr>
      <w:r>
        <w:rPr>
          <w:rFonts w:hint="eastAsia" w:ascii="宋体" w:hAnsi="宋体" w:eastAsia="宋体" w:cs="宋体"/>
          <w:b/>
          <w:color w:val="auto"/>
          <w:sz w:val="24"/>
          <w:szCs w:val="22"/>
        </w:rPr>
        <w:t>甲方使用单位：西安建筑科技大学XX学院</w:t>
      </w:r>
      <w:r>
        <w:rPr>
          <w:rFonts w:hint="eastAsia" w:ascii="宋体" w:hAnsi="宋体" w:eastAsia="宋体" w:cs="宋体"/>
          <w:b/>
          <w:color w:val="auto"/>
          <w:sz w:val="24"/>
          <w:szCs w:val="22"/>
        </w:rPr>
        <w:tab/>
      </w:r>
      <w:r>
        <w:rPr>
          <w:rFonts w:hint="eastAsia" w:ascii="宋体" w:hAnsi="宋体" w:eastAsia="宋体" w:cs="宋体"/>
          <w:b/>
          <w:color w:val="auto"/>
          <w:sz w:val="24"/>
          <w:szCs w:val="22"/>
        </w:rPr>
        <w:t xml:space="preserve">          乙方： </w:t>
      </w:r>
    </w:p>
    <w:p w14:paraId="152BA82C">
      <w:pPr>
        <w:outlineLvl w:val="9"/>
        <w:rPr>
          <w:rFonts w:hint="eastAsia" w:ascii="宋体" w:hAnsi="宋体" w:eastAsia="宋体" w:cs="宋体"/>
          <w:b/>
          <w:color w:val="auto"/>
          <w:sz w:val="24"/>
          <w:szCs w:val="22"/>
        </w:rPr>
      </w:pPr>
    </w:p>
    <w:p w14:paraId="0CA258DB">
      <w:pPr>
        <w:outlineLvl w:val="9"/>
        <w:rPr>
          <w:rFonts w:hint="eastAsia" w:ascii="宋体" w:hAnsi="宋体" w:eastAsia="宋体" w:cs="宋体"/>
          <w:b/>
          <w:color w:val="auto"/>
          <w:sz w:val="24"/>
          <w:szCs w:val="22"/>
        </w:rPr>
      </w:pPr>
      <w:r>
        <w:rPr>
          <w:rFonts w:hint="eastAsia" w:ascii="宋体" w:hAnsi="宋体" w:eastAsia="宋体" w:cs="宋体"/>
          <w:b/>
          <w:color w:val="auto"/>
          <w:sz w:val="24"/>
          <w:szCs w:val="22"/>
        </w:rPr>
        <w:t>负责人：                                        负责人：</w:t>
      </w:r>
    </w:p>
    <w:p w14:paraId="48F70C8C">
      <w:pPr>
        <w:outlineLvl w:val="9"/>
        <w:rPr>
          <w:rFonts w:hint="eastAsia" w:ascii="宋体" w:hAnsi="宋体" w:eastAsia="宋体" w:cs="宋体"/>
          <w:b/>
          <w:color w:val="auto"/>
          <w:sz w:val="24"/>
          <w:szCs w:val="22"/>
        </w:rPr>
      </w:pPr>
    </w:p>
    <w:p w14:paraId="0CA66B1F">
      <w:pPr>
        <w:outlineLvl w:val="9"/>
        <w:rPr>
          <w:rFonts w:hint="eastAsia" w:ascii="宋体" w:hAnsi="宋体" w:eastAsia="宋体" w:cs="宋体"/>
          <w:b/>
          <w:color w:val="auto"/>
          <w:sz w:val="24"/>
          <w:szCs w:val="22"/>
        </w:rPr>
      </w:pPr>
    </w:p>
    <w:p w14:paraId="7400744E">
      <w:pPr>
        <w:outlineLvl w:val="9"/>
        <w:rPr>
          <w:rFonts w:hint="eastAsia" w:ascii="宋体" w:hAnsi="宋体" w:eastAsia="宋体" w:cs="宋体"/>
          <w:color w:val="auto"/>
          <w:szCs w:val="22"/>
        </w:rPr>
      </w:pPr>
    </w:p>
    <w:p w14:paraId="7A6823E8">
      <w:pPr>
        <w:widowControl/>
        <w:spacing w:line="360" w:lineRule="auto"/>
        <w:ind w:firstLine="480" w:firstLineChars="200"/>
        <w:jc w:val="left"/>
        <w:outlineLvl w:val="9"/>
        <w:rPr>
          <w:rFonts w:hint="eastAsia" w:ascii="宋体" w:hAnsi="宋体" w:eastAsia="宋体" w:cs="宋体"/>
          <w:color w:val="auto"/>
          <w:sz w:val="24"/>
          <w:szCs w:val="24"/>
        </w:rPr>
      </w:pPr>
    </w:p>
    <w:p w14:paraId="569B99C8">
      <w:pPr>
        <w:outlineLvl w:val="9"/>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br w:type="page"/>
      </w:r>
    </w:p>
    <w:p w14:paraId="0BBFD43F">
      <w:pPr>
        <w:widowControl/>
        <w:spacing w:line="360" w:lineRule="auto"/>
        <w:jc w:val="left"/>
        <w:outlineLvl w:val="9"/>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附件2：验收方法及标准</w:t>
      </w:r>
    </w:p>
    <w:p w14:paraId="7494AC9A">
      <w:pPr>
        <w:widowControl/>
        <w:spacing w:line="360" w:lineRule="auto"/>
        <w:jc w:val="center"/>
        <w:outlineLvl w:val="9"/>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验收方法及标准</w:t>
      </w:r>
    </w:p>
    <w:p w14:paraId="562E2495">
      <w:pPr>
        <w:widowControl/>
        <w:spacing w:line="360" w:lineRule="auto"/>
        <w:ind w:firstLine="482" w:firstLineChars="200"/>
        <w:jc w:val="left"/>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一、验收标准和方法：</w:t>
      </w:r>
    </w:p>
    <w:p w14:paraId="59E1360B">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1.仪器设备的验收内容包括商务验收、技术验收和安全性能验收三部分。</w:t>
      </w:r>
    </w:p>
    <w:p w14:paraId="3D633287">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4FE7EA50">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1.2技术验收是指由使用单位依据合同技术附件、招投标文件及产品出厂的主要技术指标，对仪器设备的各项功能进行验收。</w:t>
      </w:r>
    </w:p>
    <w:p w14:paraId="2B6EF85D">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1.3安全性能验收主要是指对仪器设备以及其安装场地、使用环境等辅助设施的安全性进行的验收。</w:t>
      </w:r>
    </w:p>
    <w:p w14:paraId="59ADCD02">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2.验收分为一次验收（初验）、专家验收和二次验收（终验）。</w:t>
      </w:r>
    </w:p>
    <w:p w14:paraId="40F71BD2">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2.1一次验收（初验）：由使用单位依据合同及上述规定的三部分验收内容逐条逐项一一核对。</w:t>
      </w:r>
    </w:p>
    <w:p w14:paraId="5813F087">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2.2专家验收：由专家组核查设备的技术性能、功能指标、安全性与合规性、配套资料完整性，以及是否满足合同约定及实际使用需求，确保设备质量合格、运行可靠，能够有效服务于教学、科研。</w:t>
      </w:r>
    </w:p>
    <w:p w14:paraId="27925AB5">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2.3二次验收（终验）： 由学校验收小组核实使用单位初验意见及专家组验收意见，依据合同，结合使用单位提交的初验资料，对所供仪器设备进行抽样或全面检查，核实相关技术指标，观看现场演示。</w:t>
      </w:r>
    </w:p>
    <w:p w14:paraId="32DC7040">
      <w:pPr>
        <w:widowControl/>
        <w:spacing w:line="360" w:lineRule="auto"/>
        <w:ind w:firstLine="482" w:firstLineChars="200"/>
        <w:jc w:val="left"/>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二</w:t>
      </w:r>
      <w:r>
        <w:rPr>
          <w:rFonts w:hint="eastAsia" w:ascii="宋体" w:hAnsi="宋体" w:eastAsia="宋体" w:cs="宋体"/>
          <w:b/>
          <w:color w:val="auto"/>
          <w:sz w:val="24"/>
          <w:szCs w:val="24"/>
        </w:rPr>
        <w:t>、开箱验收</w:t>
      </w:r>
    </w:p>
    <w:p w14:paraId="6DDEB5F2">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1.产品运抵现场后，双方应及时开箱验收，并制作验收记录，以确认与本合同约定的数量、型号等是否一致。</w:t>
      </w:r>
    </w:p>
    <w:p w14:paraId="5E4BB973">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2.乙方应在交货前对产品的质量、规格、数量等进行详细而全面的检验，并出具证明产品符合合同规定的文件。该文件将作为申请付款单据的一部分，但有关质量、规格、数量的检验不应视为最终检验。</w:t>
      </w:r>
    </w:p>
    <w:p w14:paraId="73298BEA">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7F8B156A">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4.开箱验收中如发现产品的数量、规格与合同约定不符，甲方有权拒收产品，乙方应及时按甲方要求免费对拒收产品采取更换或其他必要的补救措施，直至开箱验收合格，方视为乙方完成交货。</w:t>
      </w:r>
    </w:p>
    <w:p w14:paraId="7870FD01">
      <w:pPr>
        <w:widowControl/>
        <w:spacing w:line="360" w:lineRule="auto"/>
        <w:ind w:firstLine="482" w:firstLineChars="200"/>
        <w:jc w:val="left"/>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rPr>
        <w:t>、检验验收</w:t>
      </w:r>
    </w:p>
    <w:p w14:paraId="11829ADA">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4132FDA9">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2.在具体实施合同规定的检验验收之前，乙方需提前提交相应的测试计划（包括测试程序、测试内容和检验标准、试验时间安排等）供甲方确认。</w:t>
      </w:r>
    </w:p>
    <w:p w14:paraId="3DE6D62A">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3.除需甲方确认的试验验收外，乙方还应对所有检验验收测试的结果、步骤、原始数据等作妥善记录。如甲方要求，乙方应提供这些记录给甲方。</w:t>
      </w:r>
    </w:p>
    <w:p w14:paraId="5D4336CE">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4.检验测试出现全部或部分未达到本合同所约定的技术指标，甲方有权选择下列任一处理方式：</w:t>
      </w:r>
    </w:p>
    <w:p w14:paraId="0252B697">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a.重新测试直至合格为止；</w:t>
      </w:r>
    </w:p>
    <w:p w14:paraId="561A1518">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b.要求乙方对货物进行免费更换，然后重新测试直至合格为止；</w:t>
      </w:r>
    </w:p>
    <w:p w14:paraId="7331388E">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无论选择何种方式，甲方因此而发生的因乙方原因引起的所有费用均由乙方负担。</w:t>
      </w:r>
    </w:p>
    <w:p w14:paraId="427EBCF0">
      <w:pPr>
        <w:widowControl/>
        <w:spacing w:line="360" w:lineRule="auto"/>
        <w:ind w:firstLine="482" w:firstLineChars="200"/>
        <w:jc w:val="left"/>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rPr>
        <w:t>、使用过程检验</w:t>
      </w:r>
    </w:p>
    <w:p w14:paraId="1ABEA95F">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3BD921C3">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2.如果合同双方对乙方提供的上述试验结果报告的解释有分歧，双方须于出现分歧后10天内给对方声明，以陈述己方的观点。声明须附有关证据。分歧应通过协商解决。</w:t>
      </w:r>
    </w:p>
    <w:p w14:paraId="49C88C91">
      <w:pPr>
        <w:widowControl/>
        <w:spacing w:line="360" w:lineRule="auto"/>
        <w:ind w:firstLine="482" w:firstLineChars="200"/>
        <w:jc w:val="left"/>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五</w:t>
      </w:r>
      <w:r>
        <w:rPr>
          <w:rFonts w:hint="eastAsia" w:ascii="宋体" w:hAnsi="宋体" w:eastAsia="宋体" w:cs="宋体"/>
          <w:b/>
          <w:color w:val="auto"/>
          <w:sz w:val="24"/>
          <w:szCs w:val="24"/>
        </w:rPr>
        <w:t>、安装验收</w:t>
      </w:r>
    </w:p>
    <w:p w14:paraId="03187464">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518F714A">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2.乙方安装完毕后应进行自检，自检合格后3个工作日内通知甲方进行验收。甲方按照学校验收要求，及时组织验收。若验收不合格，乙方应在甲方限定时间内进行修改并组织再次验收，直至验收合格。</w:t>
      </w:r>
    </w:p>
    <w:p w14:paraId="2257E019">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3.所有验收合格，但不能免除乙方应该承担的质保责任。</w:t>
      </w:r>
    </w:p>
    <w:p w14:paraId="139A4C42">
      <w:pPr>
        <w:widowControl/>
        <w:spacing w:line="360" w:lineRule="auto"/>
        <w:ind w:firstLine="482" w:firstLineChars="200"/>
        <w:jc w:val="left"/>
        <w:outlineLvl w:val="9"/>
        <w:rPr>
          <w:rFonts w:hint="eastAsia" w:ascii="宋体" w:hAnsi="宋体" w:eastAsia="宋体" w:cs="宋体"/>
          <w:b/>
          <w:color w:val="auto"/>
          <w:sz w:val="24"/>
          <w:szCs w:val="24"/>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rPr>
        <w:t>、安全管理</w:t>
      </w:r>
    </w:p>
    <w:p w14:paraId="155A903F">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1.货物安装现场安全、文明管理由乙方编制专项详细方案并严格执行。</w:t>
      </w:r>
    </w:p>
    <w:p w14:paraId="10C0D77A">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3A3CA851">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3.在设备安装施工全过程中，乙方应服从甲方的各项管理，并对乙方施工人员进行安全管理。</w:t>
      </w:r>
    </w:p>
    <w:p w14:paraId="09D0400C">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4.确保现场建筑物及相关设施设备完好无损，如施工过程中出现损坏，乙方负责修复赔偿。</w:t>
      </w:r>
    </w:p>
    <w:p w14:paraId="211D02E5">
      <w:pPr>
        <w:widowControl/>
        <w:spacing w:line="360" w:lineRule="auto"/>
        <w:ind w:firstLine="480" w:firstLineChars="200"/>
        <w:jc w:val="left"/>
        <w:outlineLvl w:val="9"/>
        <w:rPr>
          <w:rFonts w:hint="eastAsia" w:ascii="宋体" w:hAnsi="宋体" w:eastAsia="宋体" w:cs="宋体"/>
          <w:color w:val="auto"/>
          <w:sz w:val="24"/>
          <w:szCs w:val="24"/>
        </w:rPr>
      </w:pPr>
      <w:r>
        <w:rPr>
          <w:rFonts w:hint="eastAsia" w:ascii="宋体" w:hAnsi="宋体" w:eastAsia="宋体" w:cs="宋体"/>
          <w:color w:val="auto"/>
          <w:sz w:val="24"/>
          <w:szCs w:val="24"/>
        </w:rPr>
        <w:t>5.乙方应对安装施工人员相关岗位上岗资格进行审查，并对相关后果负责。</w:t>
      </w:r>
    </w:p>
    <w:p w14:paraId="0D4C1C48">
      <w:pPr>
        <w:widowControl/>
        <w:spacing w:line="360" w:lineRule="auto"/>
        <w:ind w:firstLine="480" w:firstLineChars="200"/>
        <w:jc w:val="left"/>
        <w:outlineLvl w:val="9"/>
        <w:rPr>
          <w:rFonts w:hint="eastAsia" w:ascii="宋体" w:hAnsi="宋体" w:eastAsia="宋体" w:cs="宋体"/>
          <w:color w:val="auto"/>
          <w:sz w:val="24"/>
          <w:szCs w:val="24"/>
        </w:rPr>
      </w:pPr>
    </w:p>
    <w:p w14:paraId="5E23A604">
      <w:pPr>
        <w:widowControl/>
        <w:spacing w:line="360" w:lineRule="auto"/>
        <w:ind w:firstLine="480" w:firstLineChars="200"/>
        <w:jc w:val="left"/>
        <w:outlineLvl w:val="9"/>
        <w:rPr>
          <w:rFonts w:hint="eastAsia" w:ascii="宋体" w:hAnsi="宋体" w:eastAsia="宋体" w:cs="宋体"/>
          <w:color w:val="auto"/>
          <w:sz w:val="24"/>
          <w:szCs w:val="24"/>
        </w:rPr>
      </w:pPr>
    </w:p>
    <w:p w14:paraId="57434F44">
      <w:pPr>
        <w:widowControl/>
        <w:spacing w:line="360" w:lineRule="auto"/>
        <w:ind w:firstLine="480" w:firstLineChars="200"/>
        <w:jc w:val="left"/>
        <w:outlineLvl w:val="9"/>
        <w:rPr>
          <w:rFonts w:hint="eastAsia" w:ascii="宋体" w:hAnsi="宋体" w:eastAsia="宋体" w:cs="宋体"/>
          <w:color w:val="auto"/>
          <w:sz w:val="24"/>
          <w:szCs w:val="24"/>
        </w:rPr>
      </w:pPr>
    </w:p>
    <w:p w14:paraId="58D9A2B9">
      <w:pPr>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br w:type="page"/>
      </w:r>
    </w:p>
    <w:p w14:paraId="2BDE6064">
      <w:pPr>
        <w:widowControl/>
        <w:spacing w:line="360" w:lineRule="auto"/>
        <w:jc w:val="left"/>
        <w:outlineLvl w:val="9"/>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附件3：索赔</w:t>
      </w:r>
    </w:p>
    <w:p w14:paraId="5EC6CBA4">
      <w:pPr>
        <w:widowControl/>
        <w:spacing w:line="360" w:lineRule="auto"/>
        <w:ind w:left="0" w:leftChars="0" w:firstLine="0" w:firstLineChars="0"/>
        <w:jc w:val="center"/>
        <w:outlineLvl w:val="9"/>
        <w:rPr>
          <w:rFonts w:hint="eastAsia" w:ascii="宋体" w:hAnsi="宋体" w:eastAsia="宋体" w:cs="宋体"/>
          <w:color w:val="auto"/>
          <w:sz w:val="24"/>
          <w:szCs w:val="24"/>
        </w:rPr>
      </w:pPr>
      <w:r>
        <w:rPr>
          <w:rFonts w:hint="eastAsia" w:ascii="宋体" w:hAnsi="宋体" w:eastAsia="宋体" w:cs="宋体"/>
          <w:b/>
          <w:color w:val="auto"/>
          <w:kern w:val="0"/>
          <w:sz w:val="28"/>
          <w:szCs w:val="28"/>
        </w:rPr>
        <w:t>索 赔</w:t>
      </w:r>
    </w:p>
    <w:p w14:paraId="6149546D">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59882CC0">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2.在验收合格前，乙方对甲方提出的索赔负有责任，乙方应按照甲方同意的下列一种或多种方式解决索赔事宜：</w:t>
      </w:r>
    </w:p>
    <w:p w14:paraId="7F58AD96">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D41EA42">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2.2根据货物低劣程度、损坏程度以及甲方所遭受损失的数额，经甲乙双方商定降低货物的价格，或由有资质的中介机构评估，以降低后的价格或评估价格为准。</w:t>
      </w:r>
    </w:p>
    <w:p w14:paraId="758095D8">
      <w:pPr>
        <w:widowControl/>
        <w:spacing w:line="480" w:lineRule="exact"/>
        <w:ind w:firstLine="482"/>
        <w:jc w:val="left"/>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47AA8D">
      <w:pPr>
        <w:widowControl/>
        <w:spacing w:line="480" w:lineRule="exact"/>
        <w:ind w:firstLine="482"/>
        <w:jc w:val="left"/>
        <w:outlineLvl w:val="9"/>
        <w:rPr>
          <w:rFonts w:hint="eastAsia" w:ascii="宋体" w:hAnsi="宋体" w:eastAsia="宋体" w:cs="宋体"/>
          <w:color w:val="auto"/>
        </w:rPr>
      </w:pPr>
      <w:r>
        <w:rPr>
          <w:rFonts w:hint="eastAsia" w:ascii="宋体" w:hAnsi="宋体" w:eastAsia="宋体" w:cs="宋体"/>
          <w:color w:val="auto"/>
          <w:kern w:val="0"/>
          <w:sz w:val="24"/>
          <w:szCs w:val="24"/>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color w:val="auto"/>
          <w:kern w:val="0"/>
          <w:sz w:val="24"/>
          <w:szCs w:val="24"/>
        </w:rPr>
        <w:br w:type="textWrapping"/>
      </w:r>
    </w:p>
    <w:p w14:paraId="72E9C9D7">
      <w:bookmarkStart w:id="22" w:name="_GoBack"/>
      <w:bookmarkEnd w:id="22"/>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5965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5D577">
                          <w:pPr>
                            <w:pStyle w:val="5"/>
                          </w:pPr>
                          <w:r>
                            <w:t xml:space="preserve">第 </w:t>
                          </w:r>
                          <w:r>
                            <w:fldChar w:fldCharType="begin"/>
                          </w:r>
                          <w:r>
                            <w:instrText xml:space="preserve"> PAGE  \* MERGEFORMAT </w:instrText>
                          </w:r>
                          <w:r>
                            <w:fldChar w:fldCharType="separate"/>
                          </w:r>
                          <w:r>
                            <w:t>- 2 -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435D577">
                    <w:pPr>
                      <w:pStyle w:val="5"/>
                    </w:pPr>
                    <w:r>
                      <w:t xml:space="preserve">第 </w:t>
                    </w:r>
                    <w:r>
                      <w:fldChar w:fldCharType="begin"/>
                    </w:r>
                    <w:r>
                      <w:instrText xml:space="preserve"> PAGE  \* MERGEFORMAT </w:instrText>
                    </w:r>
                    <w:r>
                      <w:fldChar w:fldCharType="separate"/>
                    </w:r>
                    <w:r>
                      <w:t>- 2 -</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8419E">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B6F03"/>
    <w:rsid w:val="1EBF625E"/>
    <w:rsid w:val="45C67C16"/>
    <w:rsid w:val="5A3C6041"/>
    <w:rsid w:val="6DD13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8"/>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Normal Indent"/>
    <w:basedOn w:val="1"/>
    <w:qFormat/>
    <w:uiPriority w:val="0"/>
    <w:pPr>
      <w:ind w:firstLine="420" w:firstLineChars="200"/>
    </w:pPr>
  </w:style>
  <w:style w:type="paragraph" w:styleId="5">
    <w:name w:val="footer"/>
    <w:basedOn w:val="1"/>
    <w:semiHidden/>
    <w:unhideWhenUsed/>
    <w:qFormat/>
    <w:uiPriority w:val="99"/>
    <w:pPr>
      <w:tabs>
        <w:tab w:val="center" w:pos="4153"/>
        <w:tab w:val="right" w:pos="8306"/>
      </w:tabs>
      <w:snapToGrid w:val="0"/>
      <w:jc w:val="left"/>
    </w:pPr>
    <w:rPr>
      <w:sz w:val="18"/>
      <w:szCs w:val="18"/>
    </w:rPr>
  </w:style>
  <w:style w:type="character" w:customStyle="1" w:styleId="8">
    <w:name w:val="标题 4 Char"/>
    <w:link w:val="3"/>
    <w:qFormat/>
    <w:uiPriority w:val="0"/>
    <w:rPr>
      <w:rFonts w:ascii="Times New Roman" w:hAnsi="Times New Roman" w:eastAsia="宋体" w:cs="Times New Roman"/>
      <w:color w:val="000000" w:themeColor="text1"/>
      <w:sz w:val="28"/>
      <w:u w:val="none"/>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2026-06-03T07:33:09Z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