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版本号：ZBZB-2026-291820260605001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2026年知识图谱建设项目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ZBZB-2026-2918</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2026年知识图谱建设项目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2026年知识图谱建设项目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陕西省档案馆2026年知识图谱建设项目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1、营业执照：具有独立承担民事责任能力的法人、其他组织或自然人，统一社会信用代码营业执照（事业单位提供事业单位法人证书，自然人提供本人身份证）。</w:t>
      </w:r>
    </w:p>
    <w:p>
      <w:pPr>
        <w:pStyle w:val="null3"/>
      </w:pPr>
      <w:r>
        <w:rPr>
          <w:rFonts w:ascii="仿宋_GB2312" w:hAnsi="仿宋_GB2312" w:cs="仿宋_GB2312" w:eastAsia="仿宋_GB2312"/>
        </w:rPr>
        <w:t>2、法定代表人授权书：法定代表人参加磋商时，须提供法定代表人身份证明（附法定代表人身份证复印件）及身份证；授权代表参加磋商时，提供法定代表人授权委托书（附法定代表人、委托代理人身份证复印件）及委托代理人身份证。</w:t>
      </w:r>
    </w:p>
    <w:p>
      <w:pPr>
        <w:pStyle w:val="null3"/>
      </w:pPr>
      <w:r>
        <w:rPr>
          <w:rFonts w:ascii="仿宋_GB2312" w:hAnsi="仿宋_GB2312" w:cs="仿宋_GB2312" w:eastAsia="仿宋_GB2312"/>
        </w:rPr>
        <w:t>3、财务状况报告：提供经审计的2024年度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4、税收缴纳证明：提供响应文件截止时间前一年内至少三个月已缴纳的增值税或企业所得税的凭据；其他组织和自然人提供响应文件截止时间前一年内至少一个月缴纳税收的凭据；依法免税的投标人应提供相关文件证明。</w:t>
      </w:r>
    </w:p>
    <w:p>
      <w:pPr>
        <w:pStyle w:val="null3"/>
      </w:pPr>
      <w:r>
        <w:rPr>
          <w:rFonts w:ascii="仿宋_GB2312" w:hAnsi="仿宋_GB2312" w:cs="仿宋_GB2312" w:eastAsia="仿宋_GB2312"/>
        </w:rPr>
        <w:t>5、社会保障资金缴纳证明：提供响应文件截止时间前一年内至少三个月已缴纳的社会保障资金的凭据（专用收据或社会保险缴纳清单）；依法不需要缴纳社会保障资金的投标人应提供相关文件证明。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信用查询：参加政府采购活动前三年内未被列入“信用中国（中国执行信息公开网）”网站失信被执行人、重大税收违法案件当事人、政府采购严重违法失信行为记录名单和“中国政府采购”网站政府采购严重违法失信行为记录名单；投标人须提交投标人信用承诺书，信用承诺书由投标人法人代表（主要负责人）亲自签署，就近三年内无重大违法记录，反商业贿赂，不串通投标等作出书面声明和承诺，作为投标（响应）文件的组成部分。投标人未承诺的，视同自愿放弃投标（响应）资格；未履行或未全面履行承诺的，依法依规处罚，记入不良行为记录名单 查询截止时间：响应文件递交截止时间后一个小时内。 采购代理机构将查询网页截图存档备查。</w:t>
      </w:r>
    </w:p>
    <w:p>
      <w:pPr>
        <w:pStyle w:val="null3"/>
      </w:pPr>
      <w:r>
        <w:rPr>
          <w:rFonts w:ascii="仿宋_GB2312" w:hAnsi="仿宋_GB2312" w:cs="仿宋_GB2312" w:eastAsia="仿宋_GB2312"/>
        </w:rPr>
        <w:t>7、投标人无违法记录声明：投标人提供参加政府采购活动前三年内在经营活动中没有重大违法记录的书面声明</w:t>
      </w:r>
    </w:p>
    <w:p>
      <w:pPr>
        <w:pStyle w:val="null3"/>
      </w:pPr>
      <w:r>
        <w:rPr>
          <w:rFonts w:ascii="仿宋_GB2312" w:hAnsi="仿宋_GB2312" w:cs="仿宋_GB2312" w:eastAsia="仿宋_GB2312"/>
        </w:rPr>
        <w:t>8、本项目不接受联合体投标：投标人提供非联合体承诺书。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韩老师、范老师、邹老师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029-89230882、029-89230883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开户名称：平安银行西安分行营业部</w:t>
            </w:r>
          </w:p>
          <w:p>
            <w:pPr>
              <w:pStyle w:val="null3"/>
            </w:pPr>
            <w:r>
              <w:rPr>
                <w:rFonts w:ascii="仿宋_GB2312" w:hAnsi="仿宋_GB2312" w:cs="仿宋_GB2312" w:eastAsia="仿宋_GB2312"/>
              </w:rPr>
              <w:t>开户银行：陕西正邦招标有限责任公司</w:t>
            </w:r>
          </w:p>
          <w:p>
            <w:pPr>
              <w:pStyle w:val="null3"/>
            </w:pPr>
            <w:r>
              <w:rPr>
                <w:rFonts w:ascii="仿宋_GB2312" w:hAnsi="仿宋_GB2312" w:cs="仿宋_GB2312" w:eastAsia="仿宋_GB2312"/>
              </w:rPr>
              <w:t>银行账号：30205380002094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甲乙双方在签订合同后5个工作日内，乙方应向甲方指定账户支付履约保证金，履约保证金金额为合同总价的5%；履约保证金在完成本项目涉及的工作任务后，且双方无争议时由乙方书面提出退还申请，甲方在收到申请之日起30个工作日内全额无息退还乙方。若乙方违反本合同，甲方有权从保证金中直接予以扣除违约金。 履约保证金收取账号信息： 户 名：陕西省档案馆 账 号：78600188000071603 开户行：中国光大银行西安东大街支行 地 址：西安市长安区子午大道与学府大街十字东北角 电 话：029-89230822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由成交单位在领取成交通知书前参照国家发展和改革委员会办公厅发改办价格【2002】1980号文的规定，向采购代理机构支付招标代理服务费（包含“招标代理费、会务费（如有）”），如本项目服务费不足伍仟元则供应商按伍仟元支付服务费。 请将款项交纳至以下指定的银行账户内： 名称：陕西正邦招标有限责任公司 开户行名称：平安银行西安分行营业部 账号：30205380002094 备注：请注明费用信息“ZBZB-2026-2918磋商服务费”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联系电话：029-85578186-834</w:t>
      </w:r>
    </w:p>
    <w:p>
      <w:pPr>
        <w:pStyle w:val="null3"/>
      </w:pPr>
      <w:r>
        <w:rPr>
          <w:rFonts w:ascii="仿宋_GB2312" w:hAnsi="仿宋_GB2312" w:cs="仿宋_GB2312" w:eastAsia="仿宋_GB2312"/>
        </w:rPr>
        <w:t>地址：西安市雁塔区朱雀大街南段69号长丰园三区5号楼9层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陕西省档案馆2026年知识图谱建设项目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知识图谱服务项目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标的名称：知识图谱服务项目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基本情况</w:t>
            </w:r>
          </w:p>
          <w:p>
            <w:pPr>
              <w:pStyle w:val="null3"/>
            </w:pPr>
            <w:r>
              <w:rPr>
                <w:rFonts w:ascii="仿宋_GB2312" w:hAnsi="仿宋_GB2312" w:cs="仿宋_GB2312" w:eastAsia="仿宋_GB2312"/>
                <w:sz w:val="20"/>
              </w:rPr>
              <w:t>为深入挖掘馆藏档案价值，提升数字资源智能化服务水平，推动陕西历史文化专题建设，陕西省档案馆拟启动</w:t>
            </w:r>
            <w:r>
              <w:rPr>
                <w:rFonts w:ascii="仿宋_GB2312" w:hAnsi="仿宋_GB2312" w:cs="仿宋_GB2312" w:eastAsia="仿宋_GB2312"/>
                <w:sz w:val="20"/>
              </w:rPr>
              <w:t>2026年知识图谱建设项目。该项目申请2026年省级财政资金30万元，计划2026年1</w:t>
            </w:r>
            <w:r>
              <w:rPr>
                <w:rFonts w:ascii="仿宋_GB2312" w:hAnsi="仿宋_GB2312" w:cs="仿宋_GB2312" w:eastAsia="仿宋_GB2312"/>
                <w:sz w:val="20"/>
              </w:rPr>
              <w:t>1月中旬</w:t>
            </w:r>
            <w:r>
              <w:rPr>
                <w:rFonts w:ascii="仿宋_GB2312" w:hAnsi="仿宋_GB2312" w:cs="仿宋_GB2312" w:eastAsia="仿宋_GB2312"/>
                <w:sz w:val="20"/>
              </w:rPr>
              <w:t>完成知识图谱建设</w:t>
            </w:r>
            <w:r>
              <w:rPr>
                <w:rFonts w:ascii="仿宋_GB2312" w:hAnsi="仿宋_GB2312" w:cs="仿宋_GB2312" w:eastAsia="仿宋_GB2312"/>
                <w:sz w:val="20"/>
              </w:rPr>
              <w:t>,11月底之前完成项目验收</w:t>
            </w:r>
            <w:r>
              <w:rPr>
                <w:rFonts w:ascii="仿宋_GB2312" w:hAnsi="仿宋_GB2312" w:cs="仿宋_GB2312" w:eastAsia="仿宋_GB2312"/>
                <w:sz w:val="20"/>
              </w:rPr>
              <w:t>。项目旨在构建一个高质量、可落地的</w:t>
            </w:r>
            <w:r>
              <w:rPr>
                <w:rFonts w:ascii="仿宋_GB2312" w:hAnsi="仿宋_GB2312" w:cs="仿宋_GB2312" w:eastAsia="仿宋_GB2312"/>
                <w:sz w:val="20"/>
              </w:rPr>
              <w:t>“西安事变”专题知识图谱案例，通过对陕西省档案馆馆藏资源及多源数据的深度治理与结构化处理，建立实体间的复杂关联关系，并设计开发符合档案展示需求的可视化交互页面，从而提升档案资源的智能化利用水平与红色文化传播力。</w:t>
            </w:r>
          </w:p>
          <w:p>
            <w:pPr>
              <w:pStyle w:val="null3"/>
            </w:pPr>
            <w:r>
              <w:rPr>
                <w:rFonts w:ascii="仿宋_GB2312" w:hAnsi="仿宋_GB2312" w:cs="仿宋_GB2312" w:eastAsia="仿宋_GB2312"/>
                <w:sz w:val="20"/>
              </w:rPr>
              <w:t>二、采购内容</w:t>
            </w:r>
            <w:r>
              <w:rPr>
                <w:rFonts w:ascii="仿宋_GB2312" w:hAnsi="仿宋_GB2312" w:cs="仿宋_GB2312" w:eastAsia="仿宋_GB2312"/>
                <w:sz w:val="20"/>
              </w:rPr>
              <w:t>及</w:t>
            </w:r>
            <w:r>
              <w:rPr>
                <w:rFonts w:ascii="仿宋_GB2312" w:hAnsi="仿宋_GB2312" w:cs="仿宋_GB2312" w:eastAsia="仿宋_GB2312"/>
                <w:sz w:val="20"/>
              </w:rPr>
              <w:t>要求</w:t>
            </w:r>
          </w:p>
          <w:p>
            <w:pPr>
              <w:pStyle w:val="null3"/>
            </w:pPr>
            <w:r>
              <w:rPr>
                <w:rFonts w:ascii="仿宋_GB2312" w:hAnsi="仿宋_GB2312" w:cs="仿宋_GB2312" w:eastAsia="仿宋_GB2312"/>
                <w:sz w:val="20"/>
              </w:rPr>
              <w:t>（一）项目</w:t>
            </w:r>
            <w:r>
              <w:rPr>
                <w:rFonts w:ascii="仿宋_GB2312" w:hAnsi="仿宋_GB2312" w:cs="仿宋_GB2312" w:eastAsia="仿宋_GB2312"/>
                <w:sz w:val="20"/>
              </w:rPr>
              <w:t>目标：</w:t>
            </w:r>
          </w:p>
          <w:p>
            <w:pPr>
              <w:pStyle w:val="null3"/>
            </w:pPr>
            <w:r>
              <w:rPr>
                <w:rFonts w:ascii="仿宋_GB2312" w:hAnsi="仿宋_GB2312" w:cs="仿宋_GB2312" w:eastAsia="仿宋_GB2312"/>
                <w:sz w:val="20"/>
              </w:rPr>
              <w:t>本项目旨在以</w:t>
            </w:r>
            <w:r>
              <w:rPr>
                <w:rFonts w:ascii="仿宋_GB2312" w:hAnsi="仿宋_GB2312" w:cs="仿宋_GB2312" w:eastAsia="仿宋_GB2312"/>
                <w:sz w:val="20"/>
              </w:rPr>
              <w:t>“西安事变”这一重大历史事件为核心，融合馆藏档案资源及多渠道汇聚的文书、图片、音视频等多模态资源，对海量、异构的档案资料进行深度加工与关联，构建一个精准、立体的历史人物、事件与关系关联网络。配套完成可视化展示页面的设计、开发与集成，实现档案资源的深度挖掘、关联分析与便捷展示，并发布至现有音视频管理系统，全面赋能档案资源智慧利用。</w:t>
            </w:r>
          </w:p>
          <w:p>
            <w:pPr>
              <w:pStyle w:val="null3"/>
            </w:pPr>
            <w:r>
              <w:rPr>
                <w:rFonts w:ascii="仿宋_GB2312" w:hAnsi="仿宋_GB2312" w:cs="仿宋_GB2312" w:eastAsia="仿宋_GB2312"/>
                <w:sz w:val="20"/>
              </w:rPr>
              <w:t>（二）采购内容</w:t>
            </w:r>
          </w:p>
          <w:p>
            <w:pPr>
              <w:pStyle w:val="null3"/>
            </w:pPr>
            <w:r>
              <w:rPr>
                <w:rFonts w:ascii="仿宋_GB2312" w:hAnsi="仿宋_GB2312" w:cs="仿宋_GB2312" w:eastAsia="仿宋_GB2312"/>
                <w:sz w:val="20"/>
              </w:rPr>
              <w:t>本项目围绕</w:t>
            </w:r>
            <w:r>
              <w:rPr>
                <w:rFonts w:ascii="仿宋_GB2312" w:hAnsi="仿宋_GB2312" w:cs="仿宋_GB2312" w:eastAsia="仿宋_GB2312"/>
                <w:sz w:val="20"/>
              </w:rPr>
              <w:t>“数据治理—图谱构建—页面开发—对接发布”各环节展开，具体包含以下四大核心内容：</w:t>
            </w:r>
          </w:p>
          <w:p>
            <w:pPr>
              <w:pStyle w:val="null3"/>
            </w:pPr>
            <w:r>
              <w:rPr>
                <w:rFonts w:ascii="仿宋_GB2312" w:hAnsi="仿宋_GB2312" w:cs="仿宋_GB2312" w:eastAsia="仿宋_GB2312"/>
                <w:sz w:val="20"/>
              </w:rPr>
              <w:t>1. 多源数据汇聚与精细化治理</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）资源汇聚与筛选：对陕西省档案馆现有与</w:t>
            </w:r>
            <w:r>
              <w:rPr>
                <w:rFonts w:ascii="仿宋_GB2312" w:hAnsi="仿宋_GB2312" w:cs="仿宋_GB2312" w:eastAsia="仿宋_GB2312"/>
                <w:sz w:val="20"/>
              </w:rPr>
              <w:t>“西安事变”相关的3000余件馆藏、对外征集数据及合规采集的互联网公开数据进行盘点，建立数据来源清单，明确获取渠道与使用权限，结合“西安事变”主题建立严格的筛选标准，剔除无关、重复及无效数据，确保数据的针对性与权威性。</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据清洗与标准化：建立规范的资源整理台账，对音视频档案进行格式统一转码与时长梳理；对文书档案进行数字化校验与清晰度优化；对互联网及征集数据进行去重、脱敏处理，确保所有入库数据符合后续结构化处理的技术要求。</w:t>
            </w:r>
          </w:p>
          <w:p>
            <w:pPr>
              <w:pStyle w:val="null3"/>
            </w:pPr>
            <w:r>
              <w:rPr>
                <w:rFonts w:ascii="仿宋_GB2312" w:hAnsi="仿宋_GB2312" w:cs="仿宋_GB2312" w:eastAsia="仿宋_GB2312"/>
                <w:sz w:val="20"/>
              </w:rPr>
              <w:t>2. 知识抽取与图谱构建</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）要素提取与结构化：提取档案内容中的关键人物、地点、时间、身份等核心要素，建立要素清单并进行多轮校对，确保信息的准确性与完整性。</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）关系建模与关联：梳理并定义</w:t>
            </w:r>
            <w:r>
              <w:rPr>
                <w:rFonts w:ascii="仿宋_GB2312" w:hAnsi="仿宋_GB2312" w:cs="仿宋_GB2312" w:eastAsia="仿宋_GB2312"/>
                <w:sz w:val="20"/>
              </w:rPr>
              <w:t>“人物-人物”、“人物-事件”、“事件-地点”、“事件-时间”等核心本体关系，支持手动编辑与新增，重点构建以“人物-时间-事件-档案”为核心节点的西安事变专题图谱，清晰呈现历史发展脉络。</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）定期更新机制：建立数据更新接口或流程，支持对后续新增档案数据的结构化处理与图谱增量更新。</w:t>
            </w:r>
          </w:p>
          <w:p>
            <w:pPr>
              <w:pStyle w:val="null3"/>
            </w:pPr>
            <w:r>
              <w:rPr>
                <w:rFonts w:ascii="仿宋_GB2312" w:hAnsi="仿宋_GB2312" w:cs="仿宋_GB2312" w:eastAsia="仿宋_GB2312"/>
                <w:sz w:val="20"/>
              </w:rPr>
              <w:t>3. 可视化页面设计与开发</w:t>
            </w:r>
          </w:p>
          <w:p>
            <w:pPr>
              <w:pStyle w:val="null3"/>
            </w:pPr>
            <w:r>
              <w:rPr>
                <w:rFonts w:ascii="仿宋_GB2312" w:hAnsi="仿宋_GB2312" w:cs="仿宋_GB2312" w:eastAsia="仿宋_GB2312"/>
                <w:sz w:val="20"/>
              </w:rPr>
              <w:t>以陕西红色文化为内核，开发集检索、浏览、分析于一体的可视化展示页面，支持五大核心功能：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关系图谱总览：提供宏观知识网络的图形化展示界面，覆盖核心人物及其身份、主要事件时间及地点、档案等实体及其复杂关联，支持灵活的节点与连线筛选机制，并允许用户通过拖拽、缩放等方式对图谱进行交互式探索，实现对关键信息的快速定位与全景式浏览。</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）人物群像分析：聚焦西安事变中的核心人物及各方势力，通过</w:t>
            </w:r>
            <w:r>
              <w:rPr>
                <w:rFonts w:ascii="仿宋_GB2312" w:hAnsi="仿宋_GB2312" w:cs="仿宋_GB2312" w:eastAsia="仿宋_GB2312"/>
                <w:sz w:val="20"/>
              </w:rPr>
              <w:t>“生平背景+活动年谱+肖像素材”等构建立体画像，并利用图谱可视化展示人物间的合作、政敌、谈判等复杂关系，支持多人物对比分析。</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）史事脉络演进：以</w:t>
            </w:r>
            <w:r>
              <w:rPr>
                <w:rFonts w:ascii="仿宋_GB2312" w:hAnsi="仿宋_GB2312" w:cs="仿宋_GB2312" w:eastAsia="仿宋_GB2312"/>
                <w:sz w:val="20"/>
              </w:rPr>
              <w:t>1936年12月12日前后为时间轴，动态串联事变酝酿、爆发、谈判、解决、后续影响等全过程。结合关联档案（文书、照片、音视频等），实现“时间-事件-人物-档案”的图谱联动展示，揭示历史内在逻辑。</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）历史场景关联：对西安事变核心地点进行地图标注，融合史实信息与馆藏档案，将地点与关联档案（文书、照片、音视频等）直接关联，实现基于地理位置的档案图谱展示，突显地域红色文化价值。</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）档案原件溯源与智能检索：</w:t>
            </w:r>
          </w:p>
          <w:p>
            <w:pPr>
              <w:pStyle w:val="null3"/>
            </w:pPr>
            <w:r>
              <w:rPr>
                <w:rFonts w:ascii="仿宋_GB2312" w:hAnsi="仿宋_GB2312" w:cs="仿宋_GB2312" w:eastAsia="仿宋_GB2312"/>
                <w:sz w:val="20"/>
              </w:rPr>
              <w:t>①原件溯源：实现从图谱节点到档案原件（文书、图片、音视频等）的一键关联，确保知识结论有据可查。</w:t>
            </w:r>
          </w:p>
          <w:p>
            <w:pPr>
              <w:pStyle w:val="null3"/>
            </w:pPr>
            <w:r>
              <w:rPr>
                <w:rFonts w:ascii="仿宋_GB2312" w:hAnsi="仿宋_GB2312" w:cs="仿宋_GB2312" w:eastAsia="仿宋_GB2312"/>
                <w:sz w:val="20"/>
              </w:rPr>
              <w:t>②智能检索：在精准定位目标实体的同时，能够展示其背后的人物关系网与事件脉络，实现从“单一档案查找”到“多维知识发现”的跨越。</w:t>
            </w:r>
          </w:p>
          <w:p>
            <w:pPr>
              <w:pStyle w:val="null3"/>
            </w:pPr>
            <w:r>
              <w:rPr>
                <w:rFonts w:ascii="仿宋_GB2312" w:hAnsi="仿宋_GB2312" w:cs="仿宋_GB2312" w:eastAsia="仿宋_GB2312"/>
                <w:sz w:val="20"/>
              </w:rPr>
              <w:t>4. 标准化模板与对接发布</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）标准化模板开发：定制开发两套标准化图谱可视化展示模板（人物专题模板、事件专题模板），模板需具备可配置性，馆方可利用模板自行新建和编辑图谱。</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）对接发布：形成的知识图谱页面须发布至现有音视频管理系统中，确保交互流畅、运行稳定。</w:t>
            </w:r>
          </w:p>
          <w:p>
            <w:pPr>
              <w:pStyle w:val="null3"/>
            </w:pPr>
            <w:r>
              <w:rPr>
                <w:rFonts w:ascii="仿宋_GB2312" w:hAnsi="仿宋_GB2312" w:cs="仿宋_GB2312" w:eastAsia="仿宋_GB2312"/>
                <w:sz w:val="20"/>
              </w:rPr>
              <w:t>（三）技术与服务要求</w:t>
            </w:r>
          </w:p>
          <w:p>
            <w:pPr>
              <w:pStyle w:val="null3"/>
            </w:pPr>
            <w:r>
              <w:rPr>
                <w:rFonts w:ascii="仿宋_GB2312" w:hAnsi="仿宋_GB2312" w:cs="仿宋_GB2312" w:eastAsia="仿宋_GB2312"/>
                <w:sz w:val="20"/>
              </w:rPr>
              <w:t>1. 技术指标要求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）数据处理精度：关键实体识别准确率不低于</w:t>
            </w:r>
            <w:r>
              <w:rPr>
                <w:rFonts w:ascii="仿宋_GB2312" w:hAnsi="仿宋_GB2312" w:cs="仿宋_GB2312" w:eastAsia="仿宋_GB2312"/>
                <w:sz w:val="20"/>
              </w:rPr>
              <w:t>9</w:t>
            </w:r>
            <w:r>
              <w:rPr>
                <w:rFonts w:ascii="仿宋_GB2312" w:hAnsi="仿宋_GB2312" w:cs="仿宋_GB2312" w:eastAsia="仿宋_GB2312"/>
                <w:sz w:val="20"/>
              </w:rPr>
              <w:t>5</w:t>
            </w:r>
            <w:r>
              <w:rPr>
                <w:rFonts w:ascii="仿宋_GB2312" w:hAnsi="仿宋_GB2312" w:cs="仿宋_GB2312" w:eastAsia="仿宋_GB2312"/>
                <w:sz w:val="20"/>
              </w:rPr>
              <w:t>%，实体关系抽取准确率不低于</w:t>
            </w:r>
            <w:r>
              <w:rPr>
                <w:rFonts w:ascii="仿宋_GB2312" w:hAnsi="仿宋_GB2312" w:cs="仿宋_GB2312" w:eastAsia="仿宋_GB2312"/>
                <w:sz w:val="20"/>
              </w:rPr>
              <w:t>9</w:t>
            </w:r>
            <w:r>
              <w:rPr>
                <w:rFonts w:ascii="仿宋_GB2312" w:hAnsi="仿宋_GB2312" w:cs="仿宋_GB2312" w:eastAsia="仿宋_GB2312"/>
                <w:sz w:val="20"/>
              </w:rPr>
              <w:t>5%。</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）性能指标：知识图谱查询响应时间不超过</w:t>
            </w:r>
            <w:r>
              <w:rPr>
                <w:rFonts w:ascii="仿宋_GB2312" w:hAnsi="仿宋_GB2312" w:cs="仿宋_GB2312" w:eastAsia="仿宋_GB2312"/>
                <w:sz w:val="20"/>
              </w:rPr>
              <w:t>2秒；可视化页面加载时间不超过3秒；支持并发用户数不少于</w:t>
            </w:r>
            <w:r>
              <w:rPr>
                <w:rFonts w:ascii="仿宋_GB2312" w:hAnsi="仿宋_GB2312" w:cs="仿宋_GB2312" w:eastAsia="仿宋_GB2312"/>
                <w:sz w:val="20"/>
              </w:rPr>
              <w:t>100</w:t>
            </w:r>
            <w:r>
              <w:rPr>
                <w:rFonts w:ascii="仿宋_GB2312" w:hAnsi="仿宋_GB2312" w:cs="仿宋_GB2312" w:eastAsia="仿宋_GB2312"/>
                <w:sz w:val="20"/>
              </w:rPr>
              <w:t>人。</w:t>
            </w:r>
          </w:p>
          <w:p>
            <w:pPr>
              <w:pStyle w:val="null3"/>
            </w:pPr>
            <w:r>
              <w:rPr>
                <w:rFonts w:ascii="仿宋_GB2312" w:hAnsi="仿宋_GB2312" w:cs="仿宋_GB2312" w:eastAsia="仿宋_GB2312"/>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）国产化信创适配要求：系统须符合国家信创标准及安全可靠测评要求，确保在纯国产化环境下功能完整、安全稳定运行，同时需适配本馆现有国产化软硬件平台。</w:t>
            </w:r>
          </w:p>
          <w:p>
            <w:pPr>
              <w:pStyle w:val="null3"/>
            </w:pPr>
            <w:r>
              <w:rPr>
                <w:rFonts w:ascii="仿宋_GB2312" w:hAnsi="仿宋_GB2312" w:cs="仿宋_GB2312" w:eastAsia="仿宋_GB2312"/>
                <w:sz w:val="20"/>
              </w:rPr>
              <w:t>2. 项目实施与管理</w:t>
            </w:r>
          </w:p>
          <w:p>
            <w:pPr>
              <w:pStyle w:val="null3"/>
            </w:pPr>
            <w:r>
              <w:rPr>
                <w:rFonts w:ascii="仿宋_GB2312" w:hAnsi="仿宋_GB2312" w:cs="仿宋_GB2312" w:eastAsia="仿宋_GB2312"/>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）驻场支持：项目建设期间，中标人应至少派遣一名资深工程师全程驻场，负责项目现场建设实施、即时响应、交付保障等工作。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）人员管理：所有参与本项目的人员在进场前均须签署具有法律效力的保密协议，严禁以任何形式泄露、窃取或违规使用任何未经公开发布的档案数据及敏感信息。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）进度保障：中标人需提供详细的项目实施计划表，明确各阶段目标，确保项目按期保质完成。</w:t>
            </w:r>
          </w:p>
          <w:p>
            <w:pPr>
              <w:pStyle w:val="null3"/>
            </w:pPr>
            <w:r>
              <w:rPr>
                <w:rFonts w:ascii="仿宋_GB2312" w:hAnsi="仿宋_GB2312" w:cs="仿宋_GB2312" w:eastAsia="仿宋_GB2312"/>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）数据管理：所有涉及本项目馆藏数据的整理、加工等操作，均须在馆内指定的安全环境中进行，不得通过任何介质或网络途径将数据带离馆区。</w:t>
            </w:r>
          </w:p>
          <w:p>
            <w:pPr>
              <w:pStyle w:val="null3"/>
            </w:pPr>
            <w:r>
              <w:rPr>
                <w:rFonts w:ascii="仿宋_GB2312" w:hAnsi="仿宋_GB2312" w:cs="仿宋_GB2312" w:eastAsia="仿宋_GB2312"/>
                <w:sz w:val="20"/>
              </w:rPr>
              <w:t>3. 售后服务与培训</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）质保期：项目验收通过后，提供为期两年的免费售后服务（含</w:t>
            </w:r>
            <w:r>
              <w:rPr>
                <w:rFonts w:ascii="仿宋_GB2312" w:hAnsi="仿宋_GB2312" w:cs="仿宋_GB2312" w:eastAsia="仿宋_GB2312"/>
                <w:sz w:val="20"/>
              </w:rPr>
              <w:t>bug修复、数据微调、适应性升级等）。</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）响应时效：提供</w:t>
            </w:r>
            <w:r>
              <w:rPr>
                <w:rFonts w:ascii="仿宋_GB2312" w:hAnsi="仿宋_GB2312" w:cs="仿宋_GB2312" w:eastAsia="仿宋_GB2312"/>
                <w:sz w:val="20"/>
              </w:rPr>
              <w:t>7×12小时技术支持服务，对于反馈的问题须立即作出实质性响应，并及时出具解决方案或修复措施，重大故障需在4小时内到达现场处理。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）培训咨询：提供常态化的操作培训与技术咨询，编制详细的操作手册与维护文档，确保馆方人员能够自主进行图谱维护与模板使用。</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）档案归集：负责全面梳理归集项目实施期间的所有资料，整理形成一套项目档案移交馆方。</w:t>
            </w:r>
          </w:p>
          <w:p>
            <w:pPr>
              <w:pStyle w:val="null3"/>
            </w:pPr>
            <w:r>
              <w:rPr>
                <w:rFonts w:ascii="仿宋_GB2312" w:hAnsi="仿宋_GB2312" w:cs="仿宋_GB2312" w:eastAsia="仿宋_GB2312"/>
                <w:sz w:val="20"/>
              </w:rPr>
              <w:t>4. 交付成果</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）西安事变专题知识图谱。</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）项目相关文档（需求规格说明书、设计文档、测试报告、用户手册、运维手册等）。</w:t>
            </w:r>
          </w:p>
          <w:p>
            <w:pPr>
              <w:pStyle w:val="null3"/>
            </w:pPr>
            <w:r>
              <w:rPr>
                <w:rFonts w:ascii="仿宋_GB2312" w:hAnsi="仿宋_GB2312" w:cs="仿宋_GB2312" w:eastAsia="仿宋_GB2312"/>
                <w:sz w:val="20"/>
              </w:rPr>
              <w:t>（四）</w:t>
            </w:r>
            <w:r>
              <w:rPr>
                <w:rFonts w:ascii="仿宋_GB2312" w:hAnsi="仿宋_GB2312" w:cs="仿宋_GB2312" w:eastAsia="仿宋_GB2312"/>
                <w:sz w:val="20"/>
              </w:rPr>
              <w:t>商务要求</w:t>
            </w:r>
          </w:p>
          <w:p>
            <w:pPr>
              <w:pStyle w:val="null3"/>
            </w:pPr>
            <w:r>
              <w:rPr>
                <w:rFonts w:ascii="仿宋_GB2312" w:hAnsi="仿宋_GB2312" w:cs="仿宋_GB2312" w:eastAsia="仿宋_GB2312"/>
                <w:sz w:val="20"/>
              </w:rPr>
              <w:t>1、服务期限：合同签订之日起</w:t>
            </w:r>
            <w:r>
              <w:rPr>
                <w:rFonts w:ascii="仿宋_GB2312" w:hAnsi="仿宋_GB2312" w:cs="仿宋_GB2312" w:eastAsia="仿宋_GB2312"/>
                <w:sz w:val="20"/>
              </w:rPr>
              <w:t>至</w:t>
            </w:r>
            <w:r>
              <w:rPr>
                <w:rFonts w:ascii="仿宋_GB2312" w:hAnsi="仿宋_GB2312" w:cs="仿宋_GB2312" w:eastAsia="仿宋_GB2312"/>
                <w:sz w:val="20"/>
              </w:rPr>
              <w:t>2026年1</w:t>
            </w:r>
            <w:r>
              <w:rPr>
                <w:rFonts w:ascii="仿宋_GB2312" w:hAnsi="仿宋_GB2312" w:cs="仿宋_GB2312" w:eastAsia="仿宋_GB2312"/>
                <w:sz w:val="20"/>
              </w:rPr>
              <w:t>1</w:t>
            </w:r>
            <w:r>
              <w:rPr>
                <w:rFonts w:ascii="仿宋_GB2312" w:hAnsi="仿宋_GB2312" w:cs="仿宋_GB2312" w:eastAsia="仿宋_GB2312"/>
                <w:sz w:val="20"/>
              </w:rPr>
              <w:t>月</w:t>
            </w:r>
            <w:r>
              <w:rPr>
                <w:rFonts w:ascii="仿宋_GB2312" w:hAnsi="仿宋_GB2312" w:cs="仿宋_GB2312" w:eastAsia="仿宋_GB2312"/>
                <w:sz w:val="20"/>
              </w:rPr>
              <w:t>15</w:t>
            </w:r>
            <w:r>
              <w:rPr>
                <w:rFonts w:ascii="仿宋_GB2312" w:hAnsi="仿宋_GB2312" w:cs="仿宋_GB2312" w:eastAsia="仿宋_GB2312"/>
                <w:sz w:val="20"/>
              </w:rPr>
              <w:t>日前完成。</w:t>
            </w:r>
          </w:p>
          <w:p>
            <w:pPr>
              <w:pStyle w:val="null3"/>
            </w:pPr>
            <w:r>
              <w:rPr>
                <w:rFonts w:ascii="仿宋_GB2312" w:hAnsi="仿宋_GB2312" w:cs="仿宋_GB2312" w:eastAsia="仿宋_GB2312"/>
                <w:sz w:val="20"/>
              </w:rPr>
              <w:t>2、服务地点：采购人指定地点。</w:t>
            </w:r>
          </w:p>
          <w:p>
            <w:pPr>
              <w:pStyle w:val="null3"/>
            </w:pPr>
            <w:r>
              <w:rPr>
                <w:rFonts w:ascii="仿宋_GB2312" w:hAnsi="仿宋_GB2312" w:cs="仿宋_GB2312" w:eastAsia="仿宋_GB2312"/>
                <w:sz w:val="20"/>
              </w:rPr>
              <w:t>3、付款方式：合同生效之日起15个工作日内，</w:t>
            </w:r>
            <w:r>
              <w:rPr>
                <w:rFonts w:ascii="仿宋_GB2312" w:hAnsi="仿宋_GB2312" w:cs="仿宋_GB2312" w:eastAsia="仿宋_GB2312"/>
                <w:sz w:val="20"/>
              </w:rPr>
              <w:t>采购人在收到供应商的履约保证金后，</w:t>
            </w:r>
            <w:r>
              <w:rPr>
                <w:rFonts w:ascii="仿宋_GB2312" w:hAnsi="仿宋_GB2312" w:cs="仿宋_GB2312" w:eastAsia="仿宋_GB2312"/>
                <w:sz w:val="20"/>
              </w:rPr>
              <w:t>预付合同总价款</w:t>
            </w:r>
            <w:r>
              <w:rPr>
                <w:rFonts w:ascii="仿宋_GB2312" w:hAnsi="仿宋_GB2312" w:cs="仿宋_GB2312" w:eastAsia="仿宋_GB2312"/>
                <w:sz w:val="20"/>
              </w:rPr>
              <w:t>50%。剩余尾款待项目完工并经</w:t>
            </w:r>
            <w:r>
              <w:rPr>
                <w:rFonts w:ascii="仿宋_GB2312" w:hAnsi="仿宋_GB2312" w:cs="仿宋_GB2312" w:eastAsia="仿宋_GB2312"/>
                <w:sz w:val="20"/>
              </w:rPr>
              <w:t>采购人</w:t>
            </w:r>
            <w:r>
              <w:rPr>
                <w:rFonts w:ascii="仿宋_GB2312" w:hAnsi="仿宋_GB2312" w:cs="仿宋_GB2312" w:eastAsia="仿宋_GB2312"/>
                <w:sz w:val="20"/>
              </w:rPr>
              <w:t>验收合格后，支付</w:t>
            </w:r>
            <w:r>
              <w:rPr>
                <w:rFonts w:ascii="仿宋_GB2312" w:hAnsi="仿宋_GB2312" w:cs="仿宋_GB2312" w:eastAsia="仿宋_GB2312"/>
                <w:sz w:val="20"/>
              </w:rPr>
              <w:t>50%的项目款。</w:t>
            </w:r>
            <w:r>
              <w:rPr>
                <w:rFonts w:ascii="仿宋_GB2312" w:hAnsi="仿宋_GB2312" w:cs="仿宋_GB2312" w:eastAsia="仿宋_GB2312"/>
                <w:sz w:val="20"/>
              </w:rPr>
              <w:t>采购人</w:t>
            </w:r>
            <w:r>
              <w:rPr>
                <w:rFonts w:ascii="仿宋_GB2312" w:hAnsi="仿宋_GB2312" w:cs="仿宋_GB2312" w:eastAsia="仿宋_GB2312"/>
                <w:sz w:val="20"/>
              </w:rPr>
              <w:t>付款前，</w:t>
            </w:r>
            <w:r>
              <w:rPr>
                <w:rFonts w:ascii="仿宋_GB2312" w:hAnsi="仿宋_GB2312" w:cs="仿宋_GB2312" w:eastAsia="仿宋_GB2312"/>
                <w:sz w:val="20"/>
              </w:rPr>
              <w:t>供应商</w:t>
            </w:r>
            <w:r>
              <w:rPr>
                <w:rFonts w:ascii="仿宋_GB2312" w:hAnsi="仿宋_GB2312" w:cs="仿宋_GB2312" w:eastAsia="仿宋_GB2312"/>
                <w:sz w:val="20"/>
              </w:rPr>
              <w:t>应提供与付款金额相等的增值税普通发票，否则</w:t>
            </w:r>
            <w:r>
              <w:rPr>
                <w:rFonts w:ascii="仿宋_GB2312" w:hAnsi="仿宋_GB2312" w:cs="仿宋_GB2312" w:eastAsia="仿宋_GB2312"/>
                <w:sz w:val="20"/>
              </w:rPr>
              <w:t>采购人</w:t>
            </w:r>
            <w:r>
              <w:rPr>
                <w:rFonts w:ascii="仿宋_GB2312" w:hAnsi="仿宋_GB2312" w:cs="仿宋_GB2312" w:eastAsia="仿宋_GB2312"/>
                <w:sz w:val="20"/>
              </w:rPr>
              <w:t>有权拒绝付款且不视为违约。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保证在此项目实施期间足够的人力投入和人员的质量。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合同签订之日起至2026年11月15日前完成。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进度款，双方签订合同生效之日起，采购人在收到供应商的履约保证金后，供应商向采购人开具相应合同金额 50% 的增值税专用/普通发票，达到付款条件起15个工作日内，支付合同总金额的50.0%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进度款，剩余尾款待项目完工并经采购人验收合格后，供应商向采购人开具相应合同金额 50% 的增值税专用/普通发票，达到付款条件起30个工作日内，支付合同总金额的50.0%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2、纸质响应文件正副本分别胶装，标明供应商名称密封递交，递交截止时间同在线递交电子响应文件截止时间一致。 3、若电子响应文件与纸质响应文件不一致的，以电子响应文件为准；若正本和副本不符，以正本为准。 4、线下递交文件时间：开标后两个工作日内 5、线下递交文件地点：西安市雁塔区朱雀大街南段69号长丰园三区5号楼9层。 6、纸质响应文件可邮寄，开标后两个工作日内邮递递交（联系人：张工；联系电话：029-85578186-834；邮寄地址：西安市雁塔区朱雀大街南段69号长丰园三区5号楼9层。）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具有独立承担民事责任能力的法人、其他组织或自然人，统一社会信用代码营业执照（事业单位提供事业单位法人证书，自然人提供本人身份证）。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须提供法定代表人身份证明（附法定代表人身份证复印件）及身份证；授权代表参加磋商时，提供法定代表人授权委托书（附法定代表人、委托代理人身份证复印件）及委托代理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提供响应文件截止时间前一年内至少三个月已缴纳的增值税或企业所得税的凭据；其他组织和自然人提供响应文件截止时间前一年内至少一个月缴纳税收的凭据；依法免税的投标人应提供相关文件证明。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提供响应文件截止时间前一年内至少三个月已缴纳的社会保障资金的凭据（专用收据或社会保险缴纳清单）；依法不需要缴纳社会保障资金的投标人应提供相关文件证明。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政府采购活动前三年内未被列入“信用中国（中国执行信息公开网）”网站失信被执行人、重大税收违法案件当事人、政府采购严重违法失信行为记录名单和“中国政府采购”网站政府采购严重违法失信行为记录名单；投标人须提交投标人信用承诺书，信用承诺书由投标人法人代表（主要负责人）亲自签署，就近三年内无重大违法记录，反商业贿赂，不串通投标等作出书面声明和承诺，作为投标（响应）文件的组成部分。投标人未承诺的，视同自愿放弃投标（响应）资格；未履行或未全面履行承诺的，依法依规处罚，记入不良行为记录名单 查询截止时间：响应文件递交截止时间后一个小时内。 采购代理机构将查询网页截图存档备查。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投标人无违法记录声明</w:t>
            </w:r>
          </w:p>
        </w:tc>
        <w:tc>
          <w:tcPr>
            <w:tcW w:type="dxa" w:w="3322"/>
          </w:tcPr>
          <w:p>
            <w:pPr>
              <w:pStyle w:val="null3"/>
            </w:pPr>
            <w:r>
              <w:rPr>
                <w:rFonts w:ascii="仿宋_GB2312" w:hAnsi="仿宋_GB2312" w:cs="仿宋_GB2312" w:eastAsia="仿宋_GB2312"/>
              </w:rPr>
              <w:t>投标人提供参加政府采购活动前三年内在经营活动中没有重大违法记录的书面声明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商务及服务条款响应</w:t>
            </w:r>
          </w:p>
        </w:tc>
        <w:tc>
          <w:tcPr>
            <w:tcW w:type="dxa" w:w="3322"/>
          </w:tcPr>
          <w:p>
            <w:pPr>
              <w:pStyle w:val="null3"/>
            </w:pPr>
            <w:r>
              <w:rPr>
                <w:rFonts w:ascii="仿宋_GB2312" w:hAnsi="仿宋_GB2312" w:cs="仿宋_GB2312" w:eastAsia="仿宋_GB2312"/>
              </w:rPr>
              <w:t>对商务及服务条款进行响应且未附加采购人不能接受的条件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未出现漏项或数量与要求不符的情况，无重大负偏差（重大负偏差指投标人拟提供服务未出现因偏离招标文件要求而导致降低了服务质量的情况）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依据本项目采购内容及要求编制详细的技术服务方案，从方案的针对性、完整性及可行性等方面计分： （1）技术方案详细合理、内容全面、逻辑清晰、可行性和针对性强，完全满足采购人实际需求，无缺漏项，计10.1-16分; （2）技术方案较为详细合理，内容较完整、技术路线基本合理可行，基本满足采购人实际需求，计5.1-10分; （3）技术方案基本完整，可行性及针对性较弱，仅符合采购人的部分实际情况，得1-5分；未提供不计分。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安全设计方案</w:t>
            </w:r>
          </w:p>
        </w:tc>
        <w:tc>
          <w:tcPr>
            <w:tcW w:type="dxa" w:w="2492"/>
          </w:tcPr>
          <w:p>
            <w:pPr>
              <w:pStyle w:val="null3"/>
            </w:pPr>
            <w:r>
              <w:rPr>
                <w:rFonts w:ascii="仿宋_GB2312" w:hAnsi="仿宋_GB2312" w:cs="仿宋_GB2312" w:eastAsia="仿宋_GB2312"/>
              </w:rPr>
              <w:t>1、国产化适配要求： 本项目须符合国家信创标准及安全可靠测评要求，方案中应包含对国产化计算机、国产化操作系统、国产化数据库、国产化中间件适配等内容，确保项目在国产化环境下正常运行。根据方案的针对性、完整性、科学性赋分； 完全满足得2.1-5分，基本满足得0.1-2分，不满足或未提供不计分。 2、等保要求： 本项目须按照信息安全等级保护三级相关标准和要求进行设计及建设，并承诺配合采购人在质保期内开展上述测评工作时，确保系统顺利通过测评及备案；若因系统自身原因导致测评未通过，须无条件免费整改并承担由此产生的第三方复测费用，直至顺利通过为止。根据方案的针对性、完整性、科学性赋分； 完全满足得1.1-2分，基本满足得0.1-1分，不满足或未提供不计分。 3、密评要求： 本项目须按照商用密码应用安全性评估的相关标准和要求进行设计及建设，并承诺配合采购人在质保期内开展上述测评工作时，确保系统顺利通过测评及备案；若因系统自身原因导致测评未通过，须无条件免费整改并承担由此产生的第三方复测费用，直至顺利通过为止。根据方案的针对性、完整性、科学性赋分； 完全满足得1.1-2分，基本满足得0.1-1分，不满足或未提供不计分。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依据本项目提供的整体实施方案，包含但不限于详细的进度计划安排、项目管理制度、安全保密管理及应急预案等。从方案的针对性、完整性及可行性等方面计分： 1.实施方案完整详尽，流程设计科学合理，具备极强的针对性与落地可行性，能够有效保障项目优质、高效交付，计10.1-15分; 2.实施方案较为完整，流程设计基本合理，具备一定的针对性与可行性，基本能够满足项目实施与交付的需求，计5.1-10分; 3.实施方案内容简单，可行性及针对性较弱，仅符合采购人的部分实际情况，仅能勉强支撑项目的实施与交付，计1-5分;未提供不计分。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根据供应商针对本项目提供的服务团队进行赋分： 1、团队组成（满分5分） （1）供应商结合本项目要求，服务团队配备具备相关项目经验，满足采购文件要求且人员配备充足、合理、专业能力强，计3.1-5分; （2）供应商所配备相关服务团队基本满足本项目服务需求，相关人员能力配备较好、专业能力较强，计1-3分，不提供不得分。 2.资质要求（满分5分） 投入本项目的团队成员持有由人力资源和社会保障部、工业和信息化部颁发的计算机技术与软件专业技术资格（水平）证书。其中，拟投入人员中具有信息系统项目管理师高级证书的得2分（本项最高得2分）；提供中级证书的，每提供一个得1分，累计最高不超过3分。 同一人员不重复计分。 注:以上需提供技术人员的简历及身份证复印件、有效期内的资质证书复印件和投标前三个月社保缴纳证明材料，未提供不计分。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可视化页面效果图</w:t>
            </w:r>
          </w:p>
        </w:tc>
        <w:tc>
          <w:tcPr>
            <w:tcW w:type="dxa" w:w="2492"/>
          </w:tcPr>
          <w:p>
            <w:pPr>
              <w:pStyle w:val="null3"/>
            </w:pPr>
            <w:r>
              <w:rPr>
                <w:rFonts w:ascii="仿宋_GB2312" w:hAnsi="仿宋_GB2312" w:cs="仿宋_GB2312" w:eastAsia="仿宋_GB2312"/>
              </w:rPr>
              <w:t>根据本项目采购内容及要求，提供可视化页面初步设计的效果图： 1.结构清晰、界面美观，设计新颖有创意，符合知识图谱专题定位，计5.1-8 分； 2.结构较清晰、界面较美观，计2.1-5 分； 3.结构混乱、界面效果不佳，计 1-2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根据本项目提供的售后服务方案，从服务组织架构、服务流程、售后服务内容、服务响应时间及故障排除时间等方面计分： 1.售后方案安排合理可行，服务承诺和保障措施考虑周全完整，有明确的售后服务承诺且符合全部实际需求，整体方案保障性强，得7.1-10分； 2.售后方案安排较为合理，服务承诺和保障措施基本完整，有明确的售后服务承诺，能够满足大部分实际需求，整体方案具有一定保障性，得4.1-7分； 3.售后方案内容简单空泛，缺乏针对性，可行性较弱，服务承诺不够明确，仅能勉强支撑项目的基础售后需求，得1—4分;未提供不计分。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根据本项目提供的整体培训方案，从培训目标、培训内容及方式、培训计划、培训团队人员配置及时间安排、培训效果等方面计分： 1.培训方案科学严谨，目标明确且契合需求，内容全面，计划周密，师资配置强大，能有效保障培训质量，得6.1-8分； 2.培训方案基本完整，目标较为明确，内容与计划安排基本合理，具备常规的师资力量，能够满足基本的培训与交付需求，得3.1-6分； 3.培训方案简单空泛，难以有效保障培训的顺利实施，得1-3分；未提供不计分。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软著证书</w:t>
            </w:r>
          </w:p>
        </w:tc>
        <w:tc>
          <w:tcPr>
            <w:tcW w:type="dxa" w:w="2492"/>
          </w:tcPr>
          <w:p>
            <w:pPr>
              <w:pStyle w:val="null3"/>
            </w:pPr>
            <w:r>
              <w:rPr>
                <w:rFonts w:ascii="仿宋_GB2312" w:hAnsi="仿宋_GB2312" w:cs="仿宋_GB2312" w:eastAsia="仿宋_GB2312"/>
              </w:rPr>
              <w:t>提供计算机软件著作权登记证书，每提供一份计 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提供2023年1月1日起类似项目业绩，（以合同签订时间为准），提供加盖供应商公章的合同关键页复印件，每提供一个得2分，满分为10分；未提供不得分。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 Pn 其中：Pmin：合格投标人最终磋商报价中的最低价。 Pn：第n个投标人的最终磋商报价。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