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版本号：ZMZB2026SYDX-28620260706001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2026-2027学年学生校方责任保险采购项目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ZMZB2026SYDX-286</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2026-2027学年学生校方责任保险采购项目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ZMZB2026SYDX-286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2026-2027学年学生校方责任保险采购项目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2026-2027学年学生校方责任保险采购项目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pPr>
        <w:pStyle w:val="null3"/>
      </w:pPr>
      <w:r>
        <w:rPr>
          <w:rFonts w:ascii="仿宋_GB2312" w:hAnsi="仿宋_GB2312" w:cs="仿宋_GB2312" w:eastAsia="仿宋_GB2312"/>
        </w:rPr>
        <w:t>2、财务状况证明：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p>
      <w:pPr>
        <w:pStyle w:val="null3"/>
      </w:pPr>
      <w:r>
        <w:rPr>
          <w:rFonts w:ascii="仿宋_GB2312" w:hAnsi="仿宋_GB2312" w:cs="仿宋_GB2312" w:eastAsia="仿宋_GB2312"/>
        </w:rPr>
        <w:t>3、具有履行本合同所必需专业技术能力的说明及承诺：提供具有履行本合同所必需专业技术能力的说明及承诺</w:t>
      </w:r>
    </w:p>
    <w:p>
      <w:pPr>
        <w:pStyle w:val="null3"/>
      </w:pPr>
      <w:r>
        <w:rPr>
          <w:rFonts w:ascii="仿宋_GB2312" w:hAnsi="仿宋_GB2312" w:cs="仿宋_GB2312" w:eastAsia="仿宋_GB2312"/>
        </w:rPr>
        <w:t>4、税收缴纳证明：提供开标截止时间前12个月内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5、社会保障资金缴纳证明：提供开标截止时间前12个月内任意一个月的社会保障资金缴存单据或社保机构开具的社会保险参保缴费情况证明。依法不需要缴纳社会保障资金的供应商应提供相关文件证明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8、供应商资质要求：具有行政主管部门颁发的经营保险业务许可证或保险许可证；（同一保险机构只允许其总公司或一家分支机构参与磋商）</w:t>
      </w:r>
    </w:p>
    <w:p>
      <w:pPr>
        <w:pStyle w:val="null3"/>
      </w:pPr>
      <w:r>
        <w:rPr>
          <w:rFonts w:ascii="仿宋_GB2312" w:hAnsi="仿宋_GB2312" w:cs="仿宋_GB2312" w:eastAsia="仿宋_GB2312"/>
        </w:rPr>
        <w:t>9、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说明：合同签订前，成交供应商须向采购人交纳合同总金额5%的履约保证金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代理服务费收费标准：采购代理服务费参照国家计委颁布的《招标代理服务收费管理暂行办法》（计价格[2002]1980号）号文件收费标准的90%收取。 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联系电话：17778966061</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2026-2027学年学生校方责任保险采购项目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2026-2027学年学生校方责任保险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标的名称：2026-2027学年学生校方责任保险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pPr>
            <w:r>
              <w:rPr>
                <w:rFonts w:ascii="仿宋_GB2312" w:hAnsi="仿宋_GB2312" w:cs="仿宋_GB2312" w:eastAsia="仿宋_GB2312"/>
                <w:sz w:val="22"/>
                <w:b/>
                <w:color w:val="000000"/>
              </w:rPr>
              <w:t>一、</w:t>
            </w:r>
            <w:r>
              <w:rPr>
                <w:rFonts w:ascii="仿宋_GB2312" w:hAnsi="仿宋_GB2312" w:cs="仿宋_GB2312" w:eastAsia="仿宋_GB2312"/>
                <w:sz w:val="22"/>
                <w:b/>
                <w:color w:val="000000"/>
              </w:rPr>
              <w:t>采购内容</w:t>
            </w:r>
          </w:p>
          <w:p>
            <w:pPr>
              <w:pStyle w:val="null3"/>
              <w:spacing w:after="165"/>
            </w:pPr>
            <w:r>
              <w:rPr>
                <w:rFonts w:ascii="仿宋_GB2312" w:hAnsi="仿宋_GB2312" w:cs="仿宋_GB2312" w:eastAsia="仿宋_GB2312"/>
                <w:sz w:val="21"/>
                <w:color w:val="000000"/>
              </w:rPr>
              <w:t>西安石油大学</w:t>
            </w:r>
            <w:r>
              <w:rPr>
                <w:rFonts w:ascii="仿宋_GB2312" w:hAnsi="仿宋_GB2312" w:cs="仿宋_GB2312" w:eastAsia="仿宋_GB2312"/>
                <w:sz w:val="21"/>
                <w:color w:val="000000"/>
              </w:rPr>
              <w:t>2026-2027学年学生校方责任保险采购项目，1项，全体全日制在校本硕、预科生、第二学位学生共计约23000人（据实结算），学生保费（含主体险和附加无过失责任险）总计不超过350000元。</w:t>
            </w:r>
          </w:p>
          <w:p>
            <w:pPr>
              <w:pStyle w:val="null3"/>
              <w:spacing w:after="165"/>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、技术参数</w:t>
            </w:r>
          </w:p>
          <w:p>
            <w:pPr>
              <w:pStyle w:val="null3"/>
              <w:spacing w:after="165"/>
              <w:ind w:firstLine="420"/>
            </w:pPr>
            <w:r>
              <w:rPr>
                <w:rFonts w:ascii="仿宋_GB2312" w:hAnsi="仿宋_GB2312" w:cs="仿宋_GB2312" w:eastAsia="仿宋_GB2312"/>
                <w:sz w:val="21"/>
                <w:color w:val="000000"/>
              </w:rPr>
              <w:t>（一）校方责任保险主险</w:t>
            </w:r>
          </w:p>
          <w:p>
            <w:pPr>
              <w:pStyle w:val="null3"/>
              <w:spacing w:after="165"/>
              <w:ind w:firstLine="420"/>
            </w:pPr>
            <w:r>
              <w:rPr>
                <w:rFonts w:ascii="仿宋_GB2312" w:hAnsi="仿宋_GB2312" w:cs="仿宋_GB2312" w:eastAsia="仿宋_GB2312"/>
                <w:sz w:val="21"/>
                <w:color w:val="000000"/>
              </w:rPr>
              <w:t>学校开展的教育教学活动（如课堂教学、实验实训等）、组织的校外活动（如社会实践、学术交流、体育比赛等）中，以及学校负有管理责任的校舍、场地、教育教学设施（实验室设备、教学器材等）、生活设施（宿舍、食堂设施等）内，发生造成在校学生人身损害的事故，依法应由学校承担的经济赔偿责任，具体情形参照《学生伤害事故处理办法》（教育部令第</w:t>
            </w:r>
            <w:r>
              <w:rPr>
                <w:rFonts w:ascii="仿宋_GB2312" w:hAnsi="仿宋_GB2312" w:cs="仿宋_GB2312" w:eastAsia="仿宋_GB2312"/>
                <w:sz w:val="21"/>
                <w:color w:val="000000"/>
              </w:rPr>
              <w:t>12号，2010年修订）执行。</w:t>
            </w:r>
          </w:p>
          <w:p>
            <w:pPr>
              <w:pStyle w:val="null3"/>
              <w:spacing w:after="165"/>
              <w:ind w:firstLine="420"/>
            </w:pPr>
            <w:r>
              <w:rPr>
                <w:rFonts w:ascii="仿宋_GB2312" w:hAnsi="仿宋_GB2312" w:cs="仿宋_GB2312" w:eastAsia="仿宋_GB2312"/>
                <w:sz w:val="21"/>
                <w:color w:val="000000"/>
              </w:rPr>
              <w:t>（二）附加无过失责任保险</w:t>
            </w:r>
          </w:p>
          <w:p>
            <w:pPr>
              <w:pStyle w:val="null3"/>
              <w:spacing w:after="165"/>
              <w:ind w:firstLine="420"/>
            </w:pPr>
            <w:r>
              <w:rPr>
                <w:rFonts w:ascii="仿宋_GB2312" w:hAnsi="仿宋_GB2312" w:cs="仿宋_GB2312" w:eastAsia="仿宋_GB2312"/>
                <w:sz w:val="21"/>
                <w:color w:val="000000"/>
              </w:rPr>
              <w:t>在学校统一组织的校内外活动中（含学校各部门组织的社会实践、研学、参赛等），因自然灾害、学生自身原因、学生体质差异、校外的突发性侵害等意外事故导致被保险人的在校学生发生人身伤亡，而被保险人并无过失或行为并无不当的。</w:t>
            </w:r>
          </w:p>
          <w:p>
            <w:pPr>
              <w:pStyle w:val="null3"/>
              <w:spacing w:after="150"/>
              <w:ind w:firstLine="420"/>
            </w:pPr>
            <w:r>
              <w:rPr>
                <w:rFonts w:ascii="仿宋_GB2312" w:hAnsi="仿宋_GB2312" w:cs="仿宋_GB2312" w:eastAsia="仿宋_GB2312"/>
                <w:sz w:val="21"/>
                <w:color w:val="000000"/>
              </w:rPr>
              <w:t>学生个人在校内生活学习等活动中（非校方组织），因自然灾害、学生自身原因、学生体质差异、校内交通事故、体育运动、突发性侵害等意外事故导致被保险人的在校学生发生人身伤亡的。</w:t>
            </w:r>
          </w:p>
          <w:tbl>
            <w:tblPr>
              <w:tblBorders>
                <w:top w:val="none" w:color="000000" w:sz="4"/>
                <w:left w:val="none" w:color="000000" w:sz="4"/>
                <w:bottom w:val="none" w:color="000000" w:sz="4"/>
                <w:right w:val="none" w:color="000000" w:sz="4"/>
                <w:insideH w:val="none"/>
                <w:insideV w:val="none"/>
              </w:tblBorders>
            </w:tblPr>
            <w:tblGrid>
              <w:gridCol w:w="828"/>
              <w:gridCol w:w="874"/>
              <w:gridCol w:w="851"/>
            </w:tblGrid>
            <w:tr>
              <w:tc>
                <w:tcPr>
                  <w:tcW w:type="dxa" w:w="82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color w:val="000000"/>
                    </w:rPr>
                    <w:t>主险：</w:t>
                  </w:r>
                </w:p>
                <w:p>
                  <w:pPr>
                    <w:pStyle w:val="null3"/>
                    <w:spacing w:after="165"/>
                    <w:jc w:val="left"/>
                  </w:pPr>
                  <w:r>
                    <w:rPr>
                      <w:rFonts w:ascii="仿宋_GB2312" w:hAnsi="仿宋_GB2312" w:cs="仿宋_GB2312" w:eastAsia="仿宋_GB2312"/>
                      <w:sz w:val="21"/>
                      <w:color w:val="000000"/>
                    </w:rPr>
                    <w:t>校方责任保险</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color w:val="000000"/>
                    </w:rPr>
                    <w:t>每次事故赔偿限额</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color w:val="000000"/>
                    </w:rPr>
                    <w:t>1200万</w:t>
                  </w:r>
                </w:p>
              </w:tc>
            </w:tr>
            <w:tr>
              <w:tc>
                <w:tcPr>
                  <w:tcW w:type="dxa" w:w="828"/>
                  <w:vMerge/>
                  <w:tcBorders>
                    <w:top w:val="single" w:color="000000" w:sz="4"/>
                    <w:left w:val="single" w:color="000000" w:sz="4"/>
                    <w:bottom w:val="single" w:color="000000" w:sz="4"/>
                    <w:right w:val="single" w:color="000000" w:sz="4"/>
                  </w:tcBorders>
                </w:tcP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color w:val="000000"/>
                    </w:rPr>
                    <w:t>每次事故每人赔偿限额</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color w:val="000000"/>
                    </w:rPr>
                    <w:t>60万</w:t>
                  </w:r>
                </w:p>
              </w:tc>
            </w:tr>
            <w:tr>
              <w:tc>
                <w:tcPr>
                  <w:tcW w:type="dxa" w:w="828"/>
                  <w:vMerge/>
                  <w:tcBorders>
                    <w:top w:val="single" w:color="000000" w:sz="4"/>
                    <w:left w:val="single" w:color="000000" w:sz="4"/>
                    <w:bottom w:val="single" w:color="000000" w:sz="4"/>
                    <w:right w:val="single" w:color="000000" w:sz="4"/>
                  </w:tcBorders>
                </w:tcP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color w:val="000000"/>
                    </w:rPr>
                    <w:t>累计赔偿限额</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color w:val="000000"/>
                    </w:rPr>
                    <w:t>3000万</w:t>
                  </w:r>
                </w:p>
              </w:tc>
            </w:tr>
            <w:tr>
              <w:tc>
                <w:tcPr>
                  <w:tcW w:type="dxa" w:w="8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color w:val="000000"/>
                    </w:rPr>
                    <w:t>附加险：</w:t>
                  </w:r>
                </w:p>
                <w:p>
                  <w:pPr>
                    <w:pStyle w:val="null3"/>
                    <w:spacing w:after="165"/>
                    <w:jc w:val="left"/>
                  </w:pPr>
                  <w:r>
                    <w:rPr>
                      <w:rFonts w:ascii="仿宋_GB2312" w:hAnsi="仿宋_GB2312" w:cs="仿宋_GB2312" w:eastAsia="仿宋_GB2312"/>
                      <w:sz w:val="21"/>
                      <w:color w:val="000000"/>
                    </w:rPr>
                    <w:t>校方无过失责任保险</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color w:val="000000"/>
                    </w:rPr>
                    <w:t>每次事故赔偿限额</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color w:val="000000"/>
                    </w:rPr>
                    <w:t>600万</w:t>
                  </w:r>
                </w:p>
              </w:tc>
            </w:tr>
            <w:tr>
              <w:tc>
                <w:tcPr>
                  <w:tcW w:type="dxa" w:w="828"/>
                  <w:vMerge/>
                  <w:tcBorders>
                    <w:top w:val="none" w:color="000000" w:sz="4"/>
                    <w:left w:val="single" w:color="000000" w:sz="4"/>
                    <w:bottom w:val="single" w:color="000000" w:sz="4"/>
                    <w:right w:val="single" w:color="000000" w:sz="4"/>
                  </w:tcBorders>
                </w:tcP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color w:val="000000"/>
                    </w:rPr>
                    <w:t>每次事故每人赔偿限额</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color w:val="000000"/>
                    </w:rPr>
                    <w:t>15万</w:t>
                  </w:r>
                </w:p>
              </w:tc>
            </w:tr>
            <w:tr>
              <w:tc>
                <w:tcPr>
                  <w:tcW w:type="dxa" w:w="828"/>
                  <w:vMerge/>
                  <w:tcBorders>
                    <w:top w:val="none" w:color="000000" w:sz="4"/>
                    <w:left w:val="single" w:color="000000" w:sz="4"/>
                    <w:bottom w:val="single" w:color="000000" w:sz="4"/>
                    <w:right w:val="single" w:color="000000" w:sz="4"/>
                  </w:tcBorders>
                </w:tcP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color w:val="000000"/>
                    </w:rPr>
                    <w:t>累计赔偿限额</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color w:val="000000"/>
                    </w:rPr>
                    <w:t>800万</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:服务期满前一个月，采购人组织对中标供应商服务质量进行考核，考核通过后经双方商议一致可选择续签1年服务合同，服务期为当年9月1日至次年8月31日，累计服务期限不超过3年。</w:t>
                  </w:r>
                </w:p>
              </w:tc>
            </w:tr>
          </w:tbl>
          <w:p>
            <w:pPr>
              <w:pStyle w:val="null3"/>
              <w:spacing w:after="165"/>
            </w:pPr>
            <w:r>
              <w:rPr>
                <w:rFonts w:ascii="仿宋_GB2312" w:hAnsi="仿宋_GB2312" w:cs="仿宋_GB2312" w:eastAsia="仿宋_GB2312"/>
                <w:sz w:val="24"/>
                <w:b/>
                <w:color w:val="000000"/>
              </w:rPr>
              <w:t>三、服务要求</w:t>
            </w:r>
          </w:p>
          <w:p>
            <w:pPr>
              <w:pStyle w:val="null3"/>
            </w:pPr>
            <w:r>
              <w:rPr>
                <w:rFonts w:ascii="仿宋_GB2312" w:hAnsi="仿宋_GB2312" w:cs="仿宋_GB2312" w:eastAsia="仿宋_GB2312"/>
                <w:sz w:val="21"/>
                <w:color w:val="000000"/>
              </w:rPr>
              <w:t>承保机构可独立开展校方责任保险、意外伤害保险等非寿险业务，要设立服务专班，定期与校方协调沟通，在校方发生索赔案件时积极配合处理。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自校方责任保险服务合同签订之日起至2027年9月1日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其他，合同签订后，总保险费用根据学生人数据实结算。供应商提供等额正规发票后，采购人于60日内一次性支付，达到付款条件起15个工作日内，支付合同总金额的100.0%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一、商务要求： 1.报价要求：本项目报价为全包总价，包含保险费、税费、服务费、理赔服务、现场对接、资料递送、后续协调等完成本项目全部服务内容所需的一切费用，采购人不再另行支付任何费用。 2.付款方式：供应商提供等额正规发票后，采购人于60日内一次性支付。 3.支付方式：银行转账。 注：商务要求不允许负偏离，否则按无效标处理。 二、投标保证金注意事项：投标保证金注意事项：（1）投标保证金缴纳截止时间：同投标文件递交截止时间一致（在开标前致电代理机构财务部门确认响应保证金到账情况，咨询电话：029-88225322找财务高老师）。（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4.中标供应商应在中标结果发布后2日内提供与电子化交易平台上传一致的纸质投标文件2份。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供应商为合法注册的法人、其他组织或自然人，具有独立承担民事责任的能力</w:t>
            </w:r>
          </w:p>
        </w:tc>
        <w:tc>
          <w:tcPr>
            <w:tcW w:type="dxa" w:w="3322"/>
          </w:tcPr>
          <w:p>
            <w:pPr>
              <w:pStyle w:val="null3"/>
            </w:pPr>
            <w:r>
              <w:rPr>
                <w:rFonts w:ascii="仿宋_GB2312" w:hAnsi="仿宋_GB2312" w:cs="仿宋_GB2312" w:eastAsia="仿宋_GB2312"/>
              </w:rPr>
              <w:t>提供具有统一社会信用代码证的营业执照（或事业单位法人证），分支机构投标的，提供有效的分支机构营业执照，以及有效的总公司营业执照及总公司针对本项目的授权书；供应商为自然人的提供身份证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具有履行本合同所必需专业技术能力的说明及承诺</w:t>
            </w:r>
          </w:p>
        </w:tc>
        <w:tc>
          <w:tcPr>
            <w:tcW w:type="dxa" w:w="3322"/>
          </w:tcPr>
          <w:p>
            <w:pPr>
              <w:pStyle w:val="null3"/>
            </w:pPr>
            <w:r>
              <w:rPr>
                <w:rFonts w:ascii="仿宋_GB2312" w:hAnsi="仿宋_GB2312" w:cs="仿宋_GB2312" w:eastAsia="仿宋_GB2312"/>
              </w:rPr>
              <w:t>提供具有履行本合同所必需专业技术能力的说明及承诺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提供开标截止时间前12个月内任意一个月的依法缴纳税收的相关凭据（时间以税款所属时期为准），凭据应有税务机关或代收机关的公章或业务专用章。依法免税或无须缴纳税收的供应商应提供相应证明文件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提供开标截止时间前12个月内任意一个月的社会保障资金缴存单据或社保机构开具的社会保险参保缴费情况证明。依法不需要缴纳社会保障资金的供应商应提供相关文件证明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具有行政主管部门颁发的经营保险业务许可证或保险许可证；（同一保险机构只允许其总公司或一家分支机构参与磋商）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 或者最高限价(不合格)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服务期限满足竞争性磋商文件最低要求(合格)，服务期限不满足竞争性磋商文件最低要求(不合格)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支付约定满足竞争性磋商文件要求(合格)，支付约定不满足竞争性磋商文件要求(不合格)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分项报价表.docx 供应商资格要求.docx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服务内容及服务要求应答表.docx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服务内容（技术参数）响应</w:t>
            </w:r>
          </w:p>
        </w:tc>
        <w:tc>
          <w:tcPr>
            <w:tcW w:type="dxa" w:w="2492"/>
          </w:tcPr>
          <w:p>
            <w:pPr>
              <w:pStyle w:val="null3"/>
            </w:pPr>
            <w:r>
              <w:rPr>
                <w:rFonts w:ascii="仿宋_GB2312" w:hAnsi="仿宋_GB2312" w:cs="仿宋_GB2312" w:eastAsia="仿宋_GB2312"/>
              </w:rPr>
              <w:t>根据供应商针对本项目技术参数进行响应，完全满足采购人的要求计15分； 每有一处不满足采购人的要求扣5分，扣完为止。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针对本项目有具体服务方案，内容包含①总体服务方案及项目理解；②保险保障范围；③协助处理方案；④突发事件的处理机制；⑤投诉管理制度；⑥重难点分析。 方案内容完整全面，可行性强得满分12分；每有一项缺项扣2分，每有一处内容存在缺陷，扣1分，扣完为止。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理赔方案</w:t>
            </w:r>
          </w:p>
        </w:tc>
        <w:tc>
          <w:tcPr>
            <w:tcW w:type="dxa" w:w="2492"/>
          </w:tcPr>
          <w:p>
            <w:pPr>
              <w:pStyle w:val="null3"/>
            </w:pPr>
            <w:r>
              <w:rPr>
                <w:rFonts w:ascii="仿宋_GB2312" w:hAnsi="仿宋_GB2312" w:cs="仿宋_GB2312" w:eastAsia="仿宋_GB2312"/>
              </w:rPr>
              <w:t>针对本项目的保险内容包含：①理赔程序及流程；②理赔响应时间；③理赔注意事项；④报案时效；⑤被保险人理赔材料的处理方案。 方案内容完整全面，可行性强得满分10分；每有一项缺项扣2分，每有一处内容存在缺陷，扣1分，扣完为止。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理赔方案.docx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供应商针对本项目有具体服务团队，①人员划分安排及工作职责；②承保、理赔人员；③风险管理人员；④协调沟通人员。 内容完整全面，可行性强得满分8分；每有一项缺项扣2分，每有一处内容存在缺陷，扣1分，扣完为止。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有具体服务承诺，①开通保险理赔服务绿色通道，能够先行垫付赔款；②个别特殊（重大）理赔服务的响应时间，以及后期未能按约履行的赔偿制度；③承诺参保所有信息数据不得外泄，并提供保密措施员。内容完整全面，可行性强得满分6分；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针对本项目的实际需求提供①定期巡访方案；②出案后定期回访方案； 内容完整全面、有针对性，科学合理可实施性强得满分4分；每有一项缺项扣2分，每有一处内容存在缺陷扣1分，扣完为止。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赔付限额</w:t>
            </w:r>
          </w:p>
        </w:tc>
        <w:tc>
          <w:tcPr>
            <w:tcW w:type="dxa" w:w="2492"/>
          </w:tcPr>
          <w:p>
            <w:pPr>
              <w:pStyle w:val="null3"/>
            </w:pPr>
            <w:r>
              <w:rPr>
                <w:rFonts w:ascii="仿宋_GB2312" w:hAnsi="仿宋_GB2312" w:cs="仿宋_GB2312" w:eastAsia="仿宋_GB2312"/>
              </w:rPr>
              <w:t>以磋商文件规定的赔付限额为基数，每有一项赔付限额提高计1分，最高计5分。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提供供应商2023年6月1日至今同类项目业绩。每提供1份得2分，最高得10分。 备注：以合同签订日期为准，仅限供应商本身，提供合同复印件加盖公章。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经初审合格的供应商，其响应报价为有效报价。 评审基准价：即满足竞争性磋商文件要求且最终响应报价最低的报价为评审基准价。 其他供应商的价格分统一按照下列公式计算。 响应报价计分=(评审基准价／最终响应报价)×30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详见附件：理赔方案.docx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