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726A9">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合同条款</w:t>
      </w:r>
    </w:p>
    <w:p w14:paraId="2D06F8B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right="0"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西安石油大学2026-2027学年校方责任保险采购合同</w:t>
      </w:r>
    </w:p>
    <w:p w14:paraId="0BF50B67">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甲方：西安石油大学                      合同编号：</w:t>
      </w:r>
    </w:p>
    <w:p w14:paraId="73EEDC2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240" w:lineRule="auto"/>
        <w:ind w:left="0" w:right="0"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乙方：                                  签订地点：西安市</w:t>
      </w:r>
    </w:p>
    <w:p w14:paraId="47611399">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兹有甲方向乙方购买下列产品，依据《中华人民共和国民法典》和《中华人民共和国政府采购法》，经甲、乙双方共同协商，按下述条款和条件签署本合同。</w:t>
      </w:r>
    </w:p>
    <w:p w14:paraId="134A35B3">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一、合同内容</w:t>
      </w:r>
    </w:p>
    <w:p w14:paraId="180C1AA6">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乙方负责按照合同确定的服务内容及技术标准</w:t>
      </w:r>
      <w:bookmarkStart w:id="0" w:name="_GoBack"/>
      <w:r>
        <w:rPr>
          <w:rFonts w:hint="eastAsia" w:ascii="仿宋_GB2312" w:hAnsi="仿宋_GB2312" w:eastAsia="仿宋_GB2312" w:cs="仿宋_GB2312"/>
          <w:color w:val="auto"/>
          <w:kern w:val="0"/>
          <w:sz w:val="20"/>
          <w:szCs w:val="20"/>
          <w:lang w:val="en-US" w:eastAsia="zh-CN"/>
        </w:rPr>
        <w:t>组织</w:t>
      </w:r>
      <w:bookmarkEnd w:id="0"/>
      <w:r>
        <w:rPr>
          <w:rFonts w:hint="eastAsia" w:ascii="仿宋_GB2312" w:hAnsi="仿宋_GB2312" w:eastAsia="仿宋_GB2312" w:cs="仿宋_GB2312"/>
          <w:color w:val="auto"/>
          <w:kern w:val="0"/>
          <w:sz w:val="20"/>
          <w:szCs w:val="20"/>
          <w:lang w:val="en-US" w:eastAsia="zh-CN"/>
        </w:rPr>
        <w:t>交付（具体采购项目见附件1），确保服务内容各项指标达到要求；负责操作和管理人员的培训工作，保证甲方能够正常操作和维护，同时乙方根据服务项目的使用特性做好售后服务。</w:t>
      </w:r>
    </w:p>
    <w:p w14:paraId="5A4D1122">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二、合同价格</w:t>
      </w:r>
    </w:p>
    <w:p w14:paraId="46625B3A">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合同金额：XX元/人/年，学生人数估计25000人，总计：人民币 XX 元整（¥ XX 元）（根据实际人数据实结算），总限价不超350000元。</w:t>
      </w:r>
    </w:p>
    <w:p w14:paraId="1298F8A5">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说明：单人价格XX元/人/年不受市场价格变化的影响，总价格根据学生实际人数据实结算，总限价不超350000元。</w:t>
      </w:r>
    </w:p>
    <w:p w14:paraId="460D2DB1">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三、合同款项支付</w:t>
      </w:r>
    </w:p>
    <w:p w14:paraId="487C8D36">
      <w:pPr>
        <w:keepNext w:val="0"/>
        <w:keepLines w:val="0"/>
        <w:pageBreakBefore w:val="0"/>
        <w:widowControl/>
        <w:tabs>
          <w:tab w:val="left" w:pos="840"/>
        </w:tabs>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（一）结算单位：采购人结算，在付款前，必须开具等额发票给采购人。</w:t>
      </w:r>
    </w:p>
    <w:p w14:paraId="32CB5F9E">
      <w:pPr>
        <w:keepNext w:val="0"/>
        <w:keepLines w:val="0"/>
        <w:pageBreakBefore w:val="0"/>
        <w:widowControl/>
        <w:shd w:val="clear" w:color="auto" w:fill="auto"/>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（二）付款方式：校方责任保险服务合同签订后，乙方开具正式发票，采购人按实际投保学生数完成合同款支付。</w:t>
      </w:r>
    </w:p>
    <w:p w14:paraId="7178510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付款方式：银行转账</w:t>
      </w:r>
    </w:p>
    <w:p w14:paraId="3F97BD8A">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240" w:lineRule="auto"/>
        <w:ind w:left="0" w:right="0"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乙方收款账户信息如下：</w:t>
      </w:r>
    </w:p>
    <w:p w14:paraId="4FCA8764">
      <w:pPr>
        <w:keepNext w:val="0"/>
        <w:keepLines w:val="0"/>
        <w:pageBreakBefore w:val="0"/>
        <w:widowControl/>
        <w:shd w:val="clear" w:color="auto" w:fill="auto"/>
        <w:kinsoku/>
        <w:wordWrap/>
        <w:overflowPunct/>
        <w:topLinePunct w:val="0"/>
        <w:autoSpaceDE/>
        <w:autoSpaceDN/>
        <w:bidi w:val="0"/>
        <w:adjustRightInd/>
        <w:snapToGrid/>
        <w:spacing w:after="0" w:line="240" w:lineRule="auto"/>
        <w:ind w:firstLine="400" w:firstLineChars="200"/>
        <w:textAlignment w:val="auto"/>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en-US"/>
        </w:rPr>
        <w:t>户名：</w:t>
      </w:r>
      <w:r>
        <w:rPr>
          <w:rFonts w:hint="eastAsia" w:ascii="仿宋_GB2312" w:hAnsi="仿宋_GB2312" w:eastAsia="仿宋_GB2312" w:cs="仿宋_GB2312"/>
          <w:color w:val="auto"/>
          <w:kern w:val="0"/>
          <w:sz w:val="20"/>
          <w:szCs w:val="20"/>
          <w:lang w:val="en-US" w:eastAsia="zh-CN"/>
        </w:rPr>
        <w:t>XXXX</w:t>
      </w:r>
    </w:p>
    <w:p w14:paraId="2C02536A">
      <w:pPr>
        <w:keepNext w:val="0"/>
        <w:keepLines w:val="0"/>
        <w:pageBreakBefore w:val="0"/>
        <w:widowControl/>
        <w:shd w:val="clear" w:color="auto" w:fill="auto"/>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en-US"/>
        </w:rPr>
        <w:t>账号：</w:t>
      </w:r>
      <w:r>
        <w:rPr>
          <w:rFonts w:hint="eastAsia" w:ascii="仿宋_GB2312" w:hAnsi="仿宋_GB2312" w:eastAsia="仿宋_GB2312" w:cs="仿宋_GB2312"/>
          <w:color w:val="auto"/>
          <w:kern w:val="0"/>
          <w:sz w:val="20"/>
          <w:szCs w:val="20"/>
          <w:lang w:val="en-US" w:eastAsia="zh-CN"/>
        </w:rPr>
        <w:t>XXXX</w:t>
      </w:r>
    </w:p>
    <w:p w14:paraId="5B28D12E">
      <w:pPr>
        <w:keepNext w:val="0"/>
        <w:keepLines w:val="0"/>
        <w:pageBreakBefore w:val="0"/>
        <w:widowControl/>
        <w:shd w:val="clear" w:color="auto" w:fill="auto"/>
        <w:kinsoku/>
        <w:wordWrap/>
        <w:overflowPunct/>
        <w:topLinePunct w:val="0"/>
        <w:autoSpaceDE/>
        <w:autoSpaceDN/>
        <w:bidi w:val="0"/>
        <w:adjustRightInd/>
        <w:snapToGrid/>
        <w:spacing w:after="0" w:line="240" w:lineRule="auto"/>
        <w:ind w:firstLine="400" w:firstLineChars="200"/>
        <w:textAlignment w:val="auto"/>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开户行：XXXX</w:t>
      </w:r>
    </w:p>
    <w:p w14:paraId="2082B9B7">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四、交付条件</w:t>
      </w:r>
    </w:p>
    <w:p w14:paraId="2FCE1769">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（一）服务地点：采购人指定地点。</w:t>
      </w:r>
    </w:p>
    <w:p w14:paraId="76F1D8F9">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（二）服务期限：自校方责任保险服务合同签订之日起至2027年9月1日，由承保机构提供校方责任保险服务。</w:t>
      </w:r>
    </w:p>
    <w:p w14:paraId="14202145">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五、质量保证</w:t>
      </w:r>
    </w:p>
    <w:p w14:paraId="17261EBA">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（一）乙方提供给甲方的服务必须是设计科学、合理的。</w:t>
      </w:r>
    </w:p>
    <w:p w14:paraId="1F67F186">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（二）服务内容必须与其标示的技术指标项符合，甲方有权在有效服务期内依据技术指标对项目进行技术验收，其主要的技术要求达不到标准时，甲方有权依据有关法律索赔。</w:t>
      </w:r>
    </w:p>
    <w:p w14:paraId="0E1C6D78">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六、技术服务</w:t>
      </w:r>
    </w:p>
    <w:p w14:paraId="0156A1D2">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（一）技术资料：</w:t>
      </w:r>
    </w:p>
    <w:tbl>
      <w:tblPr>
        <w:tblStyle w:val="8"/>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78"/>
        <w:gridCol w:w="2821"/>
        <w:gridCol w:w="2754"/>
      </w:tblGrid>
      <w:tr w14:paraId="23033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8" w:type="dxa"/>
            <w:vMerge w:val="restart"/>
          </w:tcPr>
          <w:p w14:paraId="5DE2DD17">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主险：校方责任保险</w:t>
            </w:r>
          </w:p>
        </w:tc>
        <w:tc>
          <w:tcPr>
            <w:tcW w:w="2821" w:type="dxa"/>
          </w:tcPr>
          <w:p w14:paraId="452CB795">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每次事故赔偿限额</w:t>
            </w:r>
          </w:p>
        </w:tc>
        <w:tc>
          <w:tcPr>
            <w:tcW w:w="2754" w:type="dxa"/>
          </w:tcPr>
          <w:p w14:paraId="095676CD">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1200万</w:t>
            </w:r>
          </w:p>
        </w:tc>
      </w:tr>
      <w:tr w14:paraId="160AF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8" w:type="dxa"/>
            <w:vMerge w:val="continue"/>
          </w:tcPr>
          <w:p w14:paraId="06A1C93E">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p>
        </w:tc>
        <w:tc>
          <w:tcPr>
            <w:tcW w:w="2821" w:type="dxa"/>
          </w:tcPr>
          <w:p w14:paraId="424A4EF6">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每次事故每人赔偿限额</w:t>
            </w:r>
          </w:p>
        </w:tc>
        <w:tc>
          <w:tcPr>
            <w:tcW w:w="2754" w:type="dxa"/>
          </w:tcPr>
          <w:p w14:paraId="7411B7FA">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60万</w:t>
            </w:r>
          </w:p>
        </w:tc>
      </w:tr>
      <w:tr w14:paraId="2BA0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8" w:type="dxa"/>
            <w:vMerge w:val="continue"/>
          </w:tcPr>
          <w:p w14:paraId="53289F07">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p>
        </w:tc>
        <w:tc>
          <w:tcPr>
            <w:tcW w:w="2821" w:type="dxa"/>
          </w:tcPr>
          <w:p w14:paraId="267AFDA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累计赔偿限额</w:t>
            </w:r>
          </w:p>
        </w:tc>
        <w:tc>
          <w:tcPr>
            <w:tcW w:w="2754" w:type="dxa"/>
          </w:tcPr>
          <w:p w14:paraId="5444429B">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3000万</w:t>
            </w:r>
          </w:p>
        </w:tc>
      </w:tr>
      <w:tr w14:paraId="479F0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8" w:type="dxa"/>
            <w:vMerge w:val="restart"/>
          </w:tcPr>
          <w:p w14:paraId="7AF02C54">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附加险：</w:t>
            </w:r>
          </w:p>
          <w:p w14:paraId="4943005D">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校方无过失责任保险</w:t>
            </w:r>
          </w:p>
        </w:tc>
        <w:tc>
          <w:tcPr>
            <w:tcW w:w="2821" w:type="dxa"/>
            <w:shd w:val="clear" w:color="auto" w:fill="auto"/>
            <w:vAlign w:val="top"/>
          </w:tcPr>
          <w:p w14:paraId="661E570E">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每次事故赔偿限额</w:t>
            </w:r>
          </w:p>
        </w:tc>
        <w:tc>
          <w:tcPr>
            <w:tcW w:w="2754" w:type="dxa"/>
          </w:tcPr>
          <w:p w14:paraId="096B2F4F">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600万</w:t>
            </w:r>
          </w:p>
        </w:tc>
      </w:tr>
      <w:tr w14:paraId="4B076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8" w:type="dxa"/>
            <w:vMerge w:val="continue"/>
          </w:tcPr>
          <w:p w14:paraId="6FADD837">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p>
        </w:tc>
        <w:tc>
          <w:tcPr>
            <w:tcW w:w="2821" w:type="dxa"/>
            <w:shd w:val="clear" w:color="auto" w:fill="auto"/>
            <w:vAlign w:val="top"/>
          </w:tcPr>
          <w:p w14:paraId="349087CB">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每次事故每人赔偿限额</w:t>
            </w:r>
          </w:p>
        </w:tc>
        <w:tc>
          <w:tcPr>
            <w:tcW w:w="2754" w:type="dxa"/>
          </w:tcPr>
          <w:p w14:paraId="02C8717B">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15万</w:t>
            </w:r>
          </w:p>
        </w:tc>
      </w:tr>
      <w:tr w14:paraId="36F80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8" w:type="dxa"/>
            <w:vMerge w:val="continue"/>
          </w:tcPr>
          <w:p w14:paraId="550D20E6">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p>
        </w:tc>
        <w:tc>
          <w:tcPr>
            <w:tcW w:w="2821" w:type="dxa"/>
            <w:shd w:val="clear" w:color="auto" w:fill="auto"/>
            <w:vAlign w:val="top"/>
          </w:tcPr>
          <w:p w14:paraId="16572EE4">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累计赔偿限额</w:t>
            </w:r>
          </w:p>
        </w:tc>
        <w:tc>
          <w:tcPr>
            <w:tcW w:w="2754" w:type="dxa"/>
          </w:tcPr>
          <w:p w14:paraId="04B3019F">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800万</w:t>
            </w:r>
          </w:p>
        </w:tc>
      </w:tr>
      <w:tr w14:paraId="46A6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5499" w:type="dxa"/>
            <w:gridSpan w:val="2"/>
          </w:tcPr>
          <w:p w14:paraId="395F06E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单人报价</w:t>
            </w:r>
          </w:p>
        </w:tc>
        <w:tc>
          <w:tcPr>
            <w:tcW w:w="2754" w:type="dxa"/>
          </w:tcPr>
          <w:p w14:paraId="19CBE460">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XX元/人/年</w:t>
            </w:r>
          </w:p>
        </w:tc>
      </w:tr>
      <w:tr w14:paraId="3C67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253" w:type="dxa"/>
            <w:gridSpan w:val="3"/>
          </w:tcPr>
          <w:p w14:paraId="6C04F13A">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附加新增学生自动纳入保险条款，新增加学生不超总人数5%</w:t>
            </w:r>
          </w:p>
        </w:tc>
      </w:tr>
      <w:tr w14:paraId="043E3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253" w:type="dxa"/>
            <w:gridSpan w:val="3"/>
          </w:tcPr>
          <w:p w14:paraId="5220C545">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Hans"/>
              </w:rPr>
              <w:t>人数预估2</w:t>
            </w:r>
            <w:r>
              <w:rPr>
                <w:rFonts w:hint="eastAsia" w:ascii="仿宋_GB2312" w:hAnsi="仿宋_GB2312" w:eastAsia="仿宋_GB2312" w:cs="仿宋_GB2312"/>
                <w:color w:val="auto"/>
                <w:kern w:val="0"/>
                <w:sz w:val="20"/>
                <w:szCs w:val="20"/>
                <w:lang w:val="en-US" w:eastAsia="zh-CN"/>
              </w:rPr>
              <w:t>5</w:t>
            </w:r>
            <w:r>
              <w:rPr>
                <w:rFonts w:hint="eastAsia" w:ascii="仿宋_GB2312" w:hAnsi="仿宋_GB2312" w:eastAsia="仿宋_GB2312" w:cs="仿宋_GB2312"/>
                <w:color w:val="auto"/>
                <w:kern w:val="0"/>
                <w:sz w:val="20"/>
                <w:szCs w:val="20"/>
                <w:lang w:val="en-US" w:eastAsia="zh-Hans"/>
              </w:rPr>
              <w:t>000人</w:t>
            </w:r>
            <w:r>
              <w:rPr>
                <w:rFonts w:hint="eastAsia" w:ascii="仿宋_GB2312" w:hAnsi="仿宋_GB2312" w:eastAsia="仿宋_GB2312" w:cs="仿宋_GB2312"/>
                <w:color w:val="auto"/>
                <w:kern w:val="0"/>
                <w:sz w:val="20"/>
                <w:szCs w:val="20"/>
                <w:lang w:val="en-US" w:eastAsia="zh-CN"/>
              </w:rPr>
              <w:t>（</w:t>
            </w:r>
            <w:r>
              <w:rPr>
                <w:rFonts w:hint="eastAsia" w:ascii="仿宋_GB2312" w:hAnsi="仿宋_GB2312" w:eastAsia="仿宋_GB2312" w:cs="仿宋_GB2312"/>
                <w:color w:val="auto"/>
                <w:kern w:val="0"/>
                <w:sz w:val="20"/>
                <w:szCs w:val="20"/>
                <w:lang w:val="en-US" w:eastAsia="zh-Hans"/>
              </w:rPr>
              <w:t>据实结算</w:t>
            </w:r>
            <w:r>
              <w:rPr>
                <w:rFonts w:hint="eastAsia" w:ascii="仿宋_GB2312" w:hAnsi="仿宋_GB2312" w:eastAsia="仿宋_GB2312" w:cs="仿宋_GB2312"/>
                <w:color w:val="auto"/>
                <w:kern w:val="0"/>
                <w:sz w:val="20"/>
                <w:szCs w:val="20"/>
                <w:lang w:val="en-US" w:eastAsia="zh-CN"/>
              </w:rPr>
              <w:t>）合计：XX元</w:t>
            </w:r>
          </w:p>
          <w:p w14:paraId="1FC705A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服务期限：自校方责任保险服务合同签订之日起至2027年9月1日</w:t>
            </w:r>
          </w:p>
        </w:tc>
      </w:tr>
    </w:tbl>
    <w:p w14:paraId="5E038986">
      <w:pPr>
        <w:keepNext w:val="0"/>
        <w:keepLines w:val="0"/>
        <w:pageBreakBefore w:val="0"/>
        <w:widowControl/>
        <w:kinsoku/>
        <w:wordWrap/>
        <w:overflowPunct/>
        <w:topLinePunct w:val="0"/>
        <w:bidi w:val="0"/>
        <w:adjustRightInd/>
        <w:snapToGrid/>
        <w:spacing w:after="0" w:line="240" w:lineRule="auto"/>
        <w:ind w:firstLine="400" w:firstLineChars="20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发生事故后应在24小时内进行报案，乙方</w:t>
      </w:r>
      <w:r>
        <w:rPr>
          <w:rFonts w:hint="eastAsia" w:ascii="仿宋_GB2312" w:hAnsi="仿宋_GB2312" w:eastAsia="仿宋_GB2312" w:cs="仿宋_GB2312"/>
          <w:color w:val="auto"/>
          <w:kern w:val="0"/>
          <w:sz w:val="20"/>
          <w:szCs w:val="20"/>
          <w:lang w:val="en-US" w:eastAsia="zh-Hans"/>
        </w:rPr>
        <w:t>承诺</w:t>
      </w:r>
      <w:r>
        <w:rPr>
          <w:rFonts w:hint="eastAsia" w:ascii="仿宋_GB2312" w:hAnsi="仿宋_GB2312" w:eastAsia="仿宋_GB2312" w:cs="仿宋_GB2312"/>
          <w:color w:val="auto"/>
          <w:kern w:val="0"/>
          <w:sz w:val="20"/>
          <w:szCs w:val="20"/>
          <w:lang w:val="zh-CN" w:eastAsia="zh-Hans"/>
        </w:rPr>
        <w:t>在收到贵单位的出险通知后</w:t>
      </w:r>
      <w:r>
        <w:rPr>
          <w:rFonts w:hint="eastAsia" w:ascii="仿宋_GB2312" w:hAnsi="仿宋_GB2312" w:eastAsia="仿宋_GB2312" w:cs="仿宋_GB2312"/>
          <w:color w:val="auto"/>
          <w:kern w:val="0"/>
          <w:sz w:val="20"/>
          <w:szCs w:val="20"/>
          <w:lang w:val="en-US" w:eastAsia="zh-CN"/>
        </w:rPr>
        <w:t>第一时间</w:t>
      </w:r>
      <w:r>
        <w:rPr>
          <w:rFonts w:hint="eastAsia" w:ascii="仿宋_GB2312" w:hAnsi="仿宋_GB2312" w:eastAsia="仿宋_GB2312" w:cs="仿宋_GB2312"/>
          <w:color w:val="auto"/>
          <w:kern w:val="0"/>
          <w:sz w:val="20"/>
          <w:szCs w:val="20"/>
          <w:lang w:val="en-US" w:eastAsia="zh-Hans"/>
        </w:rPr>
        <w:t>以传真、短信、电话或邮件等方式提出处理意见，并回复是否前往现场查勘。若</w:t>
      </w:r>
      <w:r>
        <w:rPr>
          <w:rFonts w:hint="eastAsia" w:ascii="仿宋_GB2312" w:hAnsi="仿宋_GB2312" w:eastAsia="仿宋_GB2312" w:cs="仿宋_GB2312"/>
          <w:color w:val="auto"/>
          <w:kern w:val="0"/>
          <w:sz w:val="20"/>
          <w:szCs w:val="20"/>
          <w:lang w:val="en-US" w:eastAsia="zh-CN"/>
        </w:rPr>
        <w:t>我</w:t>
      </w:r>
      <w:r>
        <w:rPr>
          <w:rFonts w:hint="eastAsia" w:ascii="仿宋_GB2312" w:hAnsi="仿宋_GB2312" w:eastAsia="仿宋_GB2312" w:cs="仿宋_GB2312"/>
          <w:color w:val="auto"/>
          <w:kern w:val="0"/>
          <w:sz w:val="20"/>
          <w:szCs w:val="20"/>
          <w:lang w:val="en-US" w:eastAsia="zh-Hans"/>
        </w:rPr>
        <w:t>单位未按上述约定回复，则表示不去现场查勘并同意以贵单位提供的索赔材料为理赔依据。对于确定需进行现场查勘的出险案件,</w:t>
      </w:r>
      <w:r>
        <w:rPr>
          <w:rFonts w:hint="eastAsia" w:ascii="仿宋_GB2312" w:hAnsi="仿宋_GB2312" w:eastAsia="仿宋_GB2312" w:cs="仿宋_GB2312"/>
          <w:color w:val="auto"/>
          <w:kern w:val="0"/>
          <w:sz w:val="20"/>
          <w:szCs w:val="20"/>
          <w:lang w:val="en-US" w:eastAsia="zh-CN"/>
        </w:rPr>
        <w:t>乙方</w:t>
      </w:r>
      <w:r>
        <w:rPr>
          <w:rFonts w:hint="eastAsia" w:ascii="仿宋_GB2312" w:hAnsi="仿宋_GB2312" w:eastAsia="仿宋_GB2312" w:cs="仿宋_GB2312"/>
          <w:color w:val="auto"/>
          <w:kern w:val="0"/>
          <w:sz w:val="20"/>
          <w:szCs w:val="20"/>
          <w:lang w:val="en-US" w:eastAsia="zh-Hans"/>
        </w:rPr>
        <w:t>属地服务人员将赶赴出险现场，案情较大时，还将安排分公司及总公司理赔人员赶赴现场查勘。准确了解出险时间、地点、原因，并实施施救、拍照、估损、索取有关单证，作好文字记录的工作。具体时间安排如下：</w:t>
      </w:r>
    </w:p>
    <w:p w14:paraId="0FE916C4">
      <w:pPr>
        <w:keepNext w:val="0"/>
        <w:keepLines w:val="0"/>
        <w:pageBreakBefore w:val="0"/>
        <w:widowControl/>
        <w:kinsoku/>
        <w:wordWrap/>
        <w:overflowPunct/>
        <w:topLinePunct w:val="0"/>
        <w:autoSpaceDE w:val="0"/>
        <w:autoSpaceDN w:val="0"/>
        <w:bidi w:val="0"/>
        <w:adjustRightInd/>
        <w:snapToGrid/>
        <w:spacing w:after="0" w:line="240" w:lineRule="auto"/>
        <w:ind w:firstLine="400" w:firstLineChars="200"/>
        <w:textAlignment w:val="baseline"/>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从报案确认至现场查看的周期：市区  分钟内；郊区  小时内。</w:t>
      </w:r>
    </w:p>
    <w:p w14:paraId="1A68805D">
      <w:pPr>
        <w:keepNext w:val="0"/>
        <w:keepLines w:val="0"/>
        <w:pageBreakBefore w:val="0"/>
        <w:widowControl/>
        <w:kinsoku/>
        <w:wordWrap/>
        <w:overflowPunct/>
        <w:topLinePunct w:val="0"/>
        <w:autoSpaceDE w:val="0"/>
        <w:autoSpaceDN w:val="0"/>
        <w:bidi w:val="0"/>
        <w:adjustRightInd/>
        <w:snapToGrid/>
        <w:spacing w:after="0" w:line="240" w:lineRule="auto"/>
        <w:ind w:firstLine="400" w:firstLineChars="200"/>
        <w:textAlignment w:val="baseline"/>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A.接报案时限</w:t>
      </w:r>
    </w:p>
    <w:p w14:paraId="747BCD39">
      <w:pPr>
        <w:keepNext w:val="0"/>
        <w:keepLines w:val="0"/>
        <w:pageBreakBefore w:val="0"/>
        <w:widowControl/>
        <w:kinsoku/>
        <w:wordWrap/>
        <w:overflowPunct/>
        <w:topLinePunct w:val="0"/>
        <w:autoSpaceDE w:val="0"/>
        <w:autoSpaceDN w:val="0"/>
        <w:bidi w:val="0"/>
        <w:adjustRightInd/>
        <w:snapToGrid/>
        <w:spacing w:after="0" w:line="240" w:lineRule="auto"/>
        <w:ind w:firstLine="400" w:firstLineChars="200"/>
        <w:textAlignment w:val="baseline"/>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乙方设立365天无休息日，全天24小时接报案、咨询受理电话     ，发生事故后被保险人应及时报案，我司30秒钟电话接通率99%。</w:t>
      </w:r>
    </w:p>
    <w:p w14:paraId="72BB8CD2">
      <w:pPr>
        <w:keepNext w:val="0"/>
        <w:keepLines w:val="0"/>
        <w:pageBreakBefore w:val="0"/>
        <w:widowControl/>
        <w:kinsoku/>
        <w:wordWrap/>
        <w:overflowPunct/>
        <w:topLinePunct w:val="0"/>
        <w:autoSpaceDE w:val="0"/>
        <w:autoSpaceDN w:val="0"/>
        <w:bidi w:val="0"/>
        <w:adjustRightInd/>
        <w:snapToGrid/>
        <w:spacing w:after="0" w:line="240" w:lineRule="auto"/>
        <w:ind w:firstLine="400" w:firstLineChars="200"/>
        <w:textAlignment w:val="baseline"/>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B.查勘现场时限</w:t>
      </w:r>
    </w:p>
    <w:p w14:paraId="053FB47D">
      <w:pPr>
        <w:keepNext w:val="0"/>
        <w:keepLines w:val="0"/>
        <w:pageBreakBefore w:val="0"/>
        <w:widowControl/>
        <w:kinsoku/>
        <w:wordWrap/>
        <w:overflowPunct/>
        <w:topLinePunct w:val="0"/>
        <w:autoSpaceDE w:val="0"/>
        <w:autoSpaceDN w:val="0"/>
        <w:bidi w:val="0"/>
        <w:adjustRightInd/>
        <w:snapToGrid/>
        <w:spacing w:after="0" w:line="240" w:lineRule="auto"/>
        <w:ind w:firstLine="400" w:firstLineChars="200"/>
        <w:textAlignment w:val="baseline"/>
        <w:rPr>
          <w:rFonts w:hint="default"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在接到被保险人的出险通知后，5分钟之内与被保险人联系，在约定时间内查勘。需现场查勘的案件</w:t>
      </w:r>
      <w:r>
        <w:rPr>
          <w:rFonts w:hint="default" w:ascii="仿宋_GB2312" w:hAnsi="仿宋_GB2312" w:eastAsia="仿宋_GB2312" w:cs="仿宋_GB2312"/>
          <w:color w:val="auto"/>
          <w:kern w:val="0"/>
          <w:sz w:val="20"/>
          <w:szCs w:val="20"/>
          <w:lang w:val="en-US" w:eastAsia="zh-CN"/>
        </w:rPr>
        <w:t>：</w:t>
      </w:r>
    </w:p>
    <w:p w14:paraId="060A6848">
      <w:pPr>
        <w:keepNext w:val="0"/>
        <w:keepLines w:val="0"/>
        <w:pageBreakBefore w:val="0"/>
        <w:widowControl/>
        <w:kinsoku/>
        <w:wordWrap/>
        <w:overflowPunct/>
        <w:topLinePunct w:val="0"/>
        <w:autoSpaceDE w:val="0"/>
        <w:autoSpaceDN w:val="0"/>
        <w:bidi w:val="0"/>
        <w:adjustRightInd/>
        <w:snapToGrid/>
        <w:spacing w:after="0" w:line="240" w:lineRule="auto"/>
        <w:ind w:firstLine="400" w:firstLineChars="200"/>
        <w:textAlignment w:val="baseline"/>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市区：30分钟内到达现场。</w:t>
      </w:r>
    </w:p>
    <w:p w14:paraId="33D1AE5A">
      <w:pPr>
        <w:keepNext w:val="0"/>
        <w:keepLines w:val="0"/>
        <w:pageBreakBefore w:val="0"/>
        <w:widowControl/>
        <w:kinsoku/>
        <w:wordWrap/>
        <w:overflowPunct/>
        <w:topLinePunct w:val="0"/>
        <w:autoSpaceDE w:val="0"/>
        <w:autoSpaceDN w:val="0"/>
        <w:bidi w:val="0"/>
        <w:adjustRightInd/>
        <w:snapToGrid/>
        <w:spacing w:after="0" w:line="240" w:lineRule="auto"/>
        <w:ind w:firstLine="400" w:firstLineChars="200"/>
        <w:textAlignment w:val="baseline"/>
        <w:rPr>
          <w:rFonts w:hint="eastAsia" w:ascii="仿宋_GB2312" w:hAnsi="仿宋_GB2312" w:eastAsia="仿宋_GB2312" w:cs="仿宋_GB2312"/>
          <w:color w:val="auto"/>
          <w:kern w:val="0"/>
          <w:sz w:val="20"/>
          <w:szCs w:val="20"/>
          <w:lang w:val="en-US" w:eastAsia="zh-CN"/>
        </w:rPr>
      </w:pPr>
      <w:r>
        <w:rPr>
          <w:rFonts w:hint="default" w:ascii="仿宋_GB2312" w:hAnsi="仿宋_GB2312" w:eastAsia="仿宋_GB2312" w:cs="仿宋_GB2312"/>
          <w:color w:val="auto"/>
          <w:kern w:val="0"/>
          <w:sz w:val="20"/>
          <w:szCs w:val="20"/>
          <w:lang w:val="en-US" w:eastAsia="zh-CN"/>
        </w:rPr>
        <w:t>郊县：60</w:t>
      </w:r>
      <w:r>
        <w:rPr>
          <w:rFonts w:hint="eastAsia" w:ascii="仿宋_GB2312" w:hAnsi="仿宋_GB2312" w:eastAsia="仿宋_GB2312" w:cs="仿宋_GB2312"/>
          <w:color w:val="auto"/>
          <w:kern w:val="0"/>
          <w:sz w:val="20"/>
          <w:szCs w:val="20"/>
          <w:lang w:val="en-US" w:eastAsia="zh-CN"/>
        </w:rPr>
        <w:t>分钟内到达现场。</w:t>
      </w:r>
    </w:p>
    <w:p w14:paraId="2FC1E723">
      <w:pPr>
        <w:keepNext w:val="0"/>
        <w:keepLines w:val="0"/>
        <w:pageBreakBefore w:val="0"/>
        <w:widowControl/>
        <w:kinsoku/>
        <w:wordWrap/>
        <w:overflowPunct/>
        <w:topLinePunct w:val="0"/>
        <w:autoSpaceDE w:val="0"/>
        <w:autoSpaceDN w:val="0"/>
        <w:bidi w:val="0"/>
        <w:adjustRightInd/>
        <w:snapToGrid/>
        <w:spacing w:after="0" w:line="240" w:lineRule="auto"/>
        <w:ind w:firstLine="400" w:firstLineChars="200"/>
        <w:textAlignment w:val="baseline"/>
        <w:rPr>
          <w:rFonts w:hint="eastAsia" w:ascii="仿宋_GB2312" w:hAnsi="仿宋_GB2312" w:eastAsia="仿宋_GB2312" w:cs="仿宋_GB2312"/>
          <w:color w:val="auto"/>
          <w:kern w:val="0"/>
          <w:sz w:val="20"/>
          <w:szCs w:val="20"/>
          <w:lang w:val="en-US" w:eastAsia="zh-CN"/>
        </w:rPr>
      </w:pPr>
      <w:r>
        <w:rPr>
          <w:rFonts w:hint="default" w:ascii="仿宋_GB2312" w:hAnsi="仿宋_GB2312" w:eastAsia="仿宋_GB2312" w:cs="仿宋_GB2312"/>
          <w:color w:val="auto"/>
          <w:kern w:val="0"/>
          <w:sz w:val="20"/>
          <w:szCs w:val="20"/>
          <w:lang w:val="en-US" w:eastAsia="zh-CN"/>
        </w:rPr>
        <w:t>省内：60</w:t>
      </w:r>
      <w:r>
        <w:rPr>
          <w:rFonts w:hint="eastAsia" w:ascii="仿宋_GB2312" w:hAnsi="仿宋_GB2312" w:eastAsia="仿宋_GB2312" w:cs="仿宋_GB2312"/>
          <w:color w:val="auto"/>
          <w:kern w:val="0"/>
          <w:sz w:val="20"/>
          <w:szCs w:val="20"/>
          <w:lang w:val="en-US" w:eastAsia="zh-CN"/>
        </w:rPr>
        <w:t>分钟内到达现场。</w:t>
      </w:r>
    </w:p>
    <w:p w14:paraId="0EFDA1D9">
      <w:pPr>
        <w:keepNext w:val="0"/>
        <w:keepLines w:val="0"/>
        <w:pageBreakBefore w:val="0"/>
        <w:widowControl/>
        <w:kinsoku/>
        <w:wordWrap/>
        <w:overflowPunct/>
        <w:topLinePunct w:val="0"/>
        <w:autoSpaceDE w:val="0"/>
        <w:autoSpaceDN w:val="0"/>
        <w:bidi w:val="0"/>
        <w:adjustRightInd/>
        <w:snapToGrid/>
        <w:spacing w:after="0" w:line="240" w:lineRule="auto"/>
        <w:ind w:firstLine="400" w:firstLineChars="200"/>
        <w:textAlignment w:val="baseline"/>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因特殊情况延误的，将提前联系被保险人说明情况。保险事故发生后，在理赔人员未到达现场之前，被保险人可根据实际情况留存现场照片后立即进行施救、抢修，理赔时以被保险人出险记录与现场图片为依据。</w:t>
      </w:r>
    </w:p>
    <w:p w14:paraId="3FDF9B71">
      <w:pPr>
        <w:keepNext w:val="0"/>
        <w:keepLines w:val="0"/>
        <w:pageBreakBefore w:val="0"/>
        <w:widowControl/>
        <w:kinsoku/>
        <w:wordWrap/>
        <w:overflowPunct/>
        <w:topLinePunct w:val="0"/>
        <w:autoSpaceDE w:val="0"/>
        <w:autoSpaceDN w:val="0"/>
        <w:bidi w:val="0"/>
        <w:adjustRightInd/>
        <w:snapToGrid/>
        <w:spacing w:after="0" w:line="240" w:lineRule="auto"/>
        <w:ind w:firstLine="400" w:firstLineChars="200"/>
        <w:textAlignment w:val="baseline"/>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C</w:t>
      </w:r>
      <w:r>
        <w:rPr>
          <w:rFonts w:hint="default" w:ascii="仿宋_GB2312" w:hAnsi="仿宋_GB2312" w:eastAsia="仿宋_GB2312" w:cs="仿宋_GB2312"/>
          <w:color w:val="auto"/>
          <w:kern w:val="0"/>
          <w:sz w:val="20"/>
          <w:szCs w:val="20"/>
          <w:lang w:val="en-US" w:eastAsia="zh-CN"/>
        </w:rPr>
        <w:t>.</w:t>
      </w:r>
      <w:r>
        <w:rPr>
          <w:rFonts w:hint="eastAsia" w:ascii="仿宋_GB2312" w:hAnsi="仿宋_GB2312" w:eastAsia="仿宋_GB2312" w:cs="仿宋_GB2312"/>
          <w:color w:val="auto"/>
          <w:kern w:val="0"/>
          <w:sz w:val="20"/>
          <w:szCs w:val="20"/>
          <w:lang w:val="en-US" w:eastAsia="zh-CN"/>
        </w:rPr>
        <w:t>限时审核承诺</w:t>
      </w:r>
    </w:p>
    <w:p w14:paraId="42CA50F8">
      <w:pPr>
        <w:keepNext w:val="0"/>
        <w:keepLines w:val="0"/>
        <w:pageBreakBefore w:val="0"/>
        <w:widowControl/>
        <w:kinsoku/>
        <w:wordWrap/>
        <w:overflowPunct/>
        <w:topLinePunct w:val="0"/>
        <w:autoSpaceDE w:val="0"/>
        <w:autoSpaceDN w:val="0"/>
        <w:bidi w:val="0"/>
        <w:adjustRightInd/>
        <w:snapToGrid/>
        <w:spacing w:after="0" w:line="240" w:lineRule="auto"/>
        <w:ind w:firstLine="400" w:firstLineChars="200"/>
        <w:textAlignment w:val="baseline"/>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收到索赔材料，乙方将立即进行审查核定，并将审核结果通知被保险人；若乙方认为有关的证明和资料不完整的，会立即以书面方式向被保险人说明应补充提供有关的证明和资料。</w:t>
      </w:r>
    </w:p>
    <w:p w14:paraId="78B99D1D">
      <w:pPr>
        <w:keepNext w:val="0"/>
        <w:keepLines w:val="0"/>
        <w:pageBreakBefore w:val="0"/>
        <w:widowControl/>
        <w:kinsoku/>
        <w:wordWrap/>
        <w:overflowPunct/>
        <w:topLinePunct w:val="0"/>
        <w:bidi w:val="0"/>
        <w:adjustRightInd/>
        <w:snapToGrid/>
        <w:spacing w:after="0" w:line="240" w:lineRule="auto"/>
        <w:ind w:firstLine="400" w:firstLineChars="20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查勘人员未按上述规定及时到达现场，贵单位及其代表方可对事故现场进行必要的处理，</w:t>
      </w:r>
      <w:r>
        <w:rPr>
          <w:rFonts w:hint="eastAsia" w:ascii="仿宋_GB2312" w:hAnsi="仿宋_GB2312" w:eastAsia="仿宋_GB2312" w:cs="仿宋_GB2312"/>
          <w:color w:val="auto"/>
          <w:kern w:val="0"/>
          <w:sz w:val="20"/>
          <w:szCs w:val="20"/>
          <w:lang w:val="en-US" w:eastAsia="zh-CN"/>
        </w:rPr>
        <w:t>乙方</w:t>
      </w:r>
      <w:r>
        <w:rPr>
          <w:rFonts w:hint="eastAsia" w:ascii="仿宋_GB2312" w:hAnsi="仿宋_GB2312" w:eastAsia="仿宋_GB2312" w:cs="仿宋_GB2312"/>
          <w:color w:val="auto"/>
          <w:kern w:val="0"/>
          <w:sz w:val="20"/>
          <w:szCs w:val="20"/>
          <w:lang w:val="en-US" w:eastAsia="zh-Hans"/>
        </w:rPr>
        <w:t>将认可贵单位所申报的事故经过属实，并认可贵单位采取的以最大限度减少损失所采取的有关施救处理措施及发生的有关施救费用，但需贵单位提供事故现场事实照以及相应证明文件作为理赔依据。</w:t>
      </w:r>
    </w:p>
    <w:p w14:paraId="768FB9D7">
      <w:pPr>
        <w:keepNext w:val="0"/>
        <w:keepLines w:val="0"/>
        <w:pageBreakBefore w:val="0"/>
        <w:widowControl/>
        <w:kinsoku/>
        <w:wordWrap/>
        <w:overflowPunct/>
        <w:topLinePunct w:val="0"/>
        <w:bidi w:val="0"/>
        <w:adjustRightInd/>
        <w:snapToGrid/>
        <w:spacing w:after="0" w:line="240" w:lineRule="auto"/>
        <w:ind w:firstLine="400" w:firstLineChars="20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CN"/>
        </w:rPr>
        <w:t>乙方</w:t>
      </w:r>
      <w:r>
        <w:rPr>
          <w:rFonts w:hint="eastAsia" w:ascii="仿宋_GB2312" w:hAnsi="仿宋_GB2312" w:eastAsia="仿宋_GB2312" w:cs="仿宋_GB2312"/>
          <w:color w:val="auto"/>
          <w:kern w:val="0"/>
          <w:sz w:val="20"/>
          <w:szCs w:val="20"/>
          <w:lang w:val="en-US" w:eastAsia="zh-Hans"/>
        </w:rPr>
        <w:t>查勘人员到达事故现场后，将立即对出险时间、地点、原因、经过展开调查，现场查勘范围包括(但不限于)：</w:t>
      </w:r>
    </w:p>
    <w:p w14:paraId="7CC341C7">
      <w:pPr>
        <w:keepNext w:val="0"/>
        <w:keepLines w:val="0"/>
        <w:pageBreakBefore w:val="0"/>
        <w:widowControl/>
        <w:kinsoku/>
        <w:wordWrap/>
        <w:overflowPunct/>
        <w:topLinePunct w:val="0"/>
        <w:bidi w:val="0"/>
        <w:adjustRightInd/>
        <w:snapToGrid/>
        <w:spacing w:after="0" w:line="240" w:lineRule="auto"/>
        <w:ind w:firstLine="400" w:firstLineChars="20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（1）与贵单位人共同进行事故现场调查；</w:t>
      </w:r>
    </w:p>
    <w:p w14:paraId="4A5D810E">
      <w:pPr>
        <w:keepNext w:val="0"/>
        <w:keepLines w:val="0"/>
        <w:pageBreakBefore w:val="0"/>
        <w:widowControl/>
        <w:kinsoku/>
        <w:wordWrap/>
        <w:overflowPunct/>
        <w:topLinePunct w:val="0"/>
        <w:bidi w:val="0"/>
        <w:adjustRightInd/>
        <w:snapToGrid/>
        <w:spacing w:after="0" w:line="240" w:lineRule="auto"/>
        <w:ind w:firstLine="400" w:firstLineChars="20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（2）了解事故发生经过、原因；清点受损财产情况；</w:t>
      </w:r>
    </w:p>
    <w:p w14:paraId="1A5B0543">
      <w:pPr>
        <w:keepNext w:val="0"/>
        <w:keepLines w:val="0"/>
        <w:pageBreakBefore w:val="0"/>
        <w:widowControl/>
        <w:kinsoku/>
        <w:wordWrap/>
        <w:overflowPunct/>
        <w:topLinePunct w:val="0"/>
        <w:bidi w:val="0"/>
        <w:adjustRightInd/>
        <w:snapToGrid/>
        <w:spacing w:after="0" w:line="240" w:lineRule="auto"/>
        <w:ind w:firstLine="400" w:firstLineChars="200"/>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（3）了解事故前后施救措施、施工条件以及重建修复方案；</w:t>
      </w:r>
    </w:p>
    <w:p w14:paraId="1AB6063E">
      <w:pPr>
        <w:keepNext w:val="0"/>
        <w:keepLines w:val="0"/>
        <w:pageBreakBefore w:val="0"/>
        <w:widowControl/>
        <w:kinsoku/>
        <w:wordWrap/>
        <w:overflowPunct/>
        <w:topLinePunct w:val="0"/>
        <w:bidi w:val="0"/>
        <w:adjustRightInd/>
        <w:snapToGrid/>
        <w:spacing w:after="0" w:line="240" w:lineRule="auto"/>
        <w:ind w:firstLine="400" w:firstLineChars="20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Hans"/>
        </w:rPr>
        <w:t>（4）与贵单位对现场查勘记录进行签字确认等</w:t>
      </w:r>
      <w:r>
        <w:rPr>
          <w:rFonts w:hint="eastAsia" w:ascii="仿宋_GB2312" w:hAnsi="仿宋_GB2312" w:eastAsia="仿宋_GB2312" w:cs="仿宋_GB2312"/>
          <w:color w:val="auto"/>
          <w:kern w:val="0"/>
          <w:sz w:val="20"/>
          <w:szCs w:val="20"/>
          <w:lang w:val="en-US" w:eastAsia="zh-CN"/>
        </w:rPr>
        <w:t>；</w:t>
      </w:r>
    </w:p>
    <w:p w14:paraId="5AC5283C">
      <w:pPr>
        <w:keepNext w:val="0"/>
        <w:keepLines w:val="0"/>
        <w:pageBreakBefore w:val="0"/>
        <w:widowControl/>
        <w:kinsoku/>
        <w:wordWrap/>
        <w:overflowPunct/>
        <w:topLinePunct w:val="0"/>
        <w:bidi w:val="0"/>
        <w:adjustRightInd/>
        <w:snapToGrid/>
        <w:spacing w:after="0" w:line="240" w:lineRule="auto"/>
        <w:jc w:val="left"/>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乙方</w:t>
      </w:r>
      <w:r>
        <w:rPr>
          <w:rFonts w:hint="eastAsia" w:ascii="仿宋_GB2312" w:hAnsi="仿宋_GB2312" w:eastAsia="仿宋_GB2312" w:cs="仿宋_GB2312"/>
          <w:color w:val="auto"/>
          <w:kern w:val="0"/>
          <w:sz w:val="20"/>
          <w:szCs w:val="20"/>
          <w:lang w:val="en-US" w:eastAsia="zh-Hans"/>
        </w:rPr>
        <w:t>在收到被保险人完整的索赔单证后，按照以下时限</w:t>
      </w:r>
      <w:r>
        <w:rPr>
          <w:rFonts w:hint="eastAsia" w:ascii="仿宋_GB2312" w:hAnsi="仿宋_GB2312" w:eastAsia="仿宋_GB2312" w:cs="仿宋_GB2312"/>
          <w:color w:val="auto"/>
          <w:kern w:val="0"/>
          <w:sz w:val="20"/>
          <w:szCs w:val="20"/>
          <w:lang w:val="en-US" w:eastAsia="zh-CN"/>
        </w:rPr>
        <w:t>来</w:t>
      </w:r>
      <w:r>
        <w:rPr>
          <w:rFonts w:hint="eastAsia" w:ascii="仿宋_GB2312" w:hAnsi="仿宋_GB2312" w:eastAsia="仿宋_GB2312" w:cs="仿宋_GB2312"/>
          <w:color w:val="auto"/>
          <w:kern w:val="0"/>
          <w:sz w:val="20"/>
          <w:szCs w:val="20"/>
          <w:lang w:val="en-US" w:eastAsia="zh-Hans"/>
        </w:rPr>
        <w:t>进行定责定损</w:t>
      </w:r>
      <w:r>
        <w:rPr>
          <w:rFonts w:hint="eastAsia" w:ascii="仿宋_GB2312" w:hAnsi="仿宋_GB2312" w:eastAsia="仿宋_GB2312" w:cs="仿宋_GB2312"/>
          <w:color w:val="auto"/>
          <w:kern w:val="0"/>
          <w:sz w:val="20"/>
          <w:szCs w:val="20"/>
          <w:lang w:val="en-US" w:eastAsia="zh-CN"/>
        </w:rPr>
        <w:t>：</w:t>
      </w:r>
    </w:p>
    <w:p w14:paraId="24931EA1">
      <w:pPr>
        <w:keepNext w:val="0"/>
        <w:keepLines w:val="0"/>
        <w:pageBreakBefore w:val="0"/>
        <w:widowControl/>
        <w:kinsoku/>
        <w:wordWrap/>
        <w:overflowPunct/>
        <w:topLinePunct w:val="0"/>
        <w:bidi w:val="0"/>
        <w:adjustRightInd/>
        <w:snapToGrid/>
        <w:spacing w:after="0" w:line="240" w:lineRule="auto"/>
        <w:ind w:firstLine="400" w:firstLineChars="200"/>
        <w:jc w:val="left"/>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（1）估损金额在人民币30万元（含）以下的，在5个工作日内完成定责定损；</w:t>
      </w:r>
    </w:p>
    <w:p w14:paraId="308E4911">
      <w:pPr>
        <w:keepNext w:val="0"/>
        <w:keepLines w:val="0"/>
        <w:pageBreakBefore w:val="0"/>
        <w:widowControl/>
        <w:kinsoku/>
        <w:wordWrap/>
        <w:overflowPunct/>
        <w:topLinePunct w:val="0"/>
        <w:bidi w:val="0"/>
        <w:adjustRightInd/>
        <w:snapToGrid/>
        <w:spacing w:after="0" w:line="240" w:lineRule="auto"/>
        <w:ind w:firstLine="400" w:firstLineChars="200"/>
        <w:jc w:val="left"/>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（2）估损金额在人民币30万元以上-100万元（含）的，在7个工作日内完成定责定损；</w:t>
      </w:r>
    </w:p>
    <w:p w14:paraId="27E2B85F">
      <w:pPr>
        <w:keepNext w:val="0"/>
        <w:keepLines w:val="0"/>
        <w:pageBreakBefore w:val="0"/>
        <w:widowControl/>
        <w:kinsoku/>
        <w:wordWrap/>
        <w:overflowPunct/>
        <w:topLinePunct w:val="0"/>
        <w:bidi w:val="0"/>
        <w:adjustRightInd/>
        <w:snapToGrid/>
        <w:spacing w:after="0" w:line="240" w:lineRule="auto"/>
        <w:ind w:firstLine="400" w:firstLineChars="200"/>
        <w:jc w:val="left"/>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（3）估损金额超过人民币100万元的，在10个工作日内完成定责定损。</w:t>
      </w:r>
    </w:p>
    <w:p w14:paraId="708D1C76">
      <w:pPr>
        <w:keepNext w:val="0"/>
        <w:keepLines w:val="0"/>
        <w:pageBreakBefore w:val="0"/>
        <w:widowControl/>
        <w:kinsoku/>
        <w:wordWrap/>
        <w:overflowPunct/>
        <w:topLinePunct w:val="0"/>
        <w:bidi w:val="0"/>
        <w:adjustRightInd/>
        <w:snapToGrid/>
        <w:spacing w:after="0" w:line="240" w:lineRule="auto"/>
        <w:ind w:firstLine="400" w:firstLineChars="200"/>
        <w:jc w:val="left"/>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w:t>
      </w:r>
      <w:r>
        <w:rPr>
          <w:rFonts w:hint="eastAsia" w:ascii="仿宋_GB2312" w:hAnsi="仿宋_GB2312" w:eastAsia="仿宋_GB2312" w:cs="仿宋_GB2312"/>
          <w:color w:val="auto"/>
          <w:kern w:val="0"/>
          <w:sz w:val="20"/>
          <w:szCs w:val="20"/>
          <w:lang w:val="en-US" w:eastAsia="zh-CN"/>
        </w:rPr>
        <w:t>4</w:t>
      </w:r>
      <w:r>
        <w:rPr>
          <w:rFonts w:hint="eastAsia" w:ascii="仿宋_GB2312" w:hAnsi="仿宋_GB2312" w:eastAsia="仿宋_GB2312" w:cs="仿宋_GB2312"/>
          <w:color w:val="auto"/>
          <w:kern w:val="0"/>
          <w:sz w:val="20"/>
          <w:szCs w:val="20"/>
          <w:lang w:val="en-US" w:eastAsia="zh-Hans"/>
        </w:rPr>
        <w:t>）经过上述定责定损，如果保险人出单公司认可属于保险责任，且与被保险人就赔偿金额达成一致书面意见，保险人承诺于达成一致书面意见后按照以下时限完成赔款支付：</w:t>
      </w:r>
    </w:p>
    <w:p w14:paraId="60F22B28">
      <w:pPr>
        <w:keepNext w:val="0"/>
        <w:keepLines w:val="0"/>
        <w:pageBreakBefore w:val="0"/>
        <w:widowControl/>
        <w:kinsoku/>
        <w:wordWrap/>
        <w:overflowPunct/>
        <w:topLinePunct w:val="0"/>
        <w:bidi w:val="0"/>
        <w:adjustRightInd/>
        <w:snapToGrid/>
        <w:spacing w:after="0" w:line="240" w:lineRule="auto"/>
        <w:ind w:firstLine="400" w:firstLineChars="200"/>
        <w:jc w:val="left"/>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A定损金额在人民币30万元（含）以下的，在3个工作日内支付赔款；</w:t>
      </w:r>
    </w:p>
    <w:p w14:paraId="548F4E83">
      <w:pPr>
        <w:keepNext w:val="0"/>
        <w:keepLines w:val="0"/>
        <w:pageBreakBefore w:val="0"/>
        <w:widowControl/>
        <w:kinsoku/>
        <w:wordWrap/>
        <w:overflowPunct/>
        <w:topLinePunct w:val="0"/>
        <w:bidi w:val="0"/>
        <w:adjustRightInd/>
        <w:snapToGrid/>
        <w:spacing w:after="0" w:line="240" w:lineRule="auto"/>
        <w:ind w:firstLine="400" w:firstLineChars="200"/>
        <w:jc w:val="left"/>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B定损金额在人民币30万元以上-100万元（含）的，在5个工作日内支付赔款；</w:t>
      </w:r>
    </w:p>
    <w:p w14:paraId="46EEF2A3">
      <w:pPr>
        <w:keepNext w:val="0"/>
        <w:keepLines w:val="0"/>
        <w:pageBreakBefore w:val="0"/>
        <w:widowControl/>
        <w:kinsoku/>
        <w:wordWrap/>
        <w:overflowPunct/>
        <w:topLinePunct w:val="0"/>
        <w:bidi w:val="0"/>
        <w:adjustRightInd/>
        <w:snapToGrid/>
        <w:spacing w:after="0" w:line="240" w:lineRule="auto"/>
        <w:ind w:firstLine="400" w:firstLineChars="200"/>
        <w:jc w:val="left"/>
        <w:rPr>
          <w:rFonts w:hint="eastAsia" w:ascii="仿宋_GB2312" w:hAnsi="仿宋_GB2312" w:eastAsia="仿宋_GB2312" w:cs="仿宋_GB2312"/>
          <w:color w:val="auto"/>
          <w:kern w:val="0"/>
          <w:sz w:val="20"/>
          <w:szCs w:val="20"/>
          <w:lang w:val="en-US" w:eastAsia="zh-Hans"/>
        </w:rPr>
      </w:pPr>
      <w:r>
        <w:rPr>
          <w:rFonts w:hint="eastAsia" w:ascii="仿宋_GB2312" w:hAnsi="仿宋_GB2312" w:eastAsia="仿宋_GB2312" w:cs="仿宋_GB2312"/>
          <w:color w:val="auto"/>
          <w:kern w:val="0"/>
          <w:sz w:val="20"/>
          <w:szCs w:val="20"/>
          <w:lang w:val="en-US" w:eastAsia="zh-Hans"/>
        </w:rPr>
        <w:t>C定损金额超过人民币100万元的，在10个工作日内支付赔款。</w:t>
      </w:r>
    </w:p>
    <w:p w14:paraId="3F1B878D">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（二）服务承诺：</w:t>
      </w:r>
    </w:p>
    <w:p w14:paraId="1AE872DE">
      <w:pPr>
        <w:pStyle w:val="2"/>
        <w:keepNext w:val="0"/>
        <w:keepLines w:val="0"/>
        <w:pageBreakBefore w:val="0"/>
        <w:widowControl/>
        <w:kinsoku/>
        <w:wordWrap/>
        <w:overflowPunct/>
        <w:topLinePunct w:val="0"/>
        <w:bidi w:val="0"/>
        <w:adjustRightInd/>
        <w:snapToGrid/>
        <w:spacing w:after="0" w:line="240" w:lineRule="auto"/>
        <w:ind w:right="0" w:rightChars="0" w:firstLine="44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乙方</w:t>
      </w:r>
      <w:r>
        <w:rPr>
          <w:rFonts w:hint="eastAsia" w:ascii="仿宋_GB2312" w:hAnsi="仿宋_GB2312" w:eastAsia="仿宋_GB2312" w:cs="仿宋_GB2312"/>
          <w:color w:val="auto"/>
          <w:kern w:val="0"/>
          <w:sz w:val="20"/>
          <w:szCs w:val="20"/>
          <w:lang w:val="en-US" w:eastAsia="zh-Hans"/>
        </w:rPr>
        <w:t>针对此项目特别设置服务协调人员，授予一定权限，并明确了沟通协调流程。现场服务人员不能及时满足被保险人需求的情况下，可联系本项目服务协调人反映情况，由本项目服务协调人联系问题相关部门进行问题沟通，24小时内进行解决。服务协调人</w:t>
      </w:r>
      <w:r>
        <w:rPr>
          <w:rFonts w:hint="eastAsia" w:ascii="仿宋_GB2312" w:hAnsi="仿宋_GB2312" w:eastAsia="仿宋_GB2312" w:cs="仿宋_GB2312"/>
          <w:color w:val="auto"/>
          <w:kern w:val="0"/>
          <w:sz w:val="20"/>
          <w:szCs w:val="20"/>
          <w:lang w:val="en-US" w:eastAsia="zh-CN"/>
        </w:rPr>
        <w:t>：XX；联系电话：XX。</w:t>
      </w:r>
    </w:p>
    <w:p w14:paraId="4CD98633">
      <w:pPr>
        <w:keepNext w:val="0"/>
        <w:keepLines w:val="0"/>
        <w:pageBreakBefore w:val="0"/>
        <w:widowControl/>
        <w:kinsoku/>
        <w:wordWrap/>
        <w:overflowPunct/>
        <w:topLinePunct w:val="0"/>
        <w:bidi w:val="0"/>
        <w:adjustRightInd/>
        <w:snapToGrid/>
        <w:spacing w:after="0" w:line="240" w:lineRule="auto"/>
        <w:ind w:right="0" w:rightChars="0" w:firstLine="400" w:firstLineChars="20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Hans"/>
        </w:rPr>
        <w:t>在处理赔案过程中遵循重合同、守信用的原则，履行“迅速、及时、准确、合理”的理赔工作八字方针。在不违反法律和保险条款的前提下，尽可能满足被保险人的合理要求，公正地处理索赔事宜</w:t>
      </w:r>
      <w:r>
        <w:rPr>
          <w:rFonts w:hint="eastAsia" w:ascii="仿宋_GB2312" w:hAnsi="仿宋_GB2312" w:eastAsia="仿宋_GB2312" w:cs="仿宋_GB2312"/>
          <w:color w:val="auto"/>
          <w:kern w:val="0"/>
          <w:sz w:val="20"/>
          <w:szCs w:val="20"/>
          <w:lang w:val="en-US" w:eastAsia="zh-CN"/>
        </w:rPr>
        <w:t>。</w:t>
      </w:r>
    </w:p>
    <w:p w14:paraId="18152360">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七、违约责任</w:t>
      </w:r>
    </w:p>
    <w:p w14:paraId="4B797C08">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（一）按《中华人民共和国民法典》中的相关条款执行。</w:t>
      </w:r>
    </w:p>
    <w:p w14:paraId="33AADE8F">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（二）未按合同要求的提供服务或服务质量不能满足技术要求，采购人有权终止合同，甚至对供方违约行为进行追究。</w:t>
      </w:r>
    </w:p>
    <w:p w14:paraId="1C385C05">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（三）如有纠纷，双方友好协商解决，协商未果可向甲方所在地人民法院起诉解决。</w:t>
      </w:r>
    </w:p>
    <w:p w14:paraId="64FA0D87">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（四）乙方未按约定时限支付赔款的，逾期1日按应付赔款的【1】%向甲方支付违约金。</w:t>
      </w:r>
    </w:p>
    <w:p w14:paraId="5AD2BC55">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八、验收</w:t>
      </w:r>
    </w:p>
    <w:p w14:paraId="4A6B6F1A">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由采购人负责组织验收，验收须以合同、磋商文件及响应文件、澄清、及国家相应的标准、规范等为依据。</w:t>
      </w:r>
    </w:p>
    <w:p w14:paraId="405714CC">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zh-CN"/>
        </w:rPr>
        <w:t>九、</w:t>
      </w:r>
      <w:r>
        <w:rPr>
          <w:rFonts w:hint="eastAsia" w:ascii="仿宋_GB2312" w:hAnsi="仿宋_GB2312" w:eastAsia="仿宋_GB2312" w:cs="仿宋_GB2312"/>
          <w:color w:val="auto"/>
          <w:kern w:val="0"/>
          <w:sz w:val="20"/>
          <w:szCs w:val="20"/>
          <w:lang w:val="en-US" w:eastAsia="en-US"/>
        </w:rPr>
        <w:t>保密条款</w:t>
      </w:r>
    </w:p>
    <w:p w14:paraId="77C706A0">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保守商业秘密，除非下列情况，甲乙双方在执行本协议过程中不得将获得的任何保密信息泄露给第三方：</w:t>
      </w:r>
    </w:p>
    <w:p w14:paraId="0496AD47">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zh-CN"/>
        </w:rPr>
        <w:t>1.</w:t>
      </w:r>
      <w:r>
        <w:rPr>
          <w:rFonts w:hint="eastAsia" w:ascii="仿宋_GB2312" w:hAnsi="仿宋_GB2312" w:eastAsia="仿宋_GB2312" w:cs="仿宋_GB2312"/>
          <w:color w:val="auto"/>
          <w:kern w:val="0"/>
          <w:sz w:val="20"/>
          <w:szCs w:val="20"/>
          <w:lang w:val="en-US" w:eastAsia="en-US"/>
        </w:rPr>
        <w:t>告知为执行本合同而提供相关服务的经办人员。</w:t>
      </w:r>
    </w:p>
    <w:p w14:paraId="00F9FC69">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zh-CN"/>
        </w:rPr>
        <w:t>2.</w:t>
      </w:r>
      <w:r>
        <w:rPr>
          <w:rFonts w:hint="eastAsia" w:ascii="仿宋_GB2312" w:hAnsi="仿宋_GB2312" w:eastAsia="仿宋_GB2312" w:cs="仿宋_GB2312"/>
          <w:color w:val="auto"/>
          <w:kern w:val="0"/>
          <w:sz w:val="20"/>
          <w:szCs w:val="20"/>
          <w:lang w:val="en-US" w:eastAsia="en-US"/>
        </w:rPr>
        <w:t>告知根据本合同确定的提供保险服务的保险人。</w:t>
      </w:r>
    </w:p>
    <w:p w14:paraId="730107B2">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甲乙双方应遵循保密原则，双方均应采取不低于对其自身信息保密的措施，妥善保管并保护对方的保密信息。无论本协议是否终止、解除或撤销，任何一方均不得复制、印刷或通过任何形式向任何第三方传播对方提供的文件、资料等非公开信息以及合作业务中涉及的相关商业信息及客户信息，不得将对方的商业信息及客户信息用于双方合作业务之外的任何目的，无论该等信息是否标注为保密。一方泄密或不正当使用对方商业秘密给对方造成损失的，泄密方应当承担违约责任。</w:t>
      </w:r>
    </w:p>
    <w:p w14:paraId="2C4D6976">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双方应要求相关人员负有同等保密义务。乙方员工、代理人等(以下称“乙方人员”)违反保密义务的行为视为乙方违约，责任由乙方承担。双方应仅向其有必要知晓保密信息的人员披露该保密信息(且仅可披露必要披露部分的保密信息),以实现本协议项下交易之目的。双方均应告知其人员本协议项下保密条款的要求，双方人员违反保密义务的，视为该方违约，需向守约方承担违约责任。</w:t>
      </w:r>
    </w:p>
    <w:p w14:paraId="2D6FBBAA">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本协议项下保密条款具有独立性，保密义务的期限自本协议签署之日起至该信息公开之日，保密义务不因协议终止而失效。</w:t>
      </w:r>
    </w:p>
    <w:p w14:paraId="33A150C0">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zh-CN"/>
        </w:rPr>
        <w:t>十、</w:t>
      </w:r>
      <w:r>
        <w:rPr>
          <w:rFonts w:hint="eastAsia" w:ascii="仿宋_GB2312" w:hAnsi="仿宋_GB2312" w:eastAsia="仿宋_GB2312" w:cs="仿宋_GB2312"/>
          <w:color w:val="auto"/>
          <w:kern w:val="0"/>
          <w:sz w:val="20"/>
          <w:szCs w:val="20"/>
          <w:lang w:val="en-US" w:eastAsia="en-US"/>
        </w:rPr>
        <w:t>反商业贿赂条款</w:t>
      </w:r>
    </w:p>
    <w:p w14:paraId="1BF9FAC6">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1、甲乙双方明确知晓并愿意严格遵守其居住地或经营所在地或其他任何有效适用的反商业贿赂、反腐败的法律法规，双方明确意识到任何形式的贿赂和贪渎行为将触犯法律，并将受到法律的严惩。</w:t>
      </w:r>
    </w:p>
    <w:p w14:paraId="47B073B7">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2、甲乙双方应严格禁止其经办人员的任何商业贿赂行为，不得向对方或对方经办人或其他相关人员索要、收受、提供、给予合同约定外的任何利益，包括但不限于暗扣、现金、购物卡、实物、有价证券、旅游或其他非物质性利益等，但如该等利益属于行业惯例或通常做法，则须在合同中明示。</w:t>
      </w:r>
    </w:p>
    <w:p w14:paraId="68749E2A">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3、甲方或甲方经办人员违反反商业贿赂条款的，乙方有权解除 原合同，不支付任何报酬或要求退还所支付的报酬；或要求甲方继续履行本合同，并向乙方支付相当于原合同总金额5%的违约金，在因本项目从任何第三人处收受未经披露的任何形式的报酬或利益时，还应将该报酬或利益转移给乙方。此外，由此给乙方造成的损失以及可能引起的对第三人的责任，均由甲方承担。乙方同时可向国家有关部门就甲方的行为进行举报，甲方应当履行协助并配合调查等义务。</w:t>
      </w:r>
    </w:p>
    <w:p w14:paraId="0E7661EC">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zh-CN"/>
        </w:rPr>
        <w:t>十一、</w:t>
      </w:r>
      <w:r>
        <w:rPr>
          <w:rFonts w:hint="eastAsia" w:ascii="仿宋_GB2312" w:hAnsi="仿宋_GB2312" w:eastAsia="仿宋_GB2312" w:cs="仿宋_GB2312"/>
          <w:color w:val="auto"/>
          <w:kern w:val="0"/>
          <w:sz w:val="20"/>
          <w:szCs w:val="20"/>
          <w:lang w:val="en-US" w:eastAsia="en-US"/>
        </w:rPr>
        <w:t>反洗钱条款</w:t>
      </w:r>
    </w:p>
    <w:p w14:paraId="4FF1F8DB">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根据《中华人民共和国反洗钱法》《金融机构客户身份识别和客户身份资料及交易记录保存管理办法》及《金融机构反洗钱和反恐怖融资监督管理办法》(中国人民银行令〔2021〕第3号)的有关规定：</w:t>
      </w:r>
    </w:p>
    <w:p w14:paraId="2CC2D7D3">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双方在各自履行客户身份识别义务时，发现下述可疑交易或可疑行为的，应当按照规定向中国人民银行提交可疑交易报告：</w:t>
      </w:r>
    </w:p>
    <w:p w14:paraId="6E4D9990">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zh-CN"/>
        </w:rPr>
        <w:t>（1）</w:t>
      </w:r>
      <w:r>
        <w:rPr>
          <w:rFonts w:hint="eastAsia" w:ascii="仿宋_GB2312" w:hAnsi="仿宋_GB2312" w:eastAsia="仿宋_GB2312" w:cs="仿宋_GB2312"/>
          <w:color w:val="auto"/>
          <w:kern w:val="0"/>
          <w:sz w:val="20"/>
          <w:szCs w:val="20"/>
          <w:lang w:val="en-US" w:eastAsia="en-US"/>
        </w:rPr>
        <w:t>客户拒绝提供有效身份证件或者其他身份证明文件的。</w:t>
      </w:r>
    </w:p>
    <w:p w14:paraId="155D09D3">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zh-CN"/>
        </w:rPr>
        <w:t>（2）</w:t>
      </w:r>
      <w:r>
        <w:rPr>
          <w:rFonts w:hint="eastAsia" w:ascii="仿宋_GB2312" w:hAnsi="仿宋_GB2312" w:eastAsia="仿宋_GB2312" w:cs="仿宋_GB2312"/>
          <w:color w:val="auto"/>
          <w:kern w:val="0"/>
          <w:sz w:val="20"/>
          <w:szCs w:val="20"/>
          <w:lang w:val="en-US" w:eastAsia="en-US"/>
        </w:rPr>
        <w:t>履行客户身份识别义务时发现的其他可疑行为。</w:t>
      </w:r>
    </w:p>
    <w:p w14:paraId="490A3D0A">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金融机构报告上述可疑行为参照《金融机构大额交易和可疑交易报告管理办法》(中国人民银行令〔2016〕第3号发布)及相关规定执行。双方在反洗钱客户身份识别工作中如遇困难，必要时可从对方获取客户有效身份证件或者其他身份证明文件的复印件或影印件。</w:t>
      </w:r>
    </w:p>
    <w:p w14:paraId="66625B09">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zh-CN"/>
        </w:rPr>
        <w:t>十二、</w:t>
      </w:r>
      <w:r>
        <w:rPr>
          <w:rFonts w:hint="eastAsia" w:ascii="仿宋_GB2312" w:hAnsi="仿宋_GB2312" w:eastAsia="仿宋_GB2312" w:cs="仿宋_GB2312"/>
          <w:color w:val="auto"/>
          <w:kern w:val="0"/>
          <w:sz w:val="20"/>
          <w:szCs w:val="20"/>
          <w:lang w:val="en-US" w:eastAsia="en-US"/>
        </w:rPr>
        <w:t>个人信息保护条款</w:t>
      </w:r>
    </w:p>
    <w:p w14:paraId="04DB30C6">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1、双方应依据《中华人民共和国网络安全法》《中华人民共和国数据安全法》《中华人民共和国个人信息保护法》等法律法规要求进行相关数据处理及保护。对于客户个人信息的采集、传输和使用均应符合法律或相关标准的要求，遵循合法、正当、必要的原则，向客户明示收集与使用、储存等处理个人信息的目的、方式、范围、规则和信息类别等，获得客户的书面授权同意，不应欺诈、诱骗，或以默认授权、功能捆绑等方式误导强迫客户提供个人信息；不应隐瞒产品 或服务中所具有的收集个人信息的功能；不应通过非法渠道间接获取个人信息。禁止参与任何干扰、干涉、损害、未授权访问任何终端设备、服务器、网络或者任何第三方(包括用户、合作方以及任何移动网络运营商)的产品和服务的活动。若一方违反前述内容而致使另一方受到主管部门处罚或者最终用户索赔的，其应负责消除受影响方所遭受到的市场不良影响，并赔偿受影响方因此而支付的罚款、用户赔偿以及因此而遭受的其他所有经济损失。</w:t>
      </w:r>
    </w:p>
    <w:p w14:paraId="120C50B3">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2、双方应积极响应个人信息主体基于知情权、决定权、查阅权、复制权、更正权、补充权、删除权等权利提出的请求，并积极协助另一方履行个人信息保护相关法定义务。因任意一方未合理响应个人信息主体的请求，或未积极履行或协助本协议另一方履行个人信息保护义务，致使个人信息主体采取投诉、举报、诉讼等维权行为的，未履行有关义务的一方应当负责处理相关事宜，并赔偿对方损失。</w:t>
      </w:r>
    </w:p>
    <w:p w14:paraId="26863616">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3、甲方向乙方提供客户信息时，应获得个人信息主体的合法、有效的单独授权，授权内容包括但不限于向乙方提供有关个人信息、允许乙方依照与甲方的约定处理有关个人信息。甲方在获得授权时应遵循相关法律法规的要求。</w:t>
      </w:r>
    </w:p>
    <w:p w14:paraId="059E4F80">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zh-CN"/>
        </w:rPr>
        <w:t>十三、</w:t>
      </w:r>
      <w:r>
        <w:rPr>
          <w:rFonts w:hint="eastAsia" w:ascii="仿宋_GB2312" w:hAnsi="仿宋_GB2312" w:eastAsia="仿宋_GB2312" w:cs="仿宋_GB2312"/>
          <w:color w:val="auto"/>
          <w:kern w:val="0"/>
          <w:sz w:val="20"/>
          <w:szCs w:val="20"/>
          <w:lang w:val="en-US" w:eastAsia="en-US"/>
        </w:rPr>
        <w:t>消费者权益保护条款</w:t>
      </w:r>
    </w:p>
    <w:p w14:paraId="7521D75D">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1、甲方的权利和义务</w:t>
      </w:r>
    </w:p>
    <w:p w14:paraId="3989D204">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甲方有权通过现场检查、问卷调查、客户回访、数据分析等方式对乙方的消费者权益保护情况进行监督，如发现乙方在消费者权益保护方面存在缺陷，甲方有权要求乙方进行服务整改。</w:t>
      </w:r>
    </w:p>
    <w:p w14:paraId="2E91214E">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2、乙方的权利和义务</w:t>
      </w:r>
    </w:p>
    <w:p w14:paraId="4FE64923">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(1)乙方应遵守国家有关消费者权益保护相关法律法规、保险监管规定、保险行业自律规范及本协议约定，充分履行消费者权益保护主体责任，保障消费者合法权益，包括但不限于以下八项基本权益：</w:t>
      </w:r>
    </w:p>
    <w:p w14:paraId="5D93B5D0">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1.人身、财产安全权。不得损害消费者的人身、财产安全。2、自主选择权。尊重消费者自主选择，不得强买强卖、强行搭售产品和服务。</w:t>
      </w:r>
    </w:p>
    <w:p w14:paraId="4B35B4E1">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3、知情权。向消费者如实告知服务事项、服务流程、收费标准等与消费者权益密切相关的重要内容，对消费者可能面临的风险进行提示。</w:t>
      </w:r>
    </w:p>
    <w:p w14:paraId="5F782A49">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4、公平交易权。不得设置不平等的服务和交易条件。</w:t>
      </w:r>
    </w:p>
    <w:p w14:paraId="4DD9898C">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5、依法求偿权。对于因服务质量、服务时效等问题与消费者产生的纠纷，要及时核实反馈，妥善处理避免事态升级。</w:t>
      </w:r>
    </w:p>
    <w:p w14:paraId="75AA8F3C">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6、受教育权。解答消费者对于服务流程、服务标准、技术参数、操作工具等方面的疑问咨询。</w:t>
      </w:r>
    </w:p>
    <w:p w14:paraId="66C81026">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7、受尊重权。尊重消费者的人格尊严、民族风俗习惯等，不得因消费者性别、年龄、种族、民族等进行歧视性差别对待。</w:t>
      </w:r>
    </w:p>
    <w:p w14:paraId="6B1A775A">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en-US"/>
        </w:rPr>
      </w:pPr>
      <w:r>
        <w:rPr>
          <w:rFonts w:hint="eastAsia" w:ascii="仿宋_GB2312" w:hAnsi="仿宋_GB2312" w:eastAsia="仿宋_GB2312" w:cs="仿宋_GB2312"/>
          <w:color w:val="auto"/>
          <w:kern w:val="0"/>
          <w:sz w:val="20"/>
          <w:szCs w:val="20"/>
          <w:lang w:val="en-US" w:eastAsia="en-US"/>
        </w:rPr>
        <w:t>8、信息安全权。保护消费者信息安全，未经合法有效授权，不得将客户信息泄露给第三方。</w:t>
      </w:r>
    </w:p>
    <w:p w14:paraId="34C437E4">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en-US"/>
        </w:rPr>
        <w:t>(2)建立健全消费者投诉协调处理机制，完善投诉处理程序，对于合作过程中发生的客户投诉、诉讼案件等，原则上以被投诉方为主、关联方协助、相互配合做好消费投诉处理，有效化解消费纠纷。</w:t>
      </w:r>
    </w:p>
    <w:p w14:paraId="2DA2C6B4">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outlineLvl w:val="0"/>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十四、其他事项</w:t>
      </w:r>
    </w:p>
    <w:p w14:paraId="1205DF6C">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（一）本合同一式五份，甲方四份，乙方一份，经甲、乙双方签字并盖章后生效，具有同等法律效力。</w:t>
      </w:r>
    </w:p>
    <w:p w14:paraId="395848B8">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（二）合同所有附件均为本合同不可分割的组成部分，与本合同具有同等法律效力。</w:t>
      </w:r>
    </w:p>
    <w:p w14:paraId="382C4277">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（三）甲方招标文件、乙方投标文件均为本合同不可分割的组成部分，与本合同具有同等法律效力。</w:t>
      </w:r>
    </w:p>
    <w:tbl>
      <w:tblPr>
        <w:tblStyle w:val="7"/>
        <w:tblW w:w="8935" w:type="dxa"/>
        <w:jc w:val="center"/>
        <w:tblLayout w:type="fixed"/>
        <w:tblCellMar>
          <w:top w:w="0" w:type="dxa"/>
          <w:left w:w="108" w:type="dxa"/>
          <w:bottom w:w="0" w:type="dxa"/>
          <w:right w:w="108" w:type="dxa"/>
        </w:tblCellMar>
      </w:tblPr>
      <w:tblGrid>
        <w:gridCol w:w="5168"/>
        <w:gridCol w:w="3767"/>
      </w:tblGrid>
      <w:tr w14:paraId="178FBF3B">
        <w:tblPrEx>
          <w:tblCellMar>
            <w:top w:w="0" w:type="dxa"/>
            <w:left w:w="108" w:type="dxa"/>
            <w:bottom w:w="0" w:type="dxa"/>
            <w:right w:w="108" w:type="dxa"/>
          </w:tblCellMar>
        </w:tblPrEx>
        <w:trPr>
          <w:jc w:val="center"/>
        </w:trPr>
        <w:tc>
          <w:tcPr>
            <w:tcW w:w="5168" w:type="dxa"/>
            <w:noWrap w:val="0"/>
            <w:vAlign w:val="center"/>
          </w:tcPr>
          <w:p w14:paraId="392331CC">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甲方：西安石油大学（盖章）</w:t>
            </w:r>
          </w:p>
        </w:tc>
        <w:tc>
          <w:tcPr>
            <w:tcW w:w="3767" w:type="dxa"/>
            <w:noWrap w:val="0"/>
            <w:vAlign w:val="center"/>
          </w:tcPr>
          <w:p w14:paraId="1779B2EA">
            <w:pPr>
              <w:keepNext w:val="0"/>
              <w:keepLines w:val="0"/>
              <w:pageBreakBefore w:val="0"/>
              <w:widowControl/>
              <w:kinsoku/>
              <w:wordWrap/>
              <w:overflowPunct/>
              <w:topLinePunct w:val="0"/>
              <w:autoSpaceDE/>
              <w:autoSpaceDN/>
              <w:bidi w:val="0"/>
              <w:adjustRightInd/>
              <w:snapToGrid/>
              <w:spacing w:after="0" w:line="240" w:lineRule="auto"/>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乙方：XXXX（盖章）</w:t>
            </w:r>
          </w:p>
        </w:tc>
      </w:tr>
      <w:tr w14:paraId="1EC565E4">
        <w:tblPrEx>
          <w:tblCellMar>
            <w:top w:w="0" w:type="dxa"/>
            <w:left w:w="108" w:type="dxa"/>
            <w:bottom w:w="0" w:type="dxa"/>
            <w:right w:w="108" w:type="dxa"/>
          </w:tblCellMar>
        </w:tblPrEx>
        <w:trPr>
          <w:jc w:val="center"/>
        </w:trPr>
        <w:tc>
          <w:tcPr>
            <w:tcW w:w="5168" w:type="dxa"/>
            <w:noWrap w:val="0"/>
            <w:vAlign w:val="center"/>
          </w:tcPr>
          <w:p w14:paraId="55600812">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p>
        </w:tc>
        <w:tc>
          <w:tcPr>
            <w:tcW w:w="3767" w:type="dxa"/>
            <w:noWrap w:val="0"/>
            <w:vAlign w:val="center"/>
          </w:tcPr>
          <w:p w14:paraId="1B67985C">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p>
        </w:tc>
      </w:tr>
      <w:tr w14:paraId="6CCE7B68">
        <w:tblPrEx>
          <w:tblCellMar>
            <w:top w:w="0" w:type="dxa"/>
            <w:left w:w="108" w:type="dxa"/>
            <w:bottom w:w="0" w:type="dxa"/>
            <w:right w:w="108" w:type="dxa"/>
          </w:tblCellMar>
        </w:tblPrEx>
        <w:trPr>
          <w:jc w:val="center"/>
        </w:trPr>
        <w:tc>
          <w:tcPr>
            <w:tcW w:w="5168" w:type="dxa"/>
            <w:noWrap w:val="0"/>
            <w:vAlign w:val="center"/>
          </w:tcPr>
          <w:p w14:paraId="4146C48F">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法定代表人或委托代理人：</w:t>
            </w:r>
          </w:p>
        </w:tc>
        <w:tc>
          <w:tcPr>
            <w:tcW w:w="3767" w:type="dxa"/>
            <w:noWrap w:val="0"/>
            <w:vAlign w:val="center"/>
          </w:tcPr>
          <w:p w14:paraId="100F83C9">
            <w:pPr>
              <w:keepNext w:val="0"/>
              <w:keepLines w:val="0"/>
              <w:pageBreakBefore w:val="0"/>
              <w:widowControl/>
              <w:kinsoku/>
              <w:wordWrap/>
              <w:overflowPunct/>
              <w:topLinePunct w:val="0"/>
              <w:autoSpaceDE/>
              <w:autoSpaceDN/>
              <w:bidi w:val="0"/>
              <w:adjustRightInd/>
              <w:snapToGrid/>
              <w:spacing w:after="0" w:line="240" w:lineRule="auto"/>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法定代表人或委托代理人：</w:t>
            </w:r>
          </w:p>
        </w:tc>
      </w:tr>
      <w:tr w14:paraId="6F673D80">
        <w:tblPrEx>
          <w:tblCellMar>
            <w:top w:w="0" w:type="dxa"/>
            <w:left w:w="108" w:type="dxa"/>
            <w:bottom w:w="0" w:type="dxa"/>
            <w:right w:w="108" w:type="dxa"/>
          </w:tblCellMar>
        </w:tblPrEx>
        <w:trPr>
          <w:jc w:val="center"/>
        </w:trPr>
        <w:tc>
          <w:tcPr>
            <w:tcW w:w="5168" w:type="dxa"/>
            <w:noWrap w:val="0"/>
            <w:vAlign w:val="center"/>
          </w:tcPr>
          <w:p w14:paraId="7D55D80B">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p>
        </w:tc>
        <w:tc>
          <w:tcPr>
            <w:tcW w:w="3767" w:type="dxa"/>
            <w:noWrap w:val="0"/>
            <w:vAlign w:val="center"/>
          </w:tcPr>
          <w:p w14:paraId="594C4F2E">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p>
        </w:tc>
      </w:tr>
      <w:tr w14:paraId="4C971919">
        <w:tblPrEx>
          <w:tblCellMar>
            <w:top w:w="0" w:type="dxa"/>
            <w:left w:w="108" w:type="dxa"/>
            <w:bottom w:w="0" w:type="dxa"/>
            <w:right w:w="108" w:type="dxa"/>
          </w:tblCellMar>
        </w:tblPrEx>
        <w:trPr>
          <w:jc w:val="center"/>
        </w:trPr>
        <w:tc>
          <w:tcPr>
            <w:tcW w:w="5168" w:type="dxa"/>
            <w:noWrap w:val="0"/>
            <w:vAlign w:val="center"/>
          </w:tcPr>
          <w:p w14:paraId="0FD81626">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日期: 2026年XX月XX日</w:t>
            </w:r>
          </w:p>
        </w:tc>
        <w:tc>
          <w:tcPr>
            <w:tcW w:w="3767" w:type="dxa"/>
            <w:noWrap w:val="0"/>
            <w:vAlign w:val="center"/>
          </w:tcPr>
          <w:p w14:paraId="4223ABDB">
            <w:pPr>
              <w:keepNext w:val="0"/>
              <w:keepLines w:val="0"/>
              <w:pageBreakBefore w:val="0"/>
              <w:widowControl/>
              <w:kinsoku/>
              <w:wordWrap/>
              <w:overflowPunct/>
              <w:topLinePunct w:val="0"/>
              <w:autoSpaceDE/>
              <w:autoSpaceDN/>
              <w:bidi w:val="0"/>
              <w:adjustRightInd/>
              <w:snapToGrid/>
              <w:spacing w:after="0" w:line="240" w:lineRule="auto"/>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日期: 2026年XX月XX日</w:t>
            </w:r>
          </w:p>
        </w:tc>
      </w:tr>
    </w:tbl>
    <w:p w14:paraId="76F5A804">
      <w:pPr>
        <w:keepNext w:val="0"/>
        <w:keepLines w:val="0"/>
        <w:pageBreakBefore w:val="0"/>
        <w:widowControl/>
        <w:kinsoku/>
        <w:wordWrap/>
        <w:overflowPunct/>
        <w:topLinePunct w:val="0"/>
        <w:autoSpaceDE/>
        <w:autoSpaceDN/>
        <w:bidi w:val="0"/>
        <w:adjustRightInd/>
        <w:snapToGrid/>
        <w:spacing w:after="0" w:line="240" w:lineRule="auto"/>
        <w:textAlignment w:val="auto"/>
        <w:rPr>
          <w:rFonts w:hint="eastAsia" w:ascii="宋体" w:hAnsi="宋体" w:eastAsia="宋体" w:cs="Times New Roman"/>
          <w:sz w:val="24"/>
          <w:lang w:eastAsia="zh-CN"/>
        </w:rPr>
      </w:pPr>
    </w:p>
    <w:p w14:paraId="5460EC35">
      <w:pPr>
        <w:keepNext w:val="0"/>
        <w:keepLines w:val="0"/>
        <w:pageBreakBefore w:val="0"/>
        <w:widowControl/>
        <w:kinsoku/>
        <w:wordWrap/>
        <w:overflowPunct/>
        <w:topLinePunct w:val="0"/>
        <w:autoSpaceDE/>
        <w:autoSpaceDN/>
        <w:bidi w:val="0"/>
        <w:adjustRightInd/>
        <w:snapToGrid/>
        <w:spacing w:after="0" w:line="240" w:lineRule="auto"/>
        <w:ind w:firstLine="400" w:firstLineChars="200"/>
        <w:textAlignment w:val="auto"/>
        <w:rPr>
          <w:rFonts w:hint="eastAsia" w:ascii="仿宋_GB2312" w:hAnsi="仿宋_GB2312" w:eastAsia="仿宋_GB2312" w:cs="仿宋_GB2312"/>
          <w:color w:val="auto"/>
          <w:kern w:val="0"/>
          <w:sz w:val="20"/>
          <w:szCs w:val="20"/>
          <w:lang w:val="en-US" w:eastAsia="zh-CN"/>
        </w:rPr>
      </w:pPr>
      <w:r>
        <w:rPr>
          <w:rFonts w:hint="eastAsia" w:ascii="仿宋_GB2312" w:hAnsi="仿宋_GB2312" w:eastAsia="仿宋_GB2312" w:cs="仿宋_GB2312"/>
          <w:color w:val="auto"/>
          <w:kern w:val="0"/>
          <w:sz w:val="20"/>
          <w:szCs w:val="20"/>
          <w:lang w:val="en-US" w:eastAsia="zh-CN"/>
        </w:rPr>
        <w:t>（委托代理人须提供委托证明，并加盖公章）</w:t>
      </w:r>
    </w:p>
    <w:p w14:paraId="0A7493DB">
      <w:pPr>
        <w:keepNext w:val="0"/>
        <w:keepLines w:val="0"/>
        <w:pageBreakBefore w:val="0"/>
        <w:widowControl/>
        <w:kinsoku/>
        <w:wordWrap/>
        <w:overflowPunct/>
        <w:topLinePunct w:val="0"/>
        <w:bidi w:val="0"/>
        <w:adjustRightInd/>
        <w:snapToGrid/>
        <w:spacing w:after="0"/>
      </w:pPr>
    </w:p>
    <w:p w14:paraId="067EF010">
      <w:pPr>
        <w:pStyle w:val="11"/>
        <w:keepNext w:val="0"/>
        <w:keepLines w:val="0"/>
        <w:pageBreakBefore w:val="0"/>
        <w:widowControl/>
        <w:kinsoku/>
        <w:wordWrap/>
        <w:overflowPunct/>
        <w:topLinePunct w:val="0"/>
        <w:bidi w:val="0"/>
        <w:adjustRightInd/>
        <w:snapToGrid/>
        <w:rPr>
          <w:rFonts w:hint="eastAsia"/>
          <w:lang w:val="en-US" w:eastAsia="zh-Hans"/>
        </w:rPr>
      </w:pPr>
    </w:p>
    <w:p w14:paraId="344D1EF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0C1957"/>
    <w:rsid w:val="0B0C1957"/>
    <w:rsid w:val="3C8B1D75"/>
    <w:rsid w:val="5D985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jc w:val="both"/>
    </w:pPr>
    <w:rPr>
      <w:rFonts w:ascii="Times New Roman" w:hAnsi="Times New Roman"/>
      <w:sz w:val="21"/>
      <w:szCs w:val="21"/>
    </w:rPr>
  </w:style>
  <w:style w:type="paragraph" w:styleId="3">
    <w:name w:val="Body Text First Indent 2"/>
    <w:basedOn w:val="4"/>
    <w:next w:val="5"/>
    <w:qFormat/>
    <w:uiPriority w:val="0"/>
    <w:pPr>
      <w:ind w:firstLine="420" w:firstLineChars="200"/>
    </w:pPr>
  </w:style>
  <w:style w:type="paragraph" w:styleId="4">
    <w:name w:val="Body Text Indent"/>
    <w:basedOn w:val="1"/>
    <w:next w:val="5"/>
    <w:qFormat/>
    <w:uiPriority w:val="0"/>
    <w:pPr>
      <w:spacing w:after="120" w:afterLines="0" w:afterAutospacing="0"/>
      <w:ind w:left="420" w:leftChars="200"/>
    </w:pPr>
  </w:style>
  <w:style w:type="paragraph" w:styleId="5">
    <w:name w:val="Body Text"/>
    <w:basedOn w:val="1"/>
    <w:qFormat/>
    <w:uiPriority w:val="0"/>
    <w:pPr>
      <w:spacing w:after="120" w:line="257" w:lineRule="auto"/>
    </w:pPr>
  </w:style>
  <w:style w:type="paragraph" w:styleId="6">
    <w:name w:val="Normal (Web)"/>
    <w:basedOn w:val="1"/>
    <w:qFormat/>
    <w:uiPriority w:val="0"/>
    <w:pPr>
      <w:spacing w:beforeAutospacing="1" w:afterAutospacing="1"/>
    </w:pPr>
    <w:rPr>
      <w:rFonts w:cs="Times New Roman"/>
      <w:kern w:val="0"/>
      <w:sz w:val="24"/>
      <w:szCs w:val="24"/>
    </w:rPr>
  </w:style>
  <w:style w:type="table" w:styleId="8">
    <w:name w:val="Table Grid"/>
    <w:basedOn w:val="7"/>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5221</Words>
  <Characters>5342</Characters>
  <Lines>0</Lines>
  <Paragraphs>0</Paragraphs>
  <TotalTime>3</TotalTime>
  <ScaleCrop>false</ScaleCrop>
  <LinksUpToDate>false</LinksUpToDate>
  <CharactersWithSpaces>5411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2026-06-15T09:55:00Z</dcterms:created>
  <dc:creator>侯@_@!</dc:creator>
  <cp:lastModifiedBy>卓佲</cp:lastModifiedBy>
  <dcterms:modified xsi:type="dcterms:W3CDTF">2026-07-06T09:15:13Z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851DC8D8F5FA465BA8D2677459A5CEAA_11</vt:lpwstr>
  </property>
  <property fmtid="{D5CDD505-2E9C-101B-9397-08002B2CF9AE}" pid="4" name="KSOTemplateDocerSaveRecord">
    <vt:lpwstr>eyJoZGlkIjoiMTZkMGRjYWY5NTdjZjIwZWQ3MjYwODY4NGVjNGNiOTciLCJ1c2VySWQiOiIyMzUwOTcyMzUifQ==</vt:lpwstr>
  </property>
</Properties>
</file>