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版本号：MZ2026-CS102320260707001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2026年绿化养护服务外包项目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MZ2026-CS1023</w:t>
      </w:r>
      <w:r>
        <w:br/>
      </w:r>
      <w:r>
        <w:br/>
      </w:r>
      <w:r>
        <w:br/>
      </w:r>
    </w:p>
    <w:p>
      <w:pPr>
        <w:pStyle w:val="null3"/>
        <w:jc w:val="center"/>
        <w:outlineLvl w:val="2"/>
      </w:pPr>
      <w:r>
        <w:rPr>
          <w:rFonts w:ascii="仿宋_GB2312" w:hAnsi="仿宋_GB2312" w:cs="仿宋_GB2312" w:eastAsia="仿宋_GB2312"/>
          <w:sz w:val="28"/>
          <w:b/>
        </w:rPr>
        <w:t>安康学院</w:t>
      </w:r>
    </w:p>
    <w:p>
      <w:pPr>
        <w:pStyle w:val="null3"/>
        <w:jc w:val="center"/>
        <w:outlineLvl w:val="2"/>
      </w:pPr>
      <w:r>
        <w:rPr>
          <w:rFonts w:ascii="仿宋_GB2312" w:hAnsi="仿宋_GB2312" w:cs="仿宋_GB2312" w:eastAsia="仿宋_GB2312"/>
          <w:sz w:val="28"/>
          <w:b/>
        </w:rPr>
        <w:t>陕西明正招标有限公司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安康学院</w:t>
      </w:r>
      <w:r>
        <w:rPr>
          <w:rFonts w:ascii="仿宋_GB2312" w:hAnsi="仿宋_GB2312" w:cs="仿宋_GB2312" w:eastAsia="仿宋_GB2312"/>
        </w:rPr>
        <w:t>委托，拟对</w:t>
      </w:r>
      <w:r>
        <w:rPr>
          <w:rFonts w:ascii="仿宋_GB2312" w:hAnsi="仿宋_GB2312" w:cs="仿宋_GB2312" w:eastAsia="仿宋_GB2312"/>
        </w:rPr>
        <w:t>2026年绿化养护服务外包项目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MZ2026-CS1023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2026年绿化养护服务外包项目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我校现有绿化总面积约20.15万平方米（不含水体），其中：江南校区：约4.5万平方米；江北校区：约15.6493万平方米；植物种类：约100余种。 日常养护主要涵盖修剪、施肥、病虫害防治、苗木涂白、浇水、与绿化养护相关的应急处置等工作；结合我校二级学院相关专业课，接纳学生深度参与校园绿化养护实践，指派专业园艺师现场指导实习，将校园绿化养护作为学生专业实践教学的重要内容。 本项目费用包括但不限于人员劳务费、肥料费用、药品费用、劳保、工具、园林机械等，其余与本项目实施相关的所有费用。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采购包1（安康学院2026年绿化养护服务外包）：属于专门面向中小企业采购。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或2025年度经审计完整的财务审计报告（成立时间至提交投标文件截止时间不足一年的可提供成立后任意时段的资产负债表），或其开标前六个月内银行出具的资信证明（附基本开户行开户证明资料）。</w:t>
      </w:r>
    </w:p>
    <w:p>
      <w:pPr>
        <w:pStyle w:val="null3"/>
      </w:pPr>
      <w:r>
        <w:rPr>
          <w:rFonts w:ascii="仿宋_GB2312" w:hAnsi="仿宋_GB2312" w:cs="仿宋_GB2312" w:eastAsia="仿宋_GB2312"/>
        </w:rPr>
        <w:t>3、税收缴纳证明：投标人须提供2025年5月至今已缴纳的至少一个月纳税证明或完税证明，依法免税的单位应提供相关证明材料。（以税款所属期限为准）</w:t>
      </w:r>
    </w:p>
    <w:p>
      <w:pPr>
        <w:pStyle w:val="null3"/>
      </w:pPr>
      <w:r>
        <w:rPr>
          <w:rFonts w:ascii="仿宋_GB2312" w:hAnsi="仿宋_GB2312" w:cs="仿宋_GB2312" w:eastAsia="仿宋_GB2312"/>
        </w:rPr>
        <w:t>4、社会保障资金缴纳证明：投标人须提供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5、法定代表人授权书：非法定代表人参加投标的，须提供法定代表人委托授权书及被授权人身份证复印件，法定代表人参加投标时,需提供法定代表人身份证复印件及法定代表人身份证明书；</w:t>
      </w:r>
    </w:p>
    <w:p>
      <w:pPr>
        <w:pStyle w:val="null3"/>
      </w:pPr>
      <w:r>
        <w:rPr>
          <w:rFonts w:ascii="仿宋_GB2312" w:hAnsi="仿宋_GB2312" w:cs="仿宋_GB2312" w:eastAsia="仿宋_GB2312"/>
        </w:rPr>
        <w:t>6、无重大违法声明：投标人应出具参加本次政府采购活动前3年内在经营活动中没有重大违法违纪，以及未被列入失信被执行人、重大税收违法案件当事人名单、政府采购严重违法失信行为记录名单的书面声明。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7、本项目不接受联合体磋商：非联合体磋商声明</w:t>
      </w:r>
    </w:p>
    <w:p>
      <w:pPr>
        <w:pStyle w:val="null3"/>
      </w:pPr>
      <w:r>
        <w:rPr>
          <w:rFonts w:ascii="仿宋_GB2312" w:hAnsi="仿宋_GB2312" w:cs="仿宋_GB2312" w:eastAsia="仿宋_GB2312"/>
        </w:rPr>
        <w:t>8、本项目专门面向中小企业采购：供应商需提供中小企业声明函。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安康学院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陕西省安康市育才路92号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725000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安康学院经办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15249153096、0915-3288097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陕西省西安市雁塔区陕西省西安市雁塔区二环南路西段88号老三届世纪星大厦30层AB座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代洋 韩微 王雪娟 乔艳 韩乐乐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029-87551608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考《国家计委关于印发〈招标代理服务费管理暂行办法〉的通知》（计价格【2002】1980号）、《国家发展和改革委员会办公厅关于招标代理服务收费有关问题的通知》（发改办价格〔2003〕857号）规定下浮50%收取，不足6000元按6000元收取。具体金额将在结果公告中公布。 成交单位的代理服务费交纳信息 银行户名：陕西明正招标有限公司 开户银行：招商银行股份有限公司西安白沙路支行 账 号：129907967910101 联系人：韩乐乐 联系电话：029-87551611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踏勘时间：2026-07-17 15:00:00</w:t>
            </w:r>
          </w:p>
          <w:p>
            <w:pPr>
              <w:pStyle w:val="null3"/>
              <w:ind w:firstLine="975"/>
            </w:pPr>
            <w:r>
              <w:rPr>
                <w:rFonts w:ascii="仿宋_GB2312" w:hAnsi="仿宋_GB2312" w:cs="仿宋_GB2312" w:eastAsia="仿宋_GB2312"/>
              </w:rPr>
              <w:t>踏勘地点：安康学院江南校区（投标人如认为有必要进行现场踏勘，请自行按照规定时间带上单位介绍信在学校门口集合。过时不予接待！）</w:t>
            </w:r>
          </w:p>
          <w:p>
            <w:pPr>
              <w:pStyle w:val="null3"/>
              <w:ind w:firstLine="975"/>
            </w:pPr>
            <w:r>
              <w:rPr>
                <w:rFonts w:ascii="仿宋_GB2312" w:hAnsi="仿宋_GB2312" w:cs="仿宋_GB2312" w:eastAsia="仿宋_GB2312"/>
              </w:rPr>
              <w:t>联系人：陈老师</w:t>
            </w:r>
          </w:p>
          <w:p>
            <w:pPr>
              <w:pStyle w:val="null3"/>
              <w:ind w:firstLine="975"/>
            </w:pPr>
            <w:r>
              <w:rPr>
                <w:rFonts w:ascii="仿宋_GB2312" w:hAnsi="仿宋_GB2312" w:cs="仿宋_GB2312" w:eastAsia="仿宋_GB2312"/>
              </w:rPr>
              <w:t>联系电话号码：15249153096</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安康学院</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安康学院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安康学院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陕西明正招标有限公司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联系人：代洋</w:t>
      </w:r>
    </w:p>
    <w:p>
      <w:pPr>
        <w:pStyle w:val="null3"/>
      </w:pPr>
      <w:r>
        <w:rPr>
          <w:rFonts w:ascii="仿宋_GB2312" w:hAnsi="仿宋_GB2312" w:cs="仿宋_GB2312" w:eastAsia="仿宋_GB2312"/>
        </w:rPr>
        <w:t>联系电话：029-87551608</w:t>
      </w:r>
    </w:p>
    <w:p>
      <w:pPr>
        <w:pStyle w:val="null3"/>
      </w:pPr>
      <w:r>
        <w:rPr>
          <w:rFonts w:ascii="仿宋_GB2312" w:hAnsi="仿宋_GB2312" w:cs="仿宋_GB2312" w:eastAsia="仿宋_GB2312"/>
        </w:rPr>
        <w:t>地址：西安市雁塔区二环南路西段88号老三届世纪星大厦30层AB座</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我校现有绿化总面积约20.15万平方米（不含水体），其中：江南校区：约4.5万平方米；江北校区：约15.6493万平方米；植物种类：约100余种。 日常养护主要涵盖修剪、施肥、病虫害防治、苗木涂白、浇水、与绿化养护相关的应急处置等工作；结合我校二级学院相关专业课，接纳学生深度参与校园绿化养护实践，指派专业园艺师现场指导实习，将校园绿化养护作为学生专业实践教学的重要内容。 本项目费用包括但不限于人员劳务费、肥料费用、药品费用、劳保、工具、园林机械等，其余与本项目实施相关的所有费用。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安康学院2026年绿化养护服务外包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标的名称：安康学院2026年绿化养护服务外包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41"/>
              <w:gridCol w:w="194"/>
              <w:gridCol w:w="163"/>
              <w:gridCol w:w="168"/>
              <w:gridCol w:w="1876"/>
            </w:tblGrid>
            <w:tr>
              <w:tc>
                <w:tcPr>
                  <w:tcW w:type="dxa" w:w="1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服务内容</w:t>
                  </w:r>
                </w:p>
              </w:tc>
              <w:tc>
                <w:tcPr>
                  <w:tcW w:type="dxa" w:w="1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是否核</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心要求</w:t>
                  </w:r>
                </w:p>
              </w:tc>
              <w:tc>
                <w:tcPr>
                  <w:tcW w:type="dxa" w:w="1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参数</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序号</w:t>
                  </w:r>
                </w:p>
              </w:tc>
              <w:tc>
                <w:tcPr>
                  <w:tcW w:type="dxa" w:w="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参数性质</w:t>
                  </w:r>
                </w:p>
              </w:tc>
              <w:tc>
                <w:tcPr>
                  <w:tcW w:type="dxa" w:w="18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具体服务要求</w:t>
                  </w:r>
                </w:p>
              </w:tc>
            </w:tr>
            <w:tr>
              <w:tc>
                <w:tcPr>
                  <w:tcW w:type="dxa" w:w="14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安康学院</w:t>
                  </w:r>
                  <w:r>
                    <w:rPr>
                      <w:rFonts w:ascii="仿宋_GB2312" w:hAnsi="仿宋_GB2312" w:cs="仿宋_GB2312" w:eastAsia="仿宋_GB2312"/>
                      <w:sz w:val="20"/>
                      <w:color w:val="000000"/>
                    </w:rPr>
                    <w:t>2026年绿化养护服务外包</w:t>
                  </w: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是</w:t>
                  </w:r>
                </w:p>
              </w:tc>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基本绿化养护</w:t>
                  </w:r>
                  <w:r>
                    <w:rPr>
                      <w:rFonts w:ascii="仿宋_GB2312" w:hAnsi="仿宋_GB2312" w:cs="仿宋_GB2312" w:eastAsia="仿宋_GB2312"/>
                      <w:sz w:val="20"/>
                      <w:color w:val="000000"/>
                    </w:rPr>
                    <w:t>★</w:t>
                  </w:r>
                </w:p>
              </w:tc>
              <w:tc>
                <w:tcPr>
                  <w:tcW w:type="dxa" w:w="18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color w:val="000000"/>
                    </w:rPr>
                    <w:t>一、服务地点</w:t>
                  </w:r>
                </w:p>
                <w:p>
                  <w:pPr>
                    <w:pStyle w:val="null3"/>
                  </w:pPr>
                  <w:r>
                    <w:rPr>
                      <w:rFonts w:ascii="仿宋_GB2312" w:hAnsi="仿宋_GB2312" w:cs="仿宋_GB2312" w:eastAsia="仿宋_GB2312"/>
                      <w:sz w:val="20"/>
                      <w:color w:val="000000"/>
                    </w:rPr>
                    <w:t>安康学院江南校区、江北校区。</w:t>
                  </w:r>
                </w:p>
                <w:p>
                  <w:pPr>
                    <w:pStyle w:val="null3"/>
                  </w:pPr>
                  <w:r>
                    <w:rPr>
                      <w:rFonts w:ascii="仿宋_GB2312" w:hAnsi="仿宋_GB2312" w:cs="仿宋_GB2312" w:eastAsia="仿宋_GB2312"/>
                      <w:sz w:val="20"/>
                      <w:b/>
                      <w:color w:val="000000"/>
                    </w:rPr>
                    <w:t>二、服务期限</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①绿化养护服务期为一年（自2026年8月1日起至2027年7月31日止）。</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②在预算不变、服务内容不变的前提下，可续签二年，合同一年一签，累计履行期限不超过三年（根据《财政部关于推进和完善服务项目政府采购有关问题的通知》 (财库(2014)37 号)有关规定，本项目在合同期满前，采购人将对中标人 进行考核，根据服务满意程度，采购人有权决定是否续签合同，累计合同履行期限不超过 3 年）。</w:t>
                  </w:r>
                </w:p>
                <w:p>
                  <w:pPr>
                    <w:pStyle w:val="null3"/>
                  </w:pPr>
                  <w:r>
                    <w:rPr>
                      <w:rFonts w:ascii="仿宋_GB2312" w:hAnsi="仿宋_GB2312" w:cs="仿宋_GB2312" w:eastAsia="仿宋_GB2312"/>
                      <w:sz w:val="20"/>
                      <w:b/>
                      <w:color w:val="000000"/>
                    </w:rPr>
                    <w:t>三、服务内容、标准与要求</w:t>
                  </w:r>
                </w:p>
                <w:p>
                  <w:pPr>
                    <w:pStyle w:val="null3"/>
                  </w:pPr>
                  <w:r>
                    <w:rPr>
                      <w:rFonts w:ascii="仿宋_GB2312" w:hAnsi="仿宋_GB2312" w:cs="仿宋_GB2312" w:eastAsia="仿宋_GB2312"/>
                      <w:sz w:val="20"/>
                      <w:color w:val="000000"/>
                    </w:rPr>
                    <w:t>（一）总体要求</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确保校园内现有植物生长正常，枝繁叶茂，无大面积枯黄、枯死现象；保持植物造型美观，与周边环境和谐；绿地内无大面积杂草、无杂物、无病虫害暴发，无倒伏、枯枝伤人等安全隐患。</w:t>
                  </w:r>
                </w:p>
                <w:p>
                  <w:pPr>
                    <w:pStyle w:val="null3"/>
                  </w:pPr>
                  <w:r>
                    <w:rPr>
                      <w:rFonts w:ascii="仿宋_GB2312" w:hAnsi="仿宋_GB2312" w:cs="仿宋_GB2312" w:eastAsia="仿宋_GB2312"/>
                      <w:sz w:val="20"/>
                      <w:color w:val="000000"/>
                    </w:rPr>
                    <w:t>（二）绿化养护主要内容（按季度）</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一季度：苗木修剪，绿化带内枯草清理，苗木施肥，病虫害防治等。</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二季度：绿植进入萌芽展叶和生长旺期，重点抓好病虫害防治，根据天气情况适时浇水。</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三季度：高温多雨且暴风雨频繁，杂草生长快，需持续除草、疏松土壤、防治病虫害；干旱时灌溉抗旱，多雨时注意防涝；及时检查并扶正倒伏树木。</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四季度：气温下降，抓好病虫害防治；清理草坪杂草，对球类、绿篱等进行整形修剪；部分绿植及乔灌木陆续进入休眠期，做好御寒工作，对部分树木进行涂白、防寒保暖；负责校园内盆景的日常养护。</w:t>
                  </w:r>
                </w:p>
                <w:p>
                  <w:pPr>
                    <w:pStyle w:val="null3"/>
                  </w:pPr>
                  <w:r>
                    <w:rPr>
                      <w:rFonts w:ascii="仿宋_GB2312" w:hAnsi="仿宋_GB2312" w:cs="仿宋_GB2312" w:eastAsia="仿宋_GB2312"/>
                      <w:sz w:val="20"/>
                      <w:b/>
                      <w:color w:val="000000"/>
                    </w:rPr>
                    <w:t>四、绿化养护服务标准（根据《园林绿化养护标准》（</w:t>
                  </w:r>
                  <w:r>
                    <w:rPr>
                      <w:rFonts w:ascii="仿宋_GB2312" w:hAnsi="仿宋_GB2312" w:cs="仿宋_GB2312" w:eastAsia="仿宋_GB2312"/>
                      <w:sz w:val="20"/>
                      <w:b/>
                      <w:color w:val="000000"/>
                    </w:rPr>
                    <w:t>CJJ/T 287-2018）及行业实践）</w:t>
                  </w:r>
                </w:p>
                <w:p>
                  <w:pPr>
                    <w:pStyle w:val="null3"/>
                  </w:pPr>
                  <w:r>
                    <w:rPr>
                      <w:rFonts w:ascii="仿宋_GB2312" w:hAnsi="仿宋_GB2312" w:cs="仿宋_GB2312" w:eastAsia="仿宋_GB2312"/>
                      <w:sz w:val="20"/>
                      <w:color w:val="000000"/>
                    </w:rPr>
                    <w:t>1. 植物生长势：</w:t>
                  </w:r>
                </w:p>
                <w:p>
                  <w:pPr>
                    <w:pStyle w:val="null3"/>
                  </w:pPr>
                  <w:r>
                    <w:rPr>
                      <w:rFonts w:ascii="仿宋_GB2312" w:hAnsi="仿宋_GB2312" w:cs="仿宋_GB2312" w:eastAsia="仿宋_GB2312"/>
                      <w:sz w:val="20"/>
                      <w:color w:val="000000"/>
                    </w:rPr>
                    <w:t>①乔木：树冠完整，生长良好，无枯死枝，无明显焦叶、黄叶。</w:t>
                  </w:r>
                </w:p>
                <w:p>
                  <w:pPr>
                    <w:pStyle w:val="null3"/>
                  </w:pPr>
                  <w:r>
                    <w:rPr>
                      <w:rFonts w:ascii="仿宋_GB2312" w:hAnsi="仿宋_GB2312" w:cs="仿宋_GB2312" w:eastAsia="仿宋_GB2312"/>
                      <w:sz w:val="20"/>
                      <w:color w:val="000000"/>
                    </w:rPr>
                    <w:t>②灌木：株形正常，生长势好，无明显枯死枝，开花结果正常。</w:t>
                  </w:r>
                </w:p>
                <w:p>
                  <w:pPr>
                    <w:pStyle w:val="null3"/>
                  </w:pPr>
                  <w:r>
                    <w:rPr>
                      <w:rFonts w:ascii="仿宋_GB2312" w:hAnsi="仿宋_GB2312" w:cs="仿宋_GB2312" w:eastAsia="仿宋_GB2312"/>
                      <w:sz w:val="20"/>
                      <w:color w:val="000000"/>
                    </w:rPr>
                    <w:t>③草坪/地被：覆盖率需≥95%，基本无斑秃。草坪生长整齐，无明显黄化或徒长，杂草控制在可见但不形成危害的程度。</w:t>
                  </w:r>
                </w:p>
                <w:p>
                  <w:pPr>
                    <w:pStyle w:val="null3"/>
                  </w:pPr>
                  <w:r>
                    <w:rPr>
                      <w:rFonts w:ascii="仿宋_GB2312" w:hAnsi="仿宋_GB2312" w:cs="仿宋_GB2312" w:eastAsia="仿宋_GB2312"/>
                      <w:sz w:val="20"/>
                      <w:color w:val="000000"/>
                    </w:rPr>
                    <w:t>④花卉：花期一致，无明显缺株、倒伏，观赏效果较好。</w:t>
                  </w:r>
                </w:p>
                <w:p>
                  <w:pPr>
                    <w:pStyle w:val="null3"/>
                  </w:pPr>
                  <w:r>
                    <w:rPr>
                      <w:rFonts w:ascii="仿宋_GB2312" w:hAnsi="仿宋_GB2312" w:cs="仿宋_GB2312" w:eastAsia="仿宋_GB2312"/>
                      <w:sz w:val="20"/>
                      <w:color w:val="000000"/>
                    </w:rPr>
                    <w:t>2. 修剪要求：</w:t>
                  </w:r>
                </w:p>
                <w:p>
                  <w:pPr>
                    <w:pStyle w:val="null3"/>
                  </w:pPr>
                  <w:r>
                    <w:rPr>
                      <w:rFonts w:ascii="仿宋_GB2312" w:hAnsi="仿宋_GB2312" w:cs="仿宋_GB2312" w:eastAsia="仿宋_GB2312"/>
                      <w:sz w:val="20"/>
                      <w:color w:val="000000"/>
                    </w:rPr>
                    <w:t>①乔木：每年至少2次全面修剪，部分区域根据需要随时修剪，消除枯死枝、病虫枝、下垂枝、交叉枝，保持树冠通风透光。</w:t>
                  </w:r>
                </w:p>
                <w:p>
                  <w:pPr>
                    <w:pStyle w:val="null3"/>
                  </w:pPr>
                  <w:r>
                    <w:rPr>
                      <w:rFonts w:ascii="仿宋_GB2312" w:hAnsi="仿宋_GB2312" w:cs="仿宋_GB2312" w:eastAsia="仿宋_GB2312"/>
                      <w:sz w:val="20"/>
                      <w:color w:val="000000"/>
                    </w:rPr>
                    <w:t>②灌木：视生长情况每年修剪3-4次，保持株形美观，花后及时剪除残花。</w:t>
                  </w:r>
                </w:p>
                <w:p>
                  <w:pPr>
                    <w:pStyle w:val="null3"/>
                  </w:pPr>
                  <w:r>
                    <w:rPr>
                      <w:rFonts w:ascii="仿宋_GB2312" w:hAnsi="仿宋_GB2312" w:cs="仿宋_GB2312" w:eastAsia="仿宋_GB2312"/>
                      <w:sz w:val="20"/>
                      <w:color w:val="000000"/>
                    </w:rPr>
                    <w:t>①草坪：保持平整，高度一般控制在6-10cm，冷季型草生长旺季随时修剪，</w:t>
                  </w:r>
                </w:p>
                <w:p>
                  <w:pPr>
                    <w:pStyle w:val="null3"/>
                  </w:pPr>
                  <w:r>
                    <w:rPr>
                      <w:rFonts w:ascii="仿宋_GB2312" w:hAnsi="仿宋_GB2312" w:cs="仿宋_GB2312" w:eastAsia="仿宋_GB2312"/>
                      <w:sz w:val="20"/>
                      <w:color w:val="000000"/>
                    </w:rPr>
                    <w:t>②绿篱/造型植物：每年修剪不少于4次，保持线条清晰、面平线直。</w:t>
                  </w:r>
                </w:p>
                <w:p>
                  <w:pPr>
                    <w:pStyle w:val="null3"/>
                  </w:pPr>
                  <w:r>
                    <w:rPr>
                      <w:rFonts w:ascii="仿宋_GB2312" w:hAnsi="仿宋_GB2312" w:cs="仿宋_GB2312" w:eastAsia="仿宋_GB2312"/>
                      <w:sz w:val="20"/>
                      <w:color w:val="000000"/>
                    </w:rPr>
                    <w:t>3. 浇水与排水</w:t>
                  </w:r>
                </w:p>
                <w:p>
                  <w:pPr>
                    <w:pStyle w:val="null3"/>
                  </w:pPr>
                  <w:r>
                    <w:rPr>
                      <w:rFonts w:ascii="仿宋_GB2312" w:hAnsi="仿宋_GB2312" w:cs="仿宋_GB2312" w:eastAsia="仿宋_GB2312"/>
                      <w:sz w:val="20"/>
                      <w:color w:val="000000"/>
                    </w:rPr>
                    <w:t>①适时适量：根据天气、土壤和植物特性浇水不出现大面积干旱萎蔫。</w:t>
                  </w:r>
                </w:p>
                <w:p>
                  <w:pPr>
                    <w:pStyle w:val="null3"/>
                  </w:pPr>
                  <w:r>
                    <w:rPr>
                      <w:rFonts w:ascii="仿宋_GB2312" w:hAnsi="仿宋_GB2312" w:cs="仿宋_GB2312" w:eastAsia="仿宋_GB2312"/>
                      <w:sz w:val="20"/>
                      <w:color w:val="000000"/>
                    </w:rPr>
                    <w:t>②防涝：暴雨后及时检查，确保绿地无明显积水。</w:t>
                  </w:r>
                </w:p>
                <w:p>
                  <w:pPr>
                    <w:pStyle w:val="null3"/>
                  </w:pPr>
                  <w:r>
                    <w:rPr>
                      <w:rFonts w:ascii="仿宋_GB2312" w:hAnsi="仿宋_GB2312" w:cs="仿宋_GB2312" w:eastAsia="仿宋_GB2312"/>
                      <w:sz w:val="20"/>
                      <w:color w:val="000000"/>
                    </w:rPr>
                    <w:t>4. 施肥</w:t>
                  </w:r>
                </w:p>
                <w:p>
                  <w:pPr>
                    <w:pStyle w:val="null3"/>
                  </w:pPr>
                  <w:r>
                    <w:rPr>
                      <w:rFonts w:ascii="仿宋_GB2312" w:hAnsi="仿宋_GB2312" w:cs="仿宋_GB2312" w:eastAsia="仿宋_GB2312"/>
                      <w:sz w:val="20"/>
                      <w:color w:val="000000"/>
                    </w:rPr>
                    <w:t>定期施肥：主要施促生长肥，确保植物正常生长所需的养分。</w:t>
                  </w:r>
                </w:p>
                <w:p>
                  <w:pPr>
                    <w:pStyle w:val="null3"/>
                  </w:pPr>
                  <w:r>
                    <w:rPr>
                      <w:rFonts w:ascii="仿宋_GB2312" w:hAnsi="仿宋_GB2312" w:cs="仿宋_GB2312" w:eastAsia="仿宋_GB2312"/>
                      <w:sz w:val="20"/>
                      <w:color w:val="000000"/>
                    </w:rPr>
                    <w:t>5. 病虫害防治</w:t>
                  </w:r>
                </w:p>
                <w:p>
                  <w:pPr>
                    <w:pStyle w:val="null3"/>
                  </w:pPr>
                  <w:r>
                    <w:rPr>
                      <w:rFonts w:ascii="仿宋_GB2312" w:hAnsi="仿宋_GB2312" w:cs="仿宋_GB2312" w:eastAsia="仿宋_GB2312"/>
                      <w:sz w:val="20"/>
                      <w:color w:val="000000"/>
                    </w:rPr>
                    <w:t>①有病虫害发生时，合理使用药剂，优先选用生物、低毒农药，严禁高毒高残留。</w:t>
                  </w:r>
                </w:p>
                <w:p>
                  <w:pPr>
                    <w:pStyle w:val="null3"/>
                  </w:pPr>
                  <w:r>
                    <w:rPr>
                      <w:rFonts w:ascii="仿宋_GB2312" w:hAnsi="仿宋_GB2312" w:cs="仿宋_GB2312" w:eastAsia="仿宋_GB2312"/>
                      <w:sz w:val="20"/>
                      <w:color w:val="000000"/>
                    </w:rPr>
                    <w:t>②对食叶害虫、蛀干害虫、真菌病害等，需在初发期及时挑治或普防，不扩散成灾。</w:t>
                  </w:r>
                </w:p>
                <w:p>
                  <w:pPr>
                    <w:pStyle w:val="null3"/>
                  </w:pPr>
                  <w:r>
                    <w:rPr>
                      <w:rFonts w:ascii="仿宋_GB2312" w:hAnsi="仿宋_GB2312" w:cs="仿宋_GB2312" w:eastAsia="仿宋_GB2312"/>
                      <w:sz w:val="20"/>
                      <w:color w:val="000000"/>
                    </w:rPr>
                    <w:t>6. 除草与松土</w:t>
                  </w:r>
                </w:p>
                <w:p>
                  <w:pPr>
                    <w:pStyle w:val="null3"/>
                  </w:pPr>
                  <w:r>
                    <w:rPr>
                      <w:rFonts w:ascii="仿宋_GB2312" w:hAnsi="仿宋_GB2312" w:cs="仿宋_GB2312" w:eastAsia="仿宋_GB2312"/>
                      <w:sz w:val="20"/>
                      <w:color w:val="000000"/>
                    </w:rPr>
                    <w:t>①绿地内无明显杂草，尤其是藤蔓类、高杆类恶性杂草必须清除。一般性杂草的量不能影响景观面。</w:t>
                  </w:r>
                </w:p>
                <w:p>
                  <w:pPr>
                    <w:pStyle w:val="null3"/>
                  </w:pPr>
                  <w:r>
                    <w:rPr>
                      <w:rFonts w:ascii="仿宋_GB2312" w:hAnsi="仿宋_GB2312" w:cs="仿宋_GB2312" w:eastAsia="仿宋_GB2312"/>
                      <w:sz w:val="20"/>
                      <w:color w:val="000000"/>
                    </w:rPr>
                    <w:t>②乔灌木树穴及花灌木根部应适时松土，保持土壤透气性。</w:t>
                  </w:r>
                </w:p>
                <w:p>
                  <w:pPr>
                    <w:pStyle w:val="null3"/>
                  </w:pPr>
                  <w:r>
                    <w:rPr>
                      <w:rFonts w:ascii="仿宋_GB2312" w:hAnsi="仿宋_GB2312" w:cs="仿宋_GB2312" w:eastAsia="仿宋_GB2312"/>
                      <w:sz w:val="20"/>
                      <w:color w:val="000000"/>
                    </w:rPr>
                    <w:t>7. 补植与调整</w:t>
                  </w:r>
                </w:p>
                <w:p>
                  <w:pPr>
                    <w:pStyle w:val="null3"/>
                  </w:pPr>
                  <w:r>
                    <w:rPr>
                      <w:rFonts w:ascii="仿宋_GB2312" w:hAnsi="仿宋_GB2312" w:cs="仿宋_GB2312" w:eastAsia="仿宋_GB2312"/>
                      <w:sz w:val="20"/>
                      <w:color w:val="000000"/>
                    </w:rPr>
                    <w:t>①及时按原品种补植，保证景观的完整性。补植成活率一般≥95%。</w:t>
                  </w:r>
                </w:p>
                <w:p>
                  <w:pPr>
                    <w:pStyle w:val="null3"/>
                  </w:pPr>
                  <w:r>
                    <w:rPr>
                      <w:rFonts w:ascii="仿宋_GB2312" w:hAnsi="仿宋_GB2312" w:cs="仿宋_GB2312" w:eastAsia="仿宋_GB2312"/>
                      <w:sz w:val="20"/>
                      <w:color w:val="000000"/>
                    </w:rPr>
                    <w:t>8. 保洁与环境卫生</w:t>
                  </w:r>
                </w:p>
                <w:p>
                  <w:pPr>
                    <w:pStyle w:val="null3"/>
                  </w:pPr>
                  <w:r>
                    <w:rPr>
                      <w:rFonts w:ascii="仿宋_GB2312" w:hAnsi="仿宋_GB2312" w:cs="仿宋_GB2312" w:eastAsia="仿宋_GB2312"/>
                      <w:sz w:val="20"/>
                      <w:color w:val="000000"/>
                    </w:rPr>
                    <w:t>①绿地保持清洁，无砖石瓦块、无生活垃圾堆积。</w:t>
                  </w:r>
                </w:p>
                <w:p>
                  <w:pPr>
                    <w:pStyle w:val="null3"/>
                  </w:pPr>
                  <w:r>
                    <w:rPr>
                      <w:rFonts w:ascii="仿宋_GB2312" w:hAnsi="仿宋_GB2312" w:cs="仿宋_GB2312" w:eastAsia="仿宋_GB2312"/>
                      <w:sz w:val="20"/>
                      <w:color w:val="000000"/>
                    </w:rPr>
                    <w:t>②枯枝落叶按需清理：重点区域（如主路两侧、草坪）的落叶需随时清理不能堆积成病源或火灾隐患。</w:t>
                  </w:r>
                </w:p>
                <w:p>
                  <w:pPr>
                    <w:pStyle w:val="null3"/>
                  </w:pPr>
                  <w:r>
                    <w:rPr>
                      <w:rFonts w:ascii="仿宋_GB2312" w:hAnsi="仿宋_GB2312" w:cs="仿宋_GB2312" w:eastAsia="仿宋_GB2312"/>
                      <w:sz w:val="20"/>
                      <w:color w:val="000000"/>
                    </w:rPr>
                    <w:t>③修剪产生的绿化垃圾要求随产随清，做到工完场清。</w:t>
                  </w:r>
                </w:p>
                <w:p>
                  <w:pPr>
                    <w:pStyle w:val="null3"/>
                  </w:pPr>
                  <w:r>
                    <w:rPr>
                      <w:rFonts w:ascii="仿宋_GB2312" w:hAnsi="仿宋_GB2312" w:cs="仿宋_GB2312" w:eastAsia="仿宋_GB2312"/>
                      <w:sz w:val="20"/>
                      <w:color w:val="000000"/>
                    </w:rPr>
                    <w:t>9. 设施维护与安全</w:t>
                  </w:r>
                </w:p>
                <w:p>
                  <w:pPr>
                    <w:pStyle w:val="null3"/>
                  </w:pPr>
                  <w:r>
                    <w:rPr>
                      <w:rFonts w:ascii="仿宋_GB2312" w:hAnsi="仿宋_GB2312" w:cs="仿宋_GB2312" w:eastAsia="仿宋_GB2312"/>
                      <w:sz w:val="20"/>
                      <w:color w:val="000000"/>
                    </w:rPr>
                    <w:t>①易倒伏树木有合理支撑；防寒、防风、防晒措施及时到位，。</w:t>
                  </w:r>
                </w:p>
                <w:p>
                  <w:pPr>
                    <w:pStyle w:val="null3"/>
                  </w:pPr>
                  <w:r>
                    <w:rPr>
                      <w:rFonts w:ascii="仿宋_GB2312" w:hAnsi="仿宋_GB2312" w:cs="仿宋_GB2312" w:eastAsia="仿宋_GB2312"/>
                      <w:sz w:val="20"/>
                      <w:color w:val="000000"/>
                    </w:rPr>
                    <w:t>②作业过程中安全警示、文明施工措施到位。</w:t>
                  </w:r>
                </w:p>
              </w:tc>
            </w:tr>
            <w:tr>
              <w:tc>
                <w:tcPr>
                  <w:tcW w:type="dxa" w:w="141"/>
                  <w:vMerge/>
                  <w:tcBorders>
                    <w:top w:val="none" w:color="000000" w:sz="4"/>
                    <w:left w:val="single" w:color="000000" w:sz="4"/>
                    <w:bottom w:val="single" w:color="000000" w:sz="4"/>
                    <w:right w:val="single" w:color="000000" w:sz="4"/>
                  </w:tcBorders>
                </w:tcP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是</w:t>
                  </w:r>
                </w:p>
              </w:tc>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工作调度与文明作业</w:t>
                  </w:r>
                </w:p>
                <w:p>
                  <w:pPr>
                    <w:pStyle w:val="null3"/>
                    <w:jc w:val="center"/>
                  </w:pPr>
                  <w:r>
                    <w:rPr>
                      <w:rFonts w:ascii="仿宋_GB2312" w:hAnsi="仿宋_GB2312" w:cs="仿宋_GB2312" w:eastAsia="仿宋_GB2312"/>
                      <w:sz w:val="20"/>
                      <w:color w:val="000000"/>
                    </w:rPr>
                    <w:t>★</w:t>
                  </w:r>
                </w:p>
              </w:tc>
              <w:tc>
                <w:tcPr>
                  <w:tcW w:type="dxa" w:w="18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1.绿化养护工作人员应服从甲方日常监管、工作安排以及临时性、应急性工作调度；</w:t>
                  </w:r>
                </w:p>
                <w:p>
                  <w:pPr>
                    <w:pStyle w:val="null3"/>
                  </w:pPr>
                  <w:r>
                    <w:rPr>
                      <w:rFonts w:ascii="仿宋_GB2312" w:hAnsi="仿宋_GB2312" w:cs="仿宋_GB2312" w:eastAsia="仿宋_GB2312"/>
                      <w:sz w:val="20"/>
                      <w:color w:val="000000"/>
                    </w:rPr>
                    <w:t>2.作业过程中应保证自身及他人安全，避免影响正常教学秩序；</w:t>
                  </w:r>
                </w:p>
                <w:p>
                  <w:pPr>
                    <w:pStyle w:val="null3"/>
                  </w:pPr>
                  <w:r>
                    <w:rPr>
                      <w:rFonts w:ascii="仿宋_GB2312" w:hAnsi="仿宋_GB2312" w:cs="仿宋_GB2312" w:eastAsia="仿宋_GB2312"/>
                      <w:sz w:val="20"/>
                      <w:color w:val="000000"/>
                    </w:rPr>
                    <w:t>3.机械操作符合安全规范，减少噪音；</w:t>
                  </w:r>
                </w:p>
                <w:p>
                  <w:pPr>
                    <w:pStyle w:val="null3"/>
                  </w:pPr>
                  <w:r>
                    <w:rPr>
                      <w:rFonts w:ascii="仿宋_GB2312" w:hAnsi="仿宋_GB2312" w:cs="仿宋_GB2312" w:eastAsia="仿宋_GB2312"/>
                      <w:sz w:val="20"/>
                      <w:color w:val="000000"/>
                    </w:rPr>
                    <w:t>4.修剪、除草、浇水、施肥等作业完成后及时清理场地，做到工完场清；</w:t>
                  </w:r>
                </w:p>
                <w:p>
                  <w:pPr>
                    <w:pStyle w:val="null3"/>
                  </w:pPr>
                  <w:r>
                    <w:rPr>
                      <w:rFonts w:ascii="仿宋_GB2312" w:hAnsi="仿宋_GB2312" w:cs="仿宋_GB2312" w:eastAsia="仿宋_GB2312"/>
                      <w:sz w:val="20"/>
                      <w:color w:val="000000"/>
                    </w:rPr>
                    <w:t>5.不得损坏非养护范围内的设施。</w:t>
                  </w:r>
                </w:p>
              </w:tc>
            </w:tr>
            <w:tr>
              <w:tc>
                <w:tcPr>
                  <w:tcW w:type="dxa" w:w="141"/>
                  <w:vMerge/>
                  <w:tcBorders>
                    <w:top w:val="none" w:color="000000" w:sz="4"/>
                    <w:left w:val="single" w:color="000000" w:sz="4"/>
                    <w:bottom w:val="single" w:color="000000" w:sz="4"/>
                    <w:right w:val="single" w:color="000000" w:sz="4"/>
                  </w:tcBorders>
                </w:tcP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是</w:t>
                  </w:r>
                </w:p>
              </w:tc>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产教融合</w:t>
                  </w:r>
                </w:p>
                <w:p>
                  <w:pPr>
                    <w:pStyle w:val="null3"/>
                    <w:jc w:val="center"/>
                  </w:pPr>
                  <w:r>
                    <w:rPr>
                      <w:rFonts w:ascii="仿宋_GB2312" w:hAnsi="仿宋_GB2312" w:cs="仿宋_GB2312" w:eastAsia="仿宋_GB2312"/>
                      <w:sz w:val="20"/>
                      <w:color w:val="000000"/>
                    </w:rPr>
                    <w:t>★</w:t>
                  </w:r>
                </w:p>
              </w:tc>
              <w:tc>
                <w:tcPr>
                  <w:tcW w:type="dxa" w:w="18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pPr>
                  <w:r>
                    <w:rPr>
                      <w:rFonts w:ascii="仿宋_GB2312" w:hAnsi="仿宋_GB2312" w:cs="仿宋_GB2312" w:eastAsia="仿宋_GB2312"/>
                      <w:sz w:val="20"/>
                      <w:color w:val="000000"/>
                    </w:rPr>
                    <w:t>1.学生实践教学配合：中标企业应结合我校</w:t>
                  </w:r>
                  <w:r>
                    <w:rPr>
                      <w:rFonts w:ascii="仿宋_GB2312" w:hAnsi="仿宋_GB2312" w:cs="仿宋_GB2312" w:eastAsia="仿宋_GB2312"/>
                      <w:sz w:val="20"/>
                      <w:color w:val="000000"/>
                    </w:rPr>
                    <w:t>二级学院相关</w:t>
                  </w:r>
                  <w:r>
                    <w:rPr>
                      <w:rFonts w:ascii="仿宋_GB2312" w:hAnsi="仿宋_GB2312" w:cs="仿宋_GB2312" w:eastAsia="仿宋_GB2312"/>
                      <w:sz w:val="20"/>
                      <w:color w:val="000000"/>
                    </w:rPr>
                    <w:t>专业课，接纳学生深度参与校园绿化养护实践，指派专业园艺师现场指导实习，将校园绿化养护作为学生专业实践教学的重要内容（具体方案由供应商商二级学院拟定）。</w:t>
                  </w:r>
                </w:p>
                <w:p>
                  <w:pPr>
                    <w:pStyle w:val="null3"/>
                    <w:spacing w:before="240"/>
                  </w:pPr>
                  <w:r>
                    <w:rPr>
                      <w:rFonts w:ascii="仿宋_GB2312" w:hAnsi="仿宋_GB2312" w:cs="仿宋_GB2312" w:eastAsia="仿宋_GB2312"/>
                      <w:sz w:val="20"/>
                      <w:color w:val="000000"/>
                    </w:rPr>
                    <w:t>2.绿化养护学生实践费</w:t>
                  </w:r>
                </w:p>
                <w:p>
                  <w:pPr>
                    <w:pStyle w:val="null3"/>
                    <w:spacing w:before="240"/>
                  </w:pPr>
                  <w:r>
                    <w:rPr>
                      <w:rFonts w:ascii="仿宋_GB2312" w:hAnsi="仿宋_GB2312" w:cs="仿宋_GB2312" w:eastAsia="仿宋_GB2312"/>
                      <w:sz w:val="20"/>
                      <w:color w:val="000000"/>
                    </w:rPr>
                    <w:t>（</w:t>
                  </w:r>
                  <w:r>
                    <w:rPr>
                      <w:rFonts w:ascii="仿宋_GB2312" w:hAnsi="仿宋_GB2312" w:cs="仿宋_GB2312" w:eastAsia="仿宋_GB2312"/>
                      <w:sz w:val="20"/>
                      <w:color w:val="000000"/>
                    </w:rPr>
                    <w:t>1）本费用包含在中标合同价内，30000.00元/年（根据绿化实践工作组织实施情况，每半年支付一次）。</w:t>
                  </w:r>
                </w:p>
                <w:p>
                  <w:pPr>
                    <w:pStyle w:val="null3"/>
                    <w:spacing w:before="240"/>
                  </w:pPr>
                  <w:r>
                    <w:rPr>
                      <w:rFonts w:ascii="仿宋_GB2312" w:hAnsi="仿宋_GB2312" w:cs="仿宋_GB2312" w:eastAsia="仿宋_GB2312"/>
                      <w:sz w:val="20"/>
                      <w:color w:val="000000"/>
                    </w:rPr>
                    <w:t>（</w:t>
                  </w:r>
                  <w:r>
                    <w:rPr>
                      <w:rFonts w:ascii="仿宋_GB2312" w:hAnsi="仿宋_GB2312" w:cs="仿宋_GB2312" w:eastAsia="仿宋_GB2312"/>
                      <w:sz w:val="20"/>
                      <w:color w:val="000000"/>
                    </w:rPr>
                    <w:t>2）支付时乙方应提供相关材料，包括但不限于组织师生参与校园绿化养护相关的劳务、劳保等费用支出，并附银行流水等支撑材料，确保师生绿化实践环节有效落实。</w:t>
                  </w:r>
                </w:p>
                <w:p>
                  <w:pPr>
                    <w:pStyle w:val="null3"/>
                    <w:spacing w:before="240"/>
                  </w:pPr>
                  <w:r>
                    <w:rPr>
                      <w:rFonts w:ascii="仿宋_GB2312" w:hAnsi="仿宋_GB2312" w:cs="仿宋_GB2312" w:eastAsia="仿宋_GB2312"/>
                      <w:sz w:val="20"/>
                      <w:color w:val="000000"/>
                    </w:rPr>
                    <w:t>（</w:t>
                  </w:r>
                  <w:r>
                    <w:rPr>
                      <w:rFonts w:ascii="仿宋_GB2312" w:hAnsi="仿宋_GB2312" w:cs="仿宋_GB2312" w:eastAsia="仿宋_GB2312"/>
                      <w:sz w:val="20"/>
                      <w:color w:val="000000"/>
                    </w:rPr>
                    <w:t>此项费用包含在供应商总报价中，</w:t>
                  </w:r>
                  <w:r>
                    <w:rPr>
                      <w:rFonts w:ascii="仿宋_GB2312" w:hAnsi="仿宋_GB2312" w:cs="仿宋_GB2312" w:eastAsia="仿宋_GB2312"/>
                      <w:sz w:val="20"/>
                      <w:color w:val="000000"/>
                    </w:rPr>
                    <w:t>供应商在填</w:t>
                  </w:r>
                  <w:r>
                    <w:rPr>
                      <w:rFonts w:ascii="仿宋_GB2312" w:hAnsi="仿宋_GB2312" w:cs="仿宋_GB2312" w:eastAsia="仿宋_GB2312"/>
                      <w:sz w:val="20"/>
                      <w:color w:val="000000"/>
                    </w:rPr>
                    <w:t>报</w:t>
                  </w:r>
                  <w:r>
                    <w:rPr>
                      <w:rFonts w:ascii="仿宋_GB2312" w:hAnsi="仿宋_GB2312" w:cs="仿宋_GB2312" w:eastAsia="仿宋_GB2312"/>
                      <w:sz w:val="20"/>
                      <w:color w:val="000000"/>
                    </w:rPr>
                    <w:t>分项报价时将此项单独列出，</w:t>
                  </w:r>
                  <w:r>
                    <w:rPr>
                      <w:rFonts w:ascii="仿宋_GB2312" w:hAnsi="仿宋_GB2312" w:cs="仿宋_GB2312" w:eastAsia="仿宋_GB2312"/>
                      <w:sz w:val="20"/>
                      <w:color w:val="000000"/>
                    </w:rPr>
                    <w:t>此部分不实施不予以支付</w:t>
                  </w:r>
                  <w:r>
                    <w:rPr>
                      <w:rFonts w:ascii="仿宋_GB2312" w:hAnsi="仿宋_GB2312" w:cs="仿宋_GB2312" w:eastAsia="仿宋_GB2312"/>
                      <w:sz w:val="20"/>
                      <w:color w:val="000000"/>
                    </w:rPr>
                    <w:t>）。</w:t>
                  </w:r>
                </w:p>
              </w:tc>
            </w:tr>
            <w:tr>
              <w:tc>
                <w:tcPr>
                  <w:tcW w:type="dxa" w:w="141"/>
                  <w:vMerge/>
                  <w:tcBorders>
                    <w:top w:val="none" w:color="000000" w:sz="4"/>
                    <w:left w:val="single" w:color="000000" w:sz="4"/>
                    <w:bottom w:val="single" w:color="000000" w:sz="4"/>
                    <w:right w:val="single" w:color="000000" w:sz="4"/>
                  </w:tcBorders>
                </w:tcP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w:t>
                  </w:r>
                </w:p>
              </w:tc>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其他事项</w:t>
                  </w:r>
                </w:p>
                <w:p>
                  <w:pPr>
                    <w:pStyle w:val="null3"/>
                    <w:jc w:val="center"/>
                  </w:pPr>
                  <w:r>
                    <w:rPr>
                      <w:rFonts w:ascii="仿宋_GB2312" w:hAnsi="仿宋_GB2312" w:cs="仿宋_GB2312" w:eastAsia="仿宋_GB2312"/>
                      <w:sz w:val="20"/>
                      <w:color w:val="000000"/>
                    </w:rPr>
                    <w:t>▲</w:t>
                  </w:r>
                </w:p>
              </w:tc>
              <w:tc>
                <w:tcPr>
                  <w:tcW w:type="dxa" w:w="18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b/>
                      <w:color w:val="000000"/>
                    </w:rPr>
                    <w:t>一、人员与驻校管理</w:t>
                  </w:r>
                </w:p>
                <w:p>
                  <w:pPr>
                    <w:pStyle w:val="null3"/>
                  </w:pPr>
                  <w:r>
                    <w:rPr>
                      <w:rFonts w:ascii="仿宋_GB2312" w:hAnsi="仿宋_GB2312" w:cs="仿宋_GB2312" w:eastAsia="仿宋_GB2312"/>
                      <w:sz w:val="20"/>
                      <w:color w:val="000000"/>
                    </w:rPr>
                    <w:t>①供应商须指定项目经理，全年驻校工作，要求身体健康、无违法犯罪记录。</w:t>
                  </w:r>
                </w:p>
                <w:p>
                  <w:pPr>
                    <w:pStyle w:val="null3"/>
                  </w:pPr>
                  <w:r>
                    <w:rPr>
                      <w:rFonts w:ascii="仿宋_GB2312" w:hAnsi="仿宋_GB2312" w:cs="仿宋_GB2312" w:eastAsia="仿宋_GB2312"/>
                      <w:sz w:val="20"/>
                      <w:color w:val="000000"/>
                    </w:rPr>
                    <w:t>②供应商安排的日常养护人员须具备一定专业基础，服从采购人日常监管和工作安排。</w:t>
                  </w:r>
                </w:p>
                <w:p>
                  <w:pPr>
                    <w:pStyle w:val="null3"/>
                  </w:pPr>
                  <w:r>
                    <w:rPr>
                      <w:rFonts w:ascii="仿宋_GB2312" w:hAnsi="仿宋_GB2312" w:cs="仿宋_GB2312" w:eastAsia="仿宋_GB2312"/>
                      <w:sz w:val="20"/>
                      <w:color w:val="000000"/>
                    </w:rPr>
                    <w:t>③供应商安排的工作人员工作期间统一着装，热情服务，接受采购人监督及考评。</w:t>
                  </w:r>
                </w:p>
                <w:p>
                  <w:pPr>
                    <w:pStyle w:val="null3"/>
                  </w:pPr>
                  <w:r>
                    <w:rPr>
                      <w:rFonts w:ascii="仿宋_GB2312" w:hAnsi="仿宋_GB2312" w:cs="仿宋_GB2312" w:eastAsia="仿宋_GB2312"/>
                      <w:sz w:val="20"/>
                      <w:b/>
                      <w:color w:val="000000"/>
                    </w:rPr>
                    <w:t>二、培训与制度遵守</w:t>
                  </w:r>
                </w:p>
                <w:p>
                  <w:pPr>
                    <w:pStyle w:val="null3"/>
                  </w:pPr>
                  <w:r>
                    <w:rPr>
                      <w:rFonts w:ascii="仿宋_GB2312" w:hAnsi="仿宋_GB2312" w:cs="仿宋_GB2312" w:eastAsia="仿宋_GB2312"/>
                      <w:sz w:val="20"/>
                      <w:color w:val="000000"/>
                    </w:rPr>
                    <w:t>①供应商须每月组织全体员工进行安全教育、业务知识等培训。</w:t>
                  </w:r>
                </w:p>
                <w:p>
                  <w:pPr>
                    <w:pStyle w:val="null3"/>
                  </w:pPr>
                  <w:r>
                    <w:rPr>
                      <w:rFonts w:ascii="仿宋_GB2312" w:hAnsi="仿宋_GB2312" w:cs="仿宋_GB2312" w:eastAsia="仿宋_GB2312"/>
                      <w:sz w:val="20"/>
                      <w:color w:val="000000"/>
                    </w:rPr>
                    <w:t>②供应商安排的全体人员须遵守国家法律法规、学校规章制度及疫情防控要求（如有）。</w:t>
                  </w:r>
                </w:p>
                <w:p>
                  <w:pPr>
                    <w:pStyle w:val="null3"/>
                  </w:pPr>
                  <w:r>
                    <w:rPr>
                      <w:rFonts w:ascii="仿宋_GB2312" w:hAnsi="仿宋_GB2312" w:cs="仿宋_GB2312" w:eastAsia="仿宋_GB2312"/>
                      <w:sz w:val="20"/>
                      <w:b/>
                      <w:color w:val="000000"/>
                    </w:rPr>
                    <w:t>三、员工保障（全部包含在中标合同价内）</w:t>
                  </w:r>
                </w:p>
                <w:p>
                  <w:pPr>
                    <w:pStyle w:val="null3"/>
                  </w:pPr>
                  <w:r>
                    <w:rPr>
                      <w:rFonts w:ascii="仿宋_GB2312" w:hAnsi="仿宋_GB2312" w:cs="仿宋_GB2312" w:eastAsia="仿宋_GB2312"/>
                      <w:sz w:val="20"/>
                      <w:color w:val="000000"/>
                    </w:rPr>
                    <w:t>①供应商须承担绿化人员的：工资、福利、社会保险、意外事故或伤亡责任；劳保用品、工具、园林机械等全部费用。</w:t>
                  </w:r>
                </w:p>
                <w:p>
                  <w:pPr>
                    <w:pStyle w:val="null3"/>
                  </w:pPr>
                  <w:r>
                    <w:rPr>
                      <w:rFonts w:ascii="仿宋_GB2312" w:hAnsi="仿宋_GB2312" w:cs="仿宋_GB2312" w:eastAsia="仿宋_GB2312"/>
                      <w:sz w:val="20"/>
                      <w:b/>
                      <w:color w:val="000000"/>
                    </w:rPr>
                    <w:t>四、特殊工作与费用分担</w:t>
                  </w:r>
                </w:p>
                <w:p>
                  <w:pPr>
                    <w:pStyle w:val="null3"/>
                  </w:pPr>
                  <w:r>
                    <w:rPr>
                      <w:rFonts w:ascii="仿宋_GB2312" w:hAnsi="仿宋_GB2312" w:cs="仿宋_GB2312" w:eastAsia="仿宋_GB2312"/>
                      <w:sz w:val="20"/>
                      <w:color w:val="000000"/>
                    </w:rPr>
                    <w:t>①植树节活动配合：配合完成树坑开挖、技术指导、浇水等，苗木成本费由采购人承担，其它费用由供应商承担。</w:t>
                  </w:r>
                </w:p>
                <w:p>
                  <w:pPr>
                    <w:pStyle w:val="null3"/>
                  </w:pPr>
                  <w:r>
                    <w:rPr>
                      <w:rFonts w:ascii="仿宋_GB2312" w:hAnsi="仿宋_GB2312" w:cs="仿宋_GB2312" w:eastAsia="仿宋_GB2312"/>
                      <w:sz w:val="20"/>
                      <w:color w:val="000000"/>
                    </w:rPr>
                    <w:t>②高大树木修剪（15米以上）：因客观原因需要修剪时，机械设备租赁使用费由采购人承担其它费用（人工、工器具、保险、第三方经济损失等）由供应商承担。</w:t>
                  </w:r>
                </w:p>
                <w:p>
                  <w:pPr>
                    <w:pStyle w:val="null3"/>
                  </w:pPr>
                  <w:r>
                    <w:rPr>
                      <w:rFonts w:ascii="仿宋_GB2312" w:hAnsi="仿宋_GB2312" w:cs="仿宋_GB2312" w:eastAsia="仿宋_GB2312"/>
                      <w:sz w:val="20"/>
                      <w:b/>
                      <w:color w:val="000000"/>
                    </w:rPr>
                    <w:t>五、垃圾处置要求</w:t>
                  </w:r>
                </w:p>
                <w:p>
                  <w:pPr>
                    <w:pStyle w:val="null3"/>
                  </w:pPr>
                  <w:r>
                    <w:rPr>
                      <w:rFonts w:ascii="仿宋_GB2312" w:hAnsi="仿宋_GB2312" w:cs="仿宋_GB2312" w:eastAsia="仿宋_GB2312"/>
                      <w:sz w:val="20"/>
                      <w:color w:val="000000"/>
                    </w:rPr>
                    <w:t>①有色垃圾：绿化带内捡拾的有色垃圾，清运至校园生活垃圾存放点。</w:t>
                  </w:r>
                </w:p>
                <w:p>
                  <w:pPr>
                    <w:pStyle w:val="null3"/>
                  </w:pPr>
                  <w:r>
                    <w:rPr>
                      <w:rFonts w:ascii="仿宋_GB2312" w:hAnsi="仿宋_GB2312" w:cs="仿宋_GB2312" w:eastAsia="仿宋_GB2312"/>
                      <w:sz w:val="20"/>
                      <w:color w:val="000000"/>
                    </w:rPr>
                    <w:t>②绿化废弃物（枝、叶、草）及砖石瓦块：由供应商清运至校外自行处置，费用由供应商承担。</w:t>
                  </w:r>
                </w:p>
                <w:p>
                  <w:pPr>
                    <w:pStyle w:val="null3"/>
                  </w:pPr>
                  <w:r>
                    <w:rPr>
                      <w:rFonts w:ascii="仿宋_GB2312" w:hAnsi="仿宋_GB2312" w:cs="仿宋_GB2312" w:eastAsia="仿宋_GB2312"/>
                      <w:sz w:val="20"/>
                      <w:color w:val="000000"/>
                    </w:rPr>
                    <w:t>③人为破坏与障碍物处理：</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发现堆物堆料、搭棚侵占绿地，应及时制止；行道树上的钉栓刻画，须及时劝阻或清理</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；绿地内堆放石灰、腐蚀性物品的，应立即清除，防止烧伤腐蚀苗木草坪。</w:t>
                  </w:r>
                </w:p>
                <w:p>
                  <w:pPr>
                    <w:pStyle w:val="null3"/>
                  </w:pPr>
                  <w:r>
                    <w:rPr>
                      <w:rFonts w:ascii="仿宋_GB2312" w:hAnsi="仿宋_GB2312" w:cs="仿宋_GB2312" w:eastAsia="仿宋_GB2312"/>
                      <w:sz w:val="20"/>
                      <w:b/>
                      <w:color w:val="000000"/>
                    </w:rPr>
                    <w:t>六、绿植损坏死亡的责任界定</w:t>
                  </w:r>
                </w:p>
                <w:p>
                  <w:pPr>
                    <w:pStyle w:val="null3"/>
                  </w:pPr>
                  <w:r>
                    <w:rPr>
                      <w:rFonts w:ascii="仿宋_GB2312" w:hAnsi="仿宋_GB2312" w:cs="仿宋_GB2312" w:eastAsia="仿宋_GB2312"/>
                      <w:sz w:val="20"/>
                      <w:color w:val="000000"/>
                    </w:rPr>
                    <w:t>①因供应商养护原因造成的苗木死亡将由供应商承担苗木成本费、人工费等所有费用。</w:t>
                  </w:r>
                </w:p>
                <w:p>
                  <w:pPr>
                    <w:pStyle w:val="null3"/>
                  </w:pPr>
                  <w:r>
                    <w:rPr>
                      <w:rFonts w:ascii="仿宋_GB2312" w:hAnsi="仿宋_GB2312" w:cs="仿宋_GB2312" w:eastAsia="仿宋_GB2312"/>
                      <w:sz w:val="20"/>
                      <w:color w:val="000000"/>
                    </w:rPr>
                    <w:t>②非供应商养护原因（如工程建设、设施设备维修、极端天气、自然灾害等）将由采购人承担苗木成本费、人工费等所有费用。</w:t>
                  </w:r>
                </w:p>
                <w:p>
                  <w:pPr>
                    <w:pStyle w:val="null3"/>
                  </w:pPr>
                  <w:r>
                    <w:rPr>
                      <w:rFonts w:ascii="仿宋_GB2312" w:hAnsi="仿宋_GB2312" w:cs="仿宋_GB2312" w:eastAsia="仿宋_GB2312"/>
                      <w:sz w:val="20"/>
                      <w:color w:val="000000"/>
                    </w:rPr>
                    <w:t>③对于有争议性或不能完全界定责任的双方协商。</w:t>
                  </w:r>
                </w:p>
                <w:p>
                  <w:pPr>
                    <w:pStyle w:val="null3"/>
                  </w:pPr>
                  <w:r>
                    <w:rPr>
                      <w:rFonts w:ascii="仿宋_GB2312" w:hAnsi="仿宋_GB2312" w:cs="仿宋_GB2312" w:eastAsia="仿宋_GB2312"/>
                      <w:sz w:val="20"/>
                      <w:b/>
                      <w:color w:val="000000"/>
                    </w:rPr>
                    <w:t>七、水、电与设施使用</w:t>
                  </w:r>
                </w:p>
                <w:p>
                  <w:pPr>
                    <w:pStyle w:val="null3"/>
                  </w:pPr>
                  <w:r>
                    <w:rPr>
                      <w:rFonts w:ascii="仿宋_GB2312" w:hAnsi="仿宋_GB2312" w:cs="仿宋_GB2312" w:eastAsia="仿宋_GB2312"/>
                      <w:sz w:val="20"/>
                      <w:color w:val="000000"/>
                    </w:rPr>
                    <w:t>①绿化养护所需的供水、供电由采购人提供（仅提供接入点）。</w:t>
                  </w:r>
                </w:p>
                <w:p>
                  <w:pPr>
                    <w:pStyle w:val="null3"/>
                  </w:pPr>
                  <w:r>
                    <w:rPr>
                      <w:rFonts w:ascii="仿宋_GB2312" w:hAnsi="仿宋_GB2312" w:cs="仿宋_GB2312" w:eastAsia="仿宋_GB2312"/>
                      <w:sz w:val="20"/>
                      <w:color w:val="000000"/>
                    </w:rPr>
                    <w:t>②现有绿地内的取水设施（快速取水阀、给水管道等），由供应商日常使用、管理、维护及维修。</w:t>
                  </w:r>
                </w:p>
                <w:p>
                  <w:pPr>
                    <w:pStyle w:val="null3"/>
                  </w:pPr>
                  <w:r>
                    <w:rPr>
                      <w:rFonts w:ascii="仿宋_GB2312" w:hAnsi="仿宋_GB2312" w:cs="仿宋_GB2312" w:eastAsia="仿宋_GB2312"/>
                      <w:sz w:val="20"/>
                      <w:b/>
                      <w:color w:val="000000"/>
                    </w:rPr>
                    <w:t>八、采购人提供的场所</w:t>
                  </w:r>
                </w:p>
                <w:p>
                  <w:pPr>
                    <w:pStyle w:val="null3"/>
                  </w:pPr>
                  <w:r>
                    <w:rPr>
                      <w:rFonts w:ascii="仿宋_GB2312" w:hAnsi="仿宋_GB2312" w:cs="仿宋_GB2312" w:eastAsia="仿宋_GB2312"/>
                      <w:sz w:val="20"/>
                      <w:color w:val="000000"/>
                    </w:rPr>
                    <w:t>①采购人无偿提供办公场所1处和工器具房。</w:t>
                  </w:r>
                </w:p>
                <w:p>
                  <w:pPr>
                    <w:pStyle w:val="null3"/>
                  </w:pPr>
                  <w:r>
                    <w:rPr>
                      <w:rFonts w:ascii="仿宋_GB2312" w:hAnsi="仿宋_GB2312" w:cs="仿宋_GB2312" w:eastAsia="仿宋_GB2312"/>
                      <w:sz w:val="20"/>
                      <w:color w:val="000000"/>
                    </w:rPr>
                    <w:t>②供应商工作所需的工具及其他相关设施设备，均自行配备。</w:t>
                  </w:r>
                </w:p>
                <w:p>
                  <w:pPr>
                    <w:pStyle w:val="null3"/>
                  </w:pPr>
                  <w:r>
                    <w:rPr>
                      <w:rFonts w:ascii="仿宋_GB2312" w:hAnsi="仿宋_GB2312" w:cs="仿宋_GB2312" w:eastAsia="仿宋_GB2312"/>
                      <w:sz w:val="20"/>
                      <w:b/>
                      <w:color w:val="000000"/>
                    </w:rPr>
                    <w:t>九、工作调度与临时用工</w:t>
                  </w:r>
                </w:p>
                <w:p>
                  <w:pPr>
                    <w:pStyle w:val="null3"/>
                  </w:pPr>
                  <w:r>
                    <w:rPr>
                      <w:rFonts w:ascii="仿宋_GB2312" w:hAnsi="仿宋_GB2312" w:cs="仿宋_GB2312" w:eastAsia="仿宋_GB2312"/>
                      <w:sz w:val="20"/>
                      <w:color w:val="000000"/>
                    </w:rPr>
                    <w:t>①供应商须接受采购人突发性、应急性、临时性工作调度安排。</w:t>
                  </w:r>
                </w:p>
                <w:p>
                  <w:pPr>
                    <w:pStyle w:val="null3"/>
                  </w:pPr>
                  <w:r>
                    <w:rPr>
                      <w:rFonts w:ascii="仿宋_GB2312" w:hAnsi="仿宋_GB2312" w:cs="仿宋_GB2312" w:eastAsia="仿宋_GB2312"/>
                      <w:sz w:val="20"/>
                      <w:color w:val="000000"/>
                    </w:rPr>
                    <w:t>②超出合同服务范围的临时性用工，由双方协商解决。</w:t>
                  </w:r>
                </w:p>
              </w:tc>
            </w:tr>
            <w:tr>
              <w:tc>
                <w:tcPr>
                  <w:tcW w:type="dxa" w:w="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w:t>
                  </w:r>
                </w:p>
              </w:tc>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考核制度及结果运用</w:t>
                  </w:r>
                </w:p>
              </w:tc>
              <w:tc>
                <w:tcPr>
                  <w:tcW w:type="dxa" w:w="18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1、学校建立绿化养护月考核工作制度和年度考核工作制度。绿化养护月考核工作由后勤处组织实施，安排专人负责，考核结果与服务费的支付相挂钩。年度考核由后勤处组织实施，与服务期限内下一年度绿化养护合同签订挂钩。</w:t>
                  </w:r>
                </w:p>
                <w:p>
                  <w:pPr>
                    <w:pStyle w:val="null3"/>
                    <w:jc w:val="both"/>
                  </w:pPr>
                  <w:r>
                    <w:rPr>
                      <w:rFonts w:ascii="仿宋_GB2312" w:hAnsi="仿宋_GB2312" w:cs="仿宋_GB2312" w:eastAsia="仿宋_GB2312"/>
                      <w:sz w:val="20"/>
                      <w:color w:val="000000"/>
                    </w:rPr>
                    <w:t>2、绿化监管人员要切实加强日常监管和指导工作，做到公正客观赋分评定。</w:t>
                  </w:r>
                </w:p>
                <w:p>
                  <w:pPr>
                    <w:pStyle w:val="null3"/>
                    <w:jc w:val="both"/>
                  </w:pPr>
                  <w:r>
                    <w:rPr>
                      <w:rFonts w:ascii="仿宋_GB2312" w:hAnsi="仿宋_GB2312" w:cs="仿宋_GB2312" w:eastAsia="仿宋_GB2312"/>
                      <w:sz w:val="20"/>
                      <w:color w:val="000000"/>
                    </w:rPr>
                    <w:t>3、绿化监管人员每月根据以上考核内容随机到场进行现场监管，对存在的问题要及时通知绿化养护服务企业进行整改，对不听从甲方安排或整改不到位且情形特别严重的要在考核表备注栏中说明情况。</w:t>
                  </w:r>
                </w:p>
                <w:p>
                  <w:pPr>
                    <w:pStyle w:val="null3"/>
                    <w:jc w:val="both"/>
                  </w:pPr>
                  <w:r>
                    <w:rPr>
                      <w:rFonts w:ascii="仿宋_GB2312" w:hAnsi="仿宋_GB2312" w:cs="仿宋_GB2312" w:eastAsia="仿宋_GB2312"/>
                      <w:sz w:val="20"/>
                      <w:color w:val="000000"/>
                    </w:rPr>
                    <w:t>4、考核标准：每月考核总分为100分。详见考核月考核表。</w:t>
                  </w:r>
                </w:p>
                <w:p>
                  <w:pPr>
                    <w:pStyle w:val="null3"/>
                    <w:jc w:val="both"/>
                  </w:pPr>
                  <w:r>
                    <w:rPr>
                      <w:rFonts w:ascii="仿宋_GB2312" w:hAnsi="仿宋_GB2312" w:cs="仿宋_GB2312" w:eastAsia="仿宋_GB2312"/>
                      <w:sz w:val="20"/>
                      <w:color w:val="000000"/>
                    </w:rPr>
                    <w:t>5、考核结果的运用</w:t>
                  </w:r>
                </w:p>
                <w:p>
                  <w:pPr>
                    <w:pStyle w:val="null3"/>
                    <w:jc w:val="both"/>
                  </w:pPr>
                  <w:r>
                    <w:rPr>
                      <w:rFonts w:ascii="仿宋_GB2312" w:hAnsi="仿宋_GB2312" w:cs="仿宋_GB2312" w:eastAsia="仿宋_GB2312"/>
                      <w:sz w:val="20"/>
                      <w:color w:val="000000"/>
                    </w:rPr>
                    <w:t>合格：月考核总分在</w:t>
                  </w:r>
                  <w:r>
                    <w:rPr>
                      <w:rFonts w:ascii="仿宋_GB2312" w:hAnsi="仿宋_GB2312" w:cs="仿宋_GB2312" w:eastAsia="仿宋_GB2312"/>
                      <w:sz w:val="20"/>
                      <w:color w:val="000000"/>
                    </w:rPr>
                    <w:t>85分以上的评定为合格，月服务费全额支付。</w:t>
                  </w:r>
                </w:p>
                <w:p>
                  <w:pPr>
                    <w:pStyle w:val="null3"/>
                    <w:jc w:val="both"/>
                  </w:pPr>
                  <w:r>
                    <w:rPr>
                      <w:rFonts w:ascii="仿宋_GB2312" w:hAnsi="仿宋_GB2312" w:cs="仿宋_GB2312" w:eastAsia="仿宋_GB2312"/>
                      <w:sz w:val="20"/>
                      <w:color w:val="000000"/>
                    </w:rPr>
                    <w:t>基本合格：月考核总分在</w:t>
                  </w:r>
                  <w:r>
                    <w:rPr>
                      <w:rFonts w:ascii="仿宋_GB2312" w:hAnsi="仿宋_GB2312" w:cs="仿宋_GB2312" w:eastAsia="仿宋_GB2312"/>
                      <w:sz w:val="20"/>
                      <w:color w:val="000000"/>
                    </w:rPr>
                    <w:t>60—84分的为基本合格，月服务费按85％支付。</w:t>
                  </w:r>
                </w:p>
                <w:p>
                  <w:pPr>
                    <w:pStyle w:val="null3"/>
                    <w:jc w:val="both"/>
                  </w:pPr>
                  <w:r>
                    <w:rPr>
                      <w:rFonts w:ascii="仿宋_GB2312" w:hAnsi="仿宋_GB2312" w:cs="仿宋_GB2312" w:eastAsia="仿宋_GB2312"/>
                      <w:sz w:val="20"/>
                      <w:color w:val="000000"/>
                    </w:rPr>
                    <w:t>不合格：月考核总分在</w:t>
                  </w:r>
                  <w:r>
                    <w:rPr>
                      <w:rFonts w:ascii="仿宋_GB2312" w:hAnsi="仿宋_GB2312" w:cs="仿宋_GB2312" w:eastAsia="仿宋_GB2312"/>
                      <w:sz w:val="20"/>
                      <w:color w:val="000000"/>
                    </w:rPr>
                    <w:t>60分以下的为不合格，月服务费按50％支付。</w:t>
                  </w:r>
                </w:p>
                <w:p>
                  <w:pPr>
                    <w:pStyle w:val="null3"/>
                    <w:jc w:val="both"/>
                  </w:pPr>
                  <w:r>
                    <w:rPr>
                      <w:rFonts w:ascii="仿宋_GB2312" w:hAnsi="仿宋_GB2312" w:cs="仿宋_GB2312" w:eastAsia="仿宋_GB2312"/>
                      <w:sz w:val="20"/>
                      <w:color w:val="000000"/>
                    </w:rPr>
                    <w:t>6绿化养护合同解除</w:t>
                  </w:r>
                </w:p>
                <w:p>
                  <w:pPr>
                    <w:pStyle w:val="null3"/>
                    <w:jc w:val="both"/>
                  </w:pPr>
                  <w:r>
                    <w:rPr>
                      <w:rFonts w:ascii="仿宋_GB2312" w:hAnsi="仿宋_GB2312" w:cs="仿宋_GB2312" w:eastAsia="仿宋_GB2312"/>
                      <w:sz w:val="20"/>
                      <w:color w:val="000000"/>
                    </w:rPr>
                    <w:t>出现下列情况之一的，学校与绿化养护服务企业解除合同。</w:t>
                  </w:r>
                </w:p>
                <w:p>
                  <w:pPr>
                    <w:pStyle w:val="null3"/>
                    <w:jc w:val="both"/>
                  </w:pPr>
                  <w:r>
                    <w:rPr>
                      <w:rFonts w:ascii="仿宋_GB2312" w:hAnsi="仿宋_GB2312" w:cs="仿宋_GB2312" w:eastAsia="仿宋_GB2312"/>
                      <w:sz w:val="20"/>
                      <w:color w:val="000000"/>
                    </w:rPr>
                    <w:t>1.年度内出现3次以上月考核基本合格或者2次以上不合格。</w:t>
                  </w:r>
                </w:p>
                <w:p>
                  <w:pPr>
                    <w:pStyle w:val="null3"/>
                    <w:jc w:val="both"/>
                  </w:pPr>
                  <w:r>
                    <w:rPr>
                      <w:rFonts w:ascii="仿宋_GB2312" w:hAnsi="仿宋_GB2312" w:cs="仿宋_GB2312" w:eastAsia="仿宋_GB2312"/>
                      <w:sz w:val="20"/>
                      <w:color w:val="000000"/>
                    </w:rPr>
                    <w:t>2.绿化养护年度考核工作不合格。</w:t>
                  </w:r>
                </w:p>
                <w:p>
                  <w:pPr>
                    <w:pStyle w:val="null3"/>
                    <w:jc w:val="both"/>
                  </w:pPr>
                  <w:r>
                    <w:rPr>
                      <w:rFonts w:ascii="仿宋_GB2312" w:hAnsi="仿宋_GB2312" w:cs="仿宋_GB2312" w:eastAsia="仿宋_GB2312"/>
                      <w:sz w:val="20"/>
                      <w:color w:val="000000"/>
                    </w:rPr>
                    <w:t>3.绿化养护服务期间发生较大的安全事故。</w:t>
                  </w:r>
                </w:p>
                <w:p>
                  <w:pPr>
                    <w:pStyle w:val="null3"/>
                    <w:jc w:val="both"/>
                  </w:pPr>
                  <w:r>
                    <w:rPr>
                      <w:rFonts w:ascii="仿宋_GB2312" w:hAnsi="仿宋_GB2312" w:cs="仿宋_GB2312" w:eastAsia="仿宋_GB2312"/>
                      <w:sz w:val="20"/>
                      <w:color w:val="000000"/>
                    </w:rPr>
                    <w:t>4.绿化养护服务企业的劳务纠纷影响学校校园秩序和稳定工作。</w:t>
                  </w:r>
                </w:p>
              </w:tc>
            </w:tr>
          </w:tbl>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b/>
                <w:color w:val="000000"/>
                <w:u w:val="single"/>
              </w:rPr>
              <w:t xml:space="preserve">    </w:t>
            </w:r>
            <w:r>
              <w:rPr>
                <w:rFonts w:ascii="仿宋_GB2312" w:hAnsi="仿宋_GB2312" w:cs="仿宋_GB2312" w:eastAsia="仿宋_GB2312"/>
                <w:sz w:val="32"/>
                <w:b/>
                <w:color w:val="000000"/>
              </w:rPr>
              <w:t>年</w:t>
            </w:r>
            <w:r>
              <w:rPr>
                <w:rFonts w:ascii="仿宋_GB2312" w:hAnsi="仿宋_GB2312" w:cs="仿宋_GB2312" w:eastAsia="仿宋_GB2312"/>
                <w:sz w:val="21"/>
                <w:b/>
                <w:color w:val="000000"/>
                <w:u w:val="single"/>
              </w:rPr>
              <w:t xml:space="preserve">    </w:t>
            </w:r>
            <w:r>
              <w:rPr>
                <w:rFonts w:ascii="仿宋_GB2312" w:hAnsi="仿宋_GB2312" w:cs="仿宋_GB2312" w:eastAsia="仿宋_GB2312"/>
                <w:sz w:val="32"/>
                <w:b/>
                <w:color w:val="000000"/>
              </w:rPr>
              <w:t>月份绿化养护考核表</w:t>
            </w:r>
          </w:p>
          <w:tbl>
            <w:tblPr>
              <w:tblBorders>
                <w:top w:val="none" w:color="000000" w:sz="4"/>
                <w:left w:val="none" w:color="000000" w:sz="4"/>
                <w:bottom w:val="none" w:color="000000" w:sz="4"/>
                <w:right w:val="none" w:color="000000" w:sz="4"/>
                <w:insideH w:val="none"/>
                <w:insideV w:val="none"/>
              </w:tblBorders>
            </w:tblPr>
            <w:tblGrid>
              <w:gridCol w:w="206"/>
              <w:gridCol w:w="300"/>
              <w:gridCol w:w="1016"/>
              <w:gridCol w:w="223"/>
              <w:gridCol w:w="295"/>
              <w:gridCol w:w="295"/>
              <w:gridCol w:w="210"/>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类别</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工作</w:t>
                  </w:r>
                </w:p>
                <w:p>
                  <w:pPr>
                    <w:pStyle w:val="null3"/>
                    <w:jc w:val="center"/>
                  </w:pPr>
                  <w:r>
                    <w:rPr>
                      <w:rFonts w:ascii="仿宋_GB2312" w:hAnsi="仿宋_GB2312" w:cs="仿宋_GB2312" w:eastAsia="仿宋_GB2312"/>
                      <w:sz w:val="21"/>
                      <w:b/>
                      <w:color w:val="000000"/>
                    </w:rPr>
                    <w:t>项目</w:t>
                  </w:r>
                </w:p>
              </w:tc>
              <w:tc>
                <w:tcPr>
                  <w:tcW w:type="dxa" w:w="10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考核标准</w:t>
                  </w:r>
                  <w:r>
                    <w:rPr>
                      <w:rFonts w:ascii="仿宋_GB2312" w:hAnsi="仿宋_GB2312" w:cs="仿宋_GB2312" w:eastAsia="仿宋_GB2312"/>
                      <w:sz w:val="21"/>
                      <w:b/>
                      <w:color w:val="000000"/>
                    </w:rPr>
                    <w:t>及扣分标准</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考核</w:t>
                  </w:r>
                </w:p>
                <w:p>
                  <w:pPr>
                    <w:pStyle w:val="null3"/>
                    <w:jc w:val="center"/>
                  </w:pPr>
                  <w:r>
                    <w:rPr>
                      <w:rFonts w:ascii="仿宋_GB2312" w:hAnsi="仿宋_GB2312" w:cs="仿宋_GB2312" w:eastAsia="仿宋_GB2312"/>
                      <w:sz w:val="21"/>
                      <w:b/>
                      <w:color w:val="000000"/>
                    </w:rPr>
                    <w:t>方法</w:t>
                  </w:r>
                </w:p>
              </w:tc>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考核</w:t>
                  </w:r>
                </w:p>
                <w:p>
                  <w:pPr>
                    <w:pStyle w:val="null3"/>
                    <w:jc w:val="center"/>
                  </w:pPr>
                  <w:r>
                    <w:rPr>
                      <w:rFonts w:ascii="仿宋_GB2312" w:hAnsi="仿宋_GB2312" w:cs="仿宋_GB2312" w:eastAsia="仿宋_GB2312"/>
                      <w:sz w:val="21"/>
                      <w:b/>
                      <w:color w:val="000000"/>
                    </w:rPr>
                    <w:t>频率</w:t>
                  </w:r>
                </w:p>
              </w:tc>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扣分</w:t>
                  </w:r>
                </w:p>
                <w:p>
                  <w:pPr>
                    <w:pStyle w:val="null3"/>
                    <w:jc w:val="center"/>
                  </w:pPr>
                  <w:r>
                    <w:rPr>
                      <w:rFonts w:ascii="仿宋_GB2312" w:hAnsi="仿宋_GB2312" w:cs="仿宋_GB2312" w:eastAsia="仿宋_GB2312"/>
                      <w:sz w:val="21"/>
                      <w:b/>
                      <w:color w:val="000000"/>
                    </w:rPr>
                    <w:t>情况</w:t>
                  </w: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得分</w:t>
                  </w:r>
                </w:p>
              </w:tc>
            </w:tr>
            <w:tr>
              <w:tc>
                <w:tcPr>
                  <w:tcW w:type="dxa" w:w="2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修剪</w:t>
                  </w:r>
                </w:p>
                <w:p>
                  <w:pPr>
                    <w:pStyle w:val="null3"/>
                    <w:jc w:val="center"/>
                  </w:pPr>
                  <w:r>
                    <w:rPr>
                      <w:rFonts w:ascii="仿宋_GB2312" w:hAnsi="仿宋_GB2312" w:cs="仿宋_GB2312" w:eastAsia="仿宋_GB2312"/>
                      <w:sz w:val="21"/>
                      <w:b/>
                      <w:color w:val="000000"/>
                    </w:rPr>
                    <w:t>30分</w:t>
                  </w:r>
                </w:p>
              </w:tc>
              <w:tc>
                <w:tcPr>
                  <w:tcW w:type="dxa" w:w="3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乔木</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10分）</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绿化基本充分，植物配置合理，树不阻挡车辆和行人通过。（</w:t>
                  </w:r>
                  <w:r>
                    <w:rPr>
                      <w:rFonts w:ascii="仿宋_GB2312" w:hAnsi="仿宋_GB2312" w:cs="仿宋_GB2312" w:eastAsia="仿宋_GB2312"/>
                      <w:sz w:val="21"/>
                      <w:color w:val="000000"/>
                    </w:rPr>
                    <w:t>5分）</w:t>
                  </w:r>
                </w:p>
                <w:p>
                  <w:pPr>
                    <w:pStyle w:val="null3"/>
                  </w:pP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每发现</w:t>
                  </w:r>
                  <w:r>
                    <w:rPr>
                      <w:rFonts w:ascii="仿宋_GB2312" w:hAnsi="仿宋_GB2312" w:cs="仿宋_GB2312" w:eastAsia="仿宋_GB2312"/>
                      <w:sz w:val="21"/>
                      <w:color w:val="000000"/>
                    </w:rPr>
                    <w:t>1处不合格，扣1分最多扣5分。</w:t>
                  </w:r>
                </w:p>
              </w:tc>
              <w:tc>
                <w:tcPr>
                  <w:tcW w:type="dxa" w:w="2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现场实地巡查</w:t>
                  </w:r>
                </w:p>
              </w:tc>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1次/月</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tcBorders>
                    <w:top w:val="none" w:color="000000" w:sz="4"/>
                    <w:left w:val="single" w:color="000000" w:sz="4"/>
                    <w:bottom w:val="single" w:color="000000" w:sz="4"/>
                    <w:right w:val="single" w:color="000000" w:sz="4"/>
                  </w:tcBorders>
                </w:tcPr>
                <w:p/>
              </w:tc>
              <w:tc>
                <w:tcPr>
                  <w:tcW w:type="dxa" w:w="300"/>
                  <w:vMerge/>
                  <w:tcBorders>
                    <w:top w:val="none" w:color="000000" w:sz="4"/>
                    <w:left w:val="single" w:color="000000" w:sz="4"/>
                    <w:bottom w:val="single" w:color="000000" w:sz="4"/>
                    <w:right w:val="single" w:color="000000" w:sz="4"/>
                  </w:tcBorders>
                </w:tcP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主侧枝分布均匀。（</w:t>
                  </w:r>
                  <w:r>
                    <w:rPr>
                      <w:rFonts w:ascii="仿宋_GB2312" w:hAnsi="仿宋_GB2312" w:cs="仿宋_GB2312" w:eastAsia="仿宋_GB2312"/>
                      <w:sz w:val="21"/>
                      <w:color w:val="000000"/>
                    </w:rPr>
                    <w:t>5分）</w:t>
                  </w:r>
                </w:p>
                <w:p>
                  <w:pPr>
                    <w:pStyle w:val="null3"/>
                  </w:pP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每株分布不均匀，扣</w:t>
                  </w:r>
                  <w:r>
                    <w:rPr>
                      <w:rFonts w:ascii="仿宋_GB2312" w:hAnsi="仿宋_GB2312" w:cs="仿宋_GB2312" w:eastAsia="仿宋_GB2312"/>
                      <w:sz w:val="21"/>
                      <w:color w:val="000000"/>
                    </w:rPr>
                    <w:t>1分，最多扣5分。</w:t>
                  </w:r>
                </w:p>
              </w:tc>
              <w:tc>
                <w:tcPr>
                  <w:tcW w:type="dxa" w:w="223"/>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tcBorders>
                    <w:top w:val="none" w:color="000000" w:sz="4"/>
                    <w:left w:val="single" w:color="000000" w:sz="4"/>
                    <w:bottom w:val="single" w:color="000000" w:sz="4"/>
                    <w:right w:val="single" w:color="000000" w:sz="4"/>
                  </w:tcBorders>
                </w:tcPr>
                <w:p/>
              </w:tc>
              <w:tc>
                <w:tcPr>
                  <w:tcW w:type="dxa" w:w="3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灌木</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10分）</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3.树冠基本成型、枝干基本整齐。（5分）</w:t>
                  </w:r>
                </w:p>
                <w:p>
                  <w:pPr>
                    <w:pStyle w:val="null3"/>
                  </w:pP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每株不成型或不整齐，扣</w:t>
                  </w:r>
                  <w:r>
                    <w:rPr>
                      <w:rFonts w:ascii="仿宋_GB2312" w:hAnsi="仿宋_GB2312" w:cs="仿宋_GB2312" w:eastAsia="仿宋_GB2312"/>
                      <w:sz w:val="21"/>
                      <w:color w:val="000000"/>
                    </w:rPr>
                    <w:t>1分，最多扣5分。</w:t>
                  </w:r>
                </w:p>
              </w:tc>
              <w:tc>
                <w:tcPr>
                  <w:tcW w:type="dxa" w:w="2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现场实地巡查</w:t>
                  </w:r>
                </w:p>
              </w:tc>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1次/月</w:t>
                  </w:r>
                </w:p>
              </w:tc>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tcBorders>
                    <w:top w:val="none" w:color="000000" w:sz="4"/>
                    <w:left w:val="single" w:color="000000" w:sz="4"/>
                    <w:bottom w:val="single" w:color="000000" w:sz="4"/>
                    <w:right w:val="single" w:color="000000" w:sz="4"/>
                  </w:tcBorders>
                </w:tcPr>
                <w:p/>
              </w:tc>
              <w:tc>
                <w:tcPr>
                  <w:tcW w:type="dxa" w:w="300"/>
                  <w:vMerge/>
                  <w:tcBorders>
                    <w:top w:val="none" w:color="000000" w:sz="4"/>
                    <w:left w:val="single" w:color="000000" w:sz="4"/>
                    <w:bottom w:val="single" w:color="000000" w:sz="4"/>
                    <w:right w:val="single" w:color="000000" w:sz="4"/>
                  </w:tcBorders>
                </w:tcPr>
                <w:p/>
              </w:tc>
              <w:tc>
                <w:tcPr>
                  <w:tcW w:type="dxa" w:w="10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新长枝不超过整颗树形</w:t>
                  </w:r>
                  <w:r>
                    <w:rPr>
                      <w:rFonts w:ascii="仿宋_GB2312" w:hAnsi="仿宋_GB2312" w:cs="仿宋_GB2312" w:eastAsia="仿宋_GB2312"/>
                      <w:sz w:val="21"/>
                      <w:color w:val="000000"/>
                    </w:rPr>
                    <w:t>30厘米（5分）</w:t>
                  </w:r>
                </w:p>
                <w:p>
                  <w:pPr>
                    <w:pStyle w:val="null3"/>
                  </w:pP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每株新长枝超过</w:t>
                  </w:r>
                  <w:r>
                    <w:rPr>
                      <w:rFonts w:ascii="仿宋_GB2312" w:hAnsi="仿宋_GB2312" w:cs="仿宋_GB2312" w:eastAsia="仿宋_GB2312"/>
                      <w:sz w:val="21"/>
                      <w:color w:val="000000"/>
                    </w:rPr>
                    <w:t>50厘米，扣1分，最多扣5分。</w:t>
                  </w:r>
                </w:p>
              </w:tc>
              <w:tc>
                <w:tcPr>
                  <w:tcW w:type="dxa" w:w="223"/>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10"/>
                  <w:vMerge/>
                  <w:tcBorders>
                    <w:top w:val="none" w:color="000000" w:sz="4"/>
                    <w:left w:val="single" w:color="000000" w:sz="4"/>
                    <w:bottom w:val="single" w:color="000000" w:sz="4"/>
                    <w:right w:val="single" w:color="000000" w:sz="4"/>
                  </w:tcBorders>
                </w:tcPr>
                <w:p/>
              </w:tc>
            </w:tr>
            <w:tr>
              <w:tc>
                <w:tcPr>
                  <w:tcW w:type="dxa" w:w="206"/>
                  <w:vMerge/>
                  <w:tcBorders>
                    <w:top w:val="none" w:color="000000" w:sz="4"/>
                    <w:left w:val="single" w:color="000000" w:sz="4"/>
                    <w:bottom w:val="single" w:color="000000" w:sz="4"/>
                    <w:right w:val="single" w:color="000000" w:sz="4"/>
                  </w:tcBorders>
                </w:tcPr>
                <w:p/>
              </w:tc>
              <w:tc>
                <w:tcPr>
                  <w:tcW w:type="dxa" w:w="300"/>
                  <w:vMerge/>
                  <w:tcBorders>
                    <w:top w:val="none" w:color="000000" w:sz="4"/>
                    <w:left w:val="single" w:color="000000" w:sz="4"/>
                    <w:bottom w:val="single" w:color="000000" w:sz="4"/>
                    <w:right w:val="single" w:color="000000" w:sz="4"/>
                  </w:tcBorders>
                </w:tcPr>
                <w:p/>
              </w:tc>
              <w:tc>
                <w:tcPr>
                  <w:tcW w:type="dxa" w:w="1016"/>
                  <w:vMerge/>
                  <w:tcBorders>
                    <w:top w:val="none" w:color="000000" w:sz="4"/>
                    <w:left w:val="single" w:color="000000" w:sz="4"/>
                    <w:bottom w:val="single" w:color="000000" w:sz="4"/>
                    <w:right w:val="single" w:color="000000" w:sz="4"/>
                  </w:tcBorders>
                </w:tcPr>
                <w:p/>
              </w:tc>
              <w:tc>
                <w:tcPr>
                  <w:tcW w:type="dxa" w:w="223"/>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垂类</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5分）</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块状垂类植被成型、造型美观，新长枝不超过</w:t>
                  </w:r>
                  <w:r>
                    <w:rPr>
                      <w:rFonts w:ascii="仿宋_GB2312" w:hAnsi="仿宋_GB2312" w:cs="仿宋_GB2312" w:eastAsia="仿宋_GB2312"/>
                      <w:sz w:val="21"/>
                      <w:color w:val="000000"/>
                    </w:rPr>
                    <w:t>50厘米。整体目视基本平整。（5分）</w:t>
                  </w:r>
                </w:p>
                <w:p>
                  <w:pPr>
                    <w:pStyle w:val="null3"/>
                  </w:pP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不成型、不美观，每处扣</w:t>
                  </w:r>
                  <w:r>
                    <w:rPr>
                      <w:rFonts w:ascii="仿宋_GB2312" w:hAnsi="仿宋_GB2312" w:cs="仿宋_GB2312" w:eastAsia="仿宋_GB2312"/>
                      <w:sz w:val="21"/>
                      <w:color w:val="000000"/>
                    </w:rPr>
                    <w:t>2分；新长枝超过50厘米，每处扣1分（最多扣3分）；整体目视不平整，扣1分</w:t>
                  </w:r>
                  <w:r>
                    <w:rPr>
                      <w:rFonts w:ascii="仿宋_GB2312" w:hAnsi="仿宋_GB2312" w:cs="仿宋_GB2312" w:eastAsia="仿宋_GB2312"/>
                      <w:sz w:val="22"/>
                      <w:color w:val="0F1115"/>
                      <w:shd w:fill="FFFFFF" w:val="clear"/>
                    </w:rPr>
                    <w:t>。</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现场实地巡查</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1次/月</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草坪</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5分）</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路牙、井口、水沟边长势整齐，草坪目视平整。（</w:t>
                  </w:r>
                  <w:r>
                    <w:rPr>
                      <w:rFonts w:ascii="仿宋_GB2312" w:hAnsi="仿宋_GB2312" w:cs="仿宋_GB2312" w:eastAsia="仿宋_GB2312"/>
                      <w:sz w:val="21"/>
                      <w:color w:val="000000"/>
                    </w:rPr>
                    <w:t>5分）</w:t>
                  </w:r>
                </w:p>
                <w:p>
                  <w:pPr>
                    <w:pStyle w:val="null3"/>
                  </w:pP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路牙</w:t>
                  </w:r>
                  <w:r>
                    <w:rPr>
                      <w:rFonts w:ascii="仿宋_GB2312" w:hAnsi="仿宋_GB2312" w:cs="仿宋_GB2312" w:eastAsia="仿宋_GB2312"/>
                      <w:sz w:val="21"/>
                      <w:color w:val="000000"/>
                    </w:rPr>
                    <w:t>/井口/水沟边长势不整齐，每处扣1分（最多扣3分）；</w:t>
                  </w:r>
                  <w:r>
                    <w:br/>
                  </w:r>
                  <w:r>
                    <w:rPr>
                      <w:rFonts w:ascii="仿宋_GB2312" w:hAnsi="仿宋_GB2312" w:cs="仿宋_GB2312" w:eastAsia="仿宋_GB2312"/>
                      <w:sz w:val="21"/>
                      <w:color w:val="000000"/>
                    </w:rPr>
                    <w:t>草坪目视不平整（明显坑洼或斑秃），扣</w:t>
                  </w:r>
                  <w:r>
                    <w:rPr>
                      <w:rFonts w:ascii="仿宋_GB2312" w:hAnsi="仿宋_GB2312" w:cs="仿宋_GB2312" w:eastAsia="仿宋_GB2312"/>
                      <w:sz w:val="21"/>
                      <w:color w:val="000000"/>
                    </w:rPr>
                    <w:t>2分</w:t>
                  </w:r>
                  <w:r>
                    <w:rPr>
                      <w:rFonts w:ascii="仿宋_GB2312" w:hAnsi="仿宋_GB2312" w:cs="仿宋_GB2312" w:eastAsia="仿宋_GB2312"/>
                      <w:sz w:val="21"/>
                      <w:color w:val="000000"/>
                    </w:rPr>
                    <w:t>。</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现场实地巡查</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1次/月</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施肥</w:t>
                  </w:r>
                </w:p>
                <w:p>
                  <w:pPr>
                    <w:pStyle w:val="null3"/>
                    <w:jc w:val="center"/>
                  </w:pPr>
                  <w:r>
                    <w:rPr>
                      <w:rFonts w:ascii="仿宋_GB2312" w:hAnsi="仿宋_GB2312" w:cs="仿宋_GB2312" w:eastAsia="仿宋_GB2312"/>
                      <w:sz w:val="21"/>
                      <w:b/>
                      <w:color w:val="000000"/>
                    </w:rPr>
                    <w:t>10分</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乔、灌木</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5分）</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1"/>
                      <w:color w:val="000000"/>
                    </w:rPr>
                    <w:t>采用穴施或沟施后及时覆土填盖，肥料基本不露出土面。（</w:t>
                  </w:r>
                  <w:r>
                    <w:rPr>
                      <w:rFonts w:ascii="仿宋_GB2312" w:hAnsi="仿宋_GB2312" w:cs="仿宋_GB2312" w:eastAsia="仿宋_GB2312"/>
                      <w:sz w:val="21"/>
                      <w:color w:val="000000"/>
                    </w:rPr>
                    <w:t>5分）</w:t>
                  </w: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未采用穴施</w:t>
                  </w:r>
                  <w:r>
                    <w:rPr>
                      <w:rFonts w:ascii="仿宋_GB2312" w:hAnsi="仿宋_GB2312" w:cs="仿宋_GB2312" w:eastAsia="仿宋_GB2312"/>
                      <w:sz w:val="21"/>
                      <w:color w:val="000000"/>
                    </w:rPr>
                    <w:t>/沟施，或施肥后未覆土、肥料外露，每处扣1分，最多扣5分。</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现场实地巡查</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1次/每月随机</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草地</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3分）</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1"/>
                      <w:color w:val="000000"/>
                    </w:rPr>
                    <w:t>肥料兑水稀释灌施，不伤草被植物目视无明显枯萎情况。</w:t>
                  </w:r>
                  <w:r>
                    <w:rPr>
                      <w:rFonts w:ascii="仿宋_GB2312" w:hAnsi="仿宋_GB2312" w:cs="仿宋_GB2312" w:eastAsia="仿宋_GB2312"/>
                      <w:sz w:val="21"/>
                      <w:color w:val="000000"/>
                    </w:rPr>
                    <w:t>（</w:t>
                  </w:r>
                  <w:r>
                    <w:rPr>
                      <w:rFonts w:ascii="仿宋_GB2312" w:hAnsi="仿宋_GB2312" w:cs="仿宋_GB2312" w:eastAsia="仿宋_GB2312"/>
                      <w:sz w:val="21"/>
                      <w:color w:val="000000"/>
                    </w:rPr>
                    <w:t>3分）</w:t>
                  </w:r>
                </w:p>
                <w:p>
                  <w:pPr>
                    <w:pStyle w:val="null3"/>
                  </w:pP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未兑水稀释灌施，或导致明显枯萎，每处扣</w:t>
                  </w:r>
                  <w:r>
                    <w:rPr>
                      <w:rFonts w:ascii="仿宋_GB2312" w:hAnsi="仿宋_GB2312" w:cs="仿宋_GB2312" w:eastAsia="仿宋_GB2312"/>
                      <w:sz w:val="21"/>
                      <w:color w:val="000000"/>
                    </w:rPr>
                    <w:t>1分，最多扣3分。</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现场实地巡查</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1次/每月随机</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花卉</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2分）</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1"/>
                      <w:color w:val="000000"/>
                    </w:rPr>
                    <w:t>播撒和喷洒以少量多次</w:t>
                  </w:r>
                  <w:r>
                    <w:rPr>
                      <w:rFonts w:ascii="仿宋_GB2312" w:hAnsi="仿宋_GB2312" w:cs="仿宋_GB2312" w:eastAsia="仿宋_GB2312"/>
                      <w:sz w:val="21"/>
                      <w:color w:val="000000"/>
                    </w:rPr>
                    <w:t>,不伤花草苗木。目视叶片翠绿，花朵艳丽（2分）</w:t>
                  </w:r>
                </w:p>
                <w:p>
                  <w:pPr>
                    <w:pStyle w:val="null3"/>
                  </w:pP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未按少量多次原则伤苗，每处扣</w:t>
                  </w:r>
                  <w:r>
                    <w:rPr>
                      <w:rFonts w:ascii="仿宋_GB2312" w:hAnsi="仿宋_GB2312" w:cs="仿宋_GB2312" w:eastAsia="仿宋_GB2312"/>
                      <w:sz w:val="21"/>
                      <w:color w:val="000000"/>
                    </w:rPr>
                    <w:t>1分；叶片不翠绿或花朵不艳丽（明显缺肥），扣1分。</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现场实地巡查</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1次/每月随机</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病、虫害防治</w:t>
                  </w:r>
                </w:p>
                <w:p>
                  <w:pPr>
                    <w:pStyle w:val="null3"/>
                    <w:jc w:val="center"/>
                  </w:pPr>
                  <w:r>
                    <w:rPr>
                      <w:rFonts w:ascii="仿宋_GB2312" w:hAnsi="仿宋_GB2312" w:cs="仿宋_GB2312" w:eastAsia="仿宋_GB2312"/>
                      <w:sz w:val="21"/>
                      <w:b/>
                      <w:color w:val="000000"/>
                    </w:rPr>
                    <w:t>10分</w:t>
                  </w:r>
                </w:p>
                <w:p>
                  <w:pPr>
                    <w:pStyle w:val="null3"/>
                    <w:jc w:val="center"/>
                  </w:pP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无明显病害造成的枯枝、枯叶。（</w:t>
                  </w:r>
                  <w:r>
                    <w:rPr>
                      <w:rFonts w:ascii="仿宋_GB2312" w:hAnsi="仿宋_GB2312" w:cs="仿宋_GB2312" w:eastAsia="仿宋_GB2312"/>
                      <w:sz w:val="21"/>
                      <w:color w:val="000000"/>
                    </w:rPr>
                    <w:t>5分）</w:t>
                  </w:r>
                </w:p>
                <w:p>
                  <w:pPr>
                    <w:pStyle w:val="null3"/>
                  </w:pP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每发现</w:t>
                  </w:r>
                  <w:r>
                    <w:rPr>
                      <w:rFonts w:ascii="仿宋_GB2312" w:hAnsi="仿宋_GB2312" w:cs="仿宋_GB2312" w:eastAsia="仿宋_GB2312"/>
                      <w:sz w:val="21"/>
                      <w:color w:val="000000"/>
                    </w:rPr>
                    <w:t>1处明显枯枝/枯叶（病害造成），扣1分，最多扣5分。</w:t>
                  </w:r>
                </w:p>
              </w:tc>
              <w:tc>
                <w:tcPr>
                  <w:tcW w:type="dxa" w:w="2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现场实地巡查</w:t>
                  </w:r>
                </w:p>
              </w:tc>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1次/每月随机</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6"/>
                  <w:gridSpan w:val="2"/>
                  <w:vMerge/>
                  <w:tcBorders>
                    <w:top w:val="none" w:color="000000" w:sz="4"/>
                    <w:left w:val="single" w:color="000000" w:sz="4"/>
                    <w:bottom w:val="single" w:color="000000" w:sz="4"/>
                    <w:right w:val="single" w:color="000000" w:sz="4"/>
                  </w:tcBorders>
                </w:tcP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带虫尿虫网灰尘的苗木每株在</w:t>
                  </w:r>
                  <w:r>
                    <w:rPr>
                      <w:rFonts w:ascii="仿宋_GB2312" w:hAnsi="仿宋_GB2312" w:cs="仿宋_GB2312" w:eastAsia="仿宋_GB2312"/>
                      <w:sz w:val="21"/>
                      <w:color w:val="000000"/>
                    </w:rPr>
                    <w:t>10％以下、虫害叶片每株在20％以下。（5分）</w:t>
                  </w:r>
                </w:p>
                <w:p>
                  <w:pPr>
                    <w:pStyle w:val="null3"/>
                  </w:pP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带虫尿</w:t>
                  </w:r>
                  <w:r>
                    <w:rPr>
                      <w:rFonts w:ascii="仿宋_GB2312" w:hAnsi="仿宋_GB2312" w:cs="仿宋_GB2312" w:eastAsia="仿宋_GB2312"/>
                      <w:sz w:val="21"/>
                      <w:color w:val="000000"/>
                    </w:rPr>
                    <w:t>/虫网/灰尘的苗木占比&gt;10%，每超5%扣1分（最多扣3分）；虫害叶片占比&gt;20%，每超5%扣1分（最多扣2分）。</w:t>
                  </w:r>
                </w:p>
              </w:tc>
              <w:tc>
                <w:tcPr>
                  <w:tcW w:type="dxa" w:w="223"/>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排涝、风倒扶正、抗旱浇水</w:t>
                  </w:r>
                </w:p>
                <w:p>
                  <w:pPr>
                    <w:pStyle w:val="null3"/>
                    <w:jc w:val="center"/>
                  </w:pPr>
                  <w:r>
                    <w:rPr>
                      <w:rFonts w:ascii="仿宋_GB2312" w:hAnsi="仿宋_GB2312" w:cs="仿宋_GB2312" w:eastAsia="仿宋_GB2312"/>
                      <w:sz w:val="21"/>
                      <w:b/>
                      <w:color w:val="000000"/>
                    </w:rPr>
                    <w:t>10分</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树木、草地</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5分）</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1"/>
                      <w:color w:val="000000"/>
                    </w:rPr>
                    <w:t>暴风雨后及时排涝，倒伏树木及时扶正。</w:t>
                  </w:r>
                  <w:r>
                    <w:rPr>
                      <w:rFonts w:ascii="仿宋_GB2312" w:hAnsi="仿宋_GB2312" w:cs="仿宋_GB2312" w:eastAsia="仿宋_GB2312"/>
                      <w:sz w:val="21"/>
                      <w:color w:val="000000"/>
                    </w:rPr>
                    <w:t>（</w:t>
                  </w:r>
                  <w:r>
                    <w:rPr>
                      <w:rFonts w:ascii="仿宋_GB2312" w:hAnsi="仿宋_GB2312" w:cs="仿宋_GB2312" w:eastAsia="仿宋_GB2312"/>
                      <w:sz w:val="21"/>
                      <w:color w:val="000000"/>
                    </w:rPr>
                    <w:t>5分）</w:t>
                  </w:r>
                </w:p>
                <w:p>
                  <w:pPr>
                    <w:pStyle w:val="null3"/>
                  </w:pP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每发现</w:t>
                  </w:r>
                  <w:r>
                    <w:rPr>
                      <w:rFonts w:ascii="仿宋_GB2312" w:hAnsi="仿宋_GB2312" w:cs="仿宋_GB2312" w:eastAsia="仿宋_GB2312"/>
                      <w:sz w:val="21"/>
                      <w:color w:val="000000"/>
                    </w:rPr>
                    <w:t>1处未及时排涝或倒伏未扶正，扣2分，最多扣5分。</w:t>
                  </w:r>
                </w:p>
              </w:tc>
              <w:tc>
                <w:tcPr>
                  <w:tcW w:type="dxa" w:w="2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现场实地巡查</w:t>
                  </w:r>
                </w:p>
              </w:tc>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1次/随机</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花卉、苗木</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5分）</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1"/>
                      <w:color w:val="000000"/>
                    </w:rPr>
                    <w:t>冬季早晚不浇水，夏季中午不浇水，浇水时不遗漏，无旱死、旱枯的现象。</w:t>
                  </w:r>
                  <w:r>
                    <w:rPr>
                      <w:rFonts w:ascii="仿宋_GB2312" w:hAnsi="仿宋_GB2312" w:cs="仿宋_GB2312" w:eastAsia="仿宋_GB2312"/>
                      <w:sz w:val="21"/>
                      <w:color w:val="000000"/>
                    </w:rPr>
                    <w:t>（</w:t>
                  </w:r>
                  <w:r>
                    <w:rPr>
                      <w:rFonts w:ascii="仿宋_GB2312" w:hAnsi="仿宋_GB2312" w:cs="仿宋_GB2312" w:eastAsia="仿宋_GB2312"/>
                      <w:sz w:val="21"/>
                      <w:color w:val="000000"/>
                    </w:rPr>
                    <w:t>5分）</w:t>
                  </w:r>
                </w:p>
                <w:p>
                  <w:pPr>
                    <w:pStyle w:val="null3"/>
                  </w:pP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冬季早晚或夏季中午浇水，每次扣</w:t>
                  </w:r>
                  <w:r>
                    <w:rPr>
                      <w:rFonts w:ascii="仿宋_GB2312" w:hAnsi="仿宋_GB2312" w:cs="仿宋_GB2312" w:eastAsia="仿宋_GB2312"/>
                      <w:sz w:val="21"/>
                      <w:color w:val="000000"/>
                    </w:rPr>
                    <w:t>1分；浇水遗漏或导致旱死/旱枯，每株扣1分（最多扣4分）。</w:t>
                  </w:r>
                </w:p>
              </w:tc>
              <w:tc>
                <w:tcPr>
                  <w:tcW w:type="dxa" w:w="223"/>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日常养护及人员管理</w:t>
                  </w:r>
                </w:p>
                <w:p>
                  <w:pPr>
                    <w:pStyle w:val="null3"/>
                    <w:jc w:val="center"/>
                  </w:pPr>
                  <w:r>
                    <w:rPr>
                      <w:rFonts w:ascii="仿宋_GB2312" w:hAnsi="仿宋_GB2312" w:cs="仿宋_GB2312" w:eastAsia="仿宋_GB2312"/>
                      <w:sz w:val="21"/>
                      <w:b/>
                      <w:color w:val="000000"/>
                    </w:rPr>
                    <w:t>40分</w:t>
                  </w:r>
                </w:p>
              </w:tc>
              <w:tc>
                <w:tcPr>
                  <w:tcW w:type="dxa" w:w="3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松土、除草</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10分）</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草坪、乔、灌木林、地被植物等区域内杂草控制在</w:t>
                  </w:r>
                  <w:r>
                    <w:rPr>
                      <w:rFonts w:ascii="仿宋_GB2312" w:hAnsi="仿宋_GB2312" w:cs="仿宋_GB2312" w:eastAsia="仿宋_GB2312"/>
                      <w:sz w:val="21"/>
                      <w:color w:val="000000"/>
                    </w:rPr>
                    <w:t>30％以下</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分</w:t>
                  </w:r>
                  <w:r>
                    <w:rPr>
                      <w:rFonts w:ascii="仿宋_GB2312" w:hAnsi="仿宋_GB2312" w:cs="仿宋_GB2312" w:eastAsia="仿宋_GB2312"/>
                      <w:sz w:val="21"/>
                      <w:color w:val="000000"/>
                    </w:rPr>
                    <w:t>)</w:t>
                  </w: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杂草覆盖率</w:t>
                  </w:r>
                  <w:r>
                    <w:rPr>
                      <w:rFonts w:ascii="仿宋_GB2312" w:hAnsi="仿宋_GB2312" w:cs="仿宋_GB2312" w:eastAsia="仿宋_GB2312"/>
                      <w:sz w:val="21"/>
                      <w:color w:val="000000"/>
                    </w:rPr>
                    <w:t>&gt;30%，每超5%扣1分，最多扣5分。</w:t>
                  </w:r>
                </w:p>
              </w:tc>
              <w:tc>
                <w:tcPr>
                  <w:tcW w:type="dxa" w:w="2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现场实地巡查</w:t>
                  </w:r>
                </w:p>
              </w:tc>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1次/每月随机</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tcBorders>
                    <w:top w:val="none" w:color="000000" w:sz="4"/>
                    <w:left w:val="single" w:color="000000" w:sz="4"/>
                    <w:bottom w:val="single" w:color="000000" w:sz="4"/>
                    <w:right w:val="single" w:color="000000" w:sz="4"/>
                  </w:tcBorders>
                </w:tcPr>
                <w:p/>
              </w:tc>
              <w:tc>
                <w:tcPr>
                  <w:tcW w:type="dxa" w:w="300"/>
                  <w:vMerge/>
                  <w:tcBorders>
                    <w:top w:val="none" w:color="000000" w:sz="4"/>
                    <w:left w:val="single" w:color="000000" w:sz="4"/>
                    <w:bottom w:val="single" w:color="000000" w:sz="4"/>
                    <w:right w:val="single" w:color="000000" w:sz="4"/>
                  </w:tcBorders>
                </w:tcP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树木底下土面层不严重板结，土壤疏松适度。（</w:t>
                  </w:r>
                  <w:r>
                    <w:rPr>
                      <w:rFonts w:ascii="仿宋_GB2312" w:hAnsi="仿宋_GB2312" w:cs="仿宋_GB2312" w:eastAsia="仿宋_GB2312"/>
                      <w:sz w:val="21"/>
                      <w:color w:val="000000"/>
                    </w:rPr>
                    <w:t>5分）</w:t>
                  </w:r>
                </w:p>
                <w:p>
                  <w:pPr>
                    <w:pStyle w:val="null3"/>
                  </w:pP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每发现</w:t>
                  </w:r>
                  <w:r>
                    <w:rPr>
                      <w:rFonts w:ascii="仿宋_GB2312" w:hAnsi="仿宋_GB2312" w:cs="仿宋_GB2312" w:eastAsia="仿宋_GB2312"/>
                      <w:sz w:val="21"/>
                      <w:color w:val="000000"/>
                    </w:rPr>
                    <w:t>1处明显板结，扣1分，最多扣5分。</w:t>
                  </w:r>
                </w:p>
              </w:tc>
              <w:tc>
                <w:tcPr>
                  <w:tcW w:type="dxa" w:w="223"/>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tcBorders>
                    <w:top w:val="none" w:color="000000" w:sz="4"/>
                    <w:left w:val="single" w:color="000000" w:sz="4"/>
                    <w:bottom w:val="single" w:color="000000" w:sz="4"/>
                    <w:right w:val="single" w:color="000000" w:sz="4"/>
                  </w:tcBorders>
                </w:tcPr>
                <w:p/>
              </w:tc>
              <w:tc>
                <w:tcPr>
                  <w:tcW w:type="dxa" w:w="3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绿地内裸露土地、补栽补种</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10分）</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 绿地范围内裸露土地不明显（施工或临时堆放区除外）。（2分）</w:t>
                  </w:r>
                  <w:r>
                    <w:br/>
                  </w: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每处明显裸露，扣</w:t>
                  </w:r>
                  <w:r>
                    <w:rPr>
                      <w:rFonts w:ascii="仿宋_GB2312" w:hAnsi="仿宋_GB2312" w:cs="仿宋_GB2312" w:eastAsia="仿宋_GB2312"/>
                      <w:sz w:val="21"/>
                      <w:color w:val="000000"/>
                    </w:rPr>
                    <w:t>1分，最多扣2分。</w:t>
                  </w:r>
                </w:p>
              </w:tc>
              <w:tc>
                <w:tcPr>
                  <w:tcW w:type="dxa" w:w="2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现场实地巡查</w:t>
                  </w:r>
                </w:p>
              </w:tc>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1次/每月随机</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tcBorders>
                    <w:top w:val="none" w:color="000000" w:sz="4"/>
                    <w:left w:val="single" w:color="000000" w:sz="4"/>
                    <w:bottom w:val="single" w:color="000000" w:sz="4"/>
                    <w:right w:val="single" w:color="000000" w:sz="4"/>
                  </w:tcBorders>
                </w:tcPr>
                <w:p/>
              </w:tc>
              <w:tc>
                <w:tcPr>
                  <w:tcW w:type="dxa" w:w="300"/>
                  <w:vMerge/>
                  <w:tcBorders>
                    <w:top w:val="none" w:color="000000" w:sz="4"/>
                    <w:left w:val="single" w:color="000000" w:sz="4"/>
                    <w:bottom w:val="single" w:color="000000" w:sz="4"/>
                    <w:right w:val="single" w:color="000000" w:sz="4"/>
                  </w:tcBorders>
                </w:tcP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 行道树缺株在3%以下。（3分）</w:t>
                  </w:r>
                  <w:r>
                    <w:br/>
                  </w: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缺株率</w:t>
                  </w:r>
                  <w:r>
                    <w:rPr>
                      <w:rFonts w:ascii="仿宋_GB2312" w:hAnsi="仿宋_GB2312" w:cs="仿宋_GB2312" w:eastAsia="仿宋_GB2312"/>
                      <w:sz w:val="21"/>
                      <w:color w:val="000000"/>
                    </w:rPr>
                    <w:t>&gt;3%，每超1%扣1分，最多扣3分。</w:t>
                  </w:r>
                </w:p>
              </w:tc>
              <w:tc>
                <w:tcPr>
                  <w:tcW w:type="dxa" w:w="223"/>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tcBorders>
                    <w:top w:val="none" w:color="000000" w:sz="4"/>
                    <w:left w:val="single" w:color="000000" w:sz="4"/>
                    <w:bottom w:val="single" w:color="000000" w:sz="4"/>
                    <w:right w:val="single" w:color="000000" w:sz="4"/>
                  </w:tcBorders>
                </w:tcPr>
                <w:p/>
              </w:tc>
              <w:tc>
                <w:tcPr>
                  <w:tcW w:type="dxa" w:w="300"/>
                  <w:vMerge/>
                  <w:tcBorders>
                    <w:top w:val="none" w:color="000000" w:sz="4"/>
                    <w:left w:val="single" w:color="000000" w:sz="4"/>
                    <w:bottom w:val="single" w:color="000000" w:sz="4"/>
                    <w:right w:val="single" w:color="000000" w:sz="4"/>
                  </w:tcBorders>
                </w:tcP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 因生长寿命终止、自然枯竭的草本植物按需补种。（5分）</w:t>
                  </w:r>
                  <w:r>
                    <w:br/>
                  </w: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未及时补种，每处扣</w:t>
                  </w:r>
                  <w:r>
                    <w:rPr>
                      <w:rFonts w:ascii="仿宋_GB2312" w:hAnsi="仿宋_GB2312" w:cs="仿宋_GB2312" w:eastAsia="仿宋_GB2312"/>
                      <w:sz w:val="21"/>
                      <w:color w:val="000000"/>
                    </w:rPr>
                    <w:t>1分，最多扣5分。</w:t>
                  </w:r>
                </w:p>
              </w:tc>
              <w:tc>
                <w:tcPr>
                  <w:tcW w:type="dxa" w:w="223"/>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tcBorders>
                    <w:top w:val="none" w:color="000000" w:sz="4"/>
                    <w:left w:val="single" w:color="000000" w:sz="4"/>
                    <w:bottom w:val="single" w:color="000000" w:sz="4"/>
                    <w:right w:val="single" w:color="000000" w:sz="4"/>
                  </w:tcBorders>
                </w:tcPr>
                <w:p/>
              </w:tc>
              <w:tc>
                <w:tcPr>
                  <w:tcW w:type="dxa" w:w="3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绿地内私搭乱建钉栓刻画现象（</w:t>
                  </w:r>
                  <w:r>
                    <w:rPr>
                      <w:rFonts w:ascii="仿宋_GB2312" w:hAnsi="仿宋_GB2312" w:cs="仿宋_GB2312" w:eastAsia="仿宋_GB2312"/>
                      <w:sz w:val="21"/>
                      <w:color w:val="000000"/>
                    </w:rPr>
                    <w:t>5）</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6.对绿地内堆物堆料、搭棚侵占现象，行道树树干上有钉栓刻画现象。(2分)</w:t>
                  </w:r>
                </w:p>
                <w:p>
                  <w:pPr>
                    <w:pStyle w:val="null3"/>
                  </w:pP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每发现</w:t>
                  </w:r>
                  <w:r>
                    <w:rPr>
                      <w:rFonts w:ascii="仿宋_GB2312" w:hAnsi="仿宋_GB2312" w:cs="仿宋_GB2312" w:eastAsia="仿宋_GB2312"/>
                      <w:sz w:val="21"/>
                      <w:color w:val="000000"/>
                    </w:rPr>
                    <w:t>1处，扣1分，最多扣2分。</w:t>
                  </w:r>
                </w:p>
              </w:tc>
              <w:tc>
                <w:tcPr>
                  <w:tcW w:type="dxa" w:w="2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现场实地巡查</w:t>
                  </w:r>
                </w:p>
              </w:tc>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1次/每周随机或他人电话通知</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tcBorders>
                    <w:top w:val="none" w:color="000000" w:sz="4"/>
                    <w:left w:val="single" w:color="000000" w:sz="4"/>
                    <w:bottom w:val="single" w:color="000000" w:sz="4"/>
                    <w:right w:val="single" w:color="000000" w:sz="4"/>
                  </w:tcBorders>
                </w:tcPr>
                <w:p/>
              </w:tc>
              <w:tc>
                <w:tcPr>
                  <w:tcW w:type="dxa" w:w="300"/>
                  <w:vMerge/>
                  <w:tcBorders>
                    <w:top w:val="none" w:color="000000" w:sz="4"/>
                    <w:left w:val="single" w:color="000000" w:sz="4"/>
                    <w:bottom w:val="single" w:color="000000" w:sz="4"/>
                    <w:right w:val="single" w:color="000000" w:sz="4"/>
                  </w:tcBorders>
                </w:tcP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绿地范围内有无堆放石灰、腐蚀类物品情况（</w:t>
                  </w:r>
                  <w:r>
                    <w:rPr>
                      <w:rFonts w:ascii="仿宋_GB2312" w:hAnsi="仿宋_GB2312" w:cs="仿宋_GB2312" w:eastAsia="仿宋_GB2312"/>
                      <w:sz w:val="21"/>
                      <w:color w:val="000000"/>
                    </w:rPr>
                    <w:t>3分）</w:t>
                  </w:r>
                </w:p>
                <w:p>
                  <w:pPr>
                    <w:pStyle w:val="null3"/>
                  </w:pP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每发现</w:t>
                  </w:r>
                  <w:r>
                    <w:rPr>
                      <w:rFonts w:ascii="仿宋_GB2312" w:hAnsi="仿宋_GB2312" w:cs="仿宋_GB2312" w:eastAsia="仿宋_GB2312"/>
                      <w:sz w:val="21"/>
                      <w:color w:val="000000"/>
                    </w:rPr>
                    <w:t>1处堆放石灰/腐蚀类物品，扣3分（该项扣完为止）。</w:t>
                  </w:r>
                </w:p>
              </w:tc>
              <w:tc>
                <w:tcPr>
                  <w:tcW w:type="dxa" w:w="223"/>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tcBorders>
                    <w:top w:val="none" w:color="000000" w:sz="4"/>
                    <w:left w:val="single" w:color="000000" w:sz="4"/>
                    <w:bottom w:val="single" w:color="000000" w:sz="4"/>
                    <w:right w:val="single" w:color="000000" w:sz="4"/>
                  </w:tcBorders>
                </w:tcPr>
                <w:p/>
              </w:tc>
              <w:tc>
                <w:tcPr>
                  <w:tcW w:type="dxa" w:w="3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绿化垃圾清理（</w:t>
                  </w:r>
                  <w:r>
                    <w:rPr>
                      <w:rFonts w:ascii="仿宋_GB2312" w:hAnsi="仿宋_GB2312" w:cs="仿宋_GB2312" w:eastAsia="仿宋_GB2312"/>
                      <w:sz w:val="21"/>
                      <w:color w:val="000000"/>
                    </w:rPr>
                    <w:t>5）</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绿化修剪过程中及修剪区域内产生的垃圾不影响校园保洁清理情况。（</w:t>
                  </w:r>
                  <w:r>
                    <w:rPr>
                      <w:rFonts w:ascii="仿宋_GB2312" w:hAnsi="仿宋_GB2312" w:cs="仿宋_GB2312" w:eastAsia="仿宋_GB2312"/>
                      <w:sz w:val="21"/>
                      <w:color w:val="000000"/>
                    </w:rPr>
                    <w:t>3分）</w:t>
                  </w:r>
                </w:p>
                <w:p>
                  <w:pPr>
                    <w:pStyle w:val="null3"/>
                  </w:pP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每发现</w:t>
                  </w:r>
                  <w:r>
                    <w:rPr>
                      <w:rFonts w:ascii="仿宋_GB2312" w:hAnsi="仿宋_GB2312" w:cs="仿宋_GB2312" w:eastAsia="仿宋_GB2312"/>
                      <w:sz w:val="21"/>
                      <w:color w:val="000000"/>
                    </w:rPr>
                    <w:t>1处未及时清理，扣1分，最多扣3分。</w:t>
                  </w:r>
                </w:p>
              </w:tc>
              <w:tc>
                <w:tcPr>
                  <w:tcW w:type="dxa" w:w="2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现场实地巡查</w:t>
                  </w:r>
                </w:p>
              </w:tc>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1次/每周随机</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tcBorders>
                    <w:top w:val="none" w:color="000000" w:sz="4"/>
                    <w:left w:val="single" w:color="000000" w:sz="4"/>
                    <w:bottom w:val="single" w:color="000000" w:sz="4"/>
                    <w:right w:val="single" w:color="000000" w:sz="4"/>
                  </w:tcBorders>
                </w:tcPr>
                <w:p/>
              </w:tc>
              <w:tc>
                <w:tcPr>
                  <w:tcW w:type="dxa" w:w="300"/>
                  <w:vMerge/>
                  <w:tcBorders>
                    <w:top w:val="none" w:color="000000" w:sz="4"/>
                    <w:left w:val="single" w:color="000000" w:sz="4"/>
                    <w:bottom w:val="single" w:color="000000" w:sz="4"/>
                    <w:right w:val="single" w:color="000000" w:sz="4"/>
                  </w:tcBorders>
                </w:tcP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9.</w:t>
                  </w:r>
                  <w:r>
                    <w:rPr>
                      <w:rFonts w:ascii="仿宋_GB2312" w:hAnsi="仿宋_GB2312" w:cs="仿宋_GB2312" w:eastAsia="仿宋_GB2312"/>
                      <w:sz w:val="21"/>
                      <w:color w:val="000000"/>
                    </w:rPr>
                    <w:t>距道路边沿</w:t>
                  </w:r>
                  <w:r>
                    <w:rPr>
                      <w:rFonts w:ascii="仿宋_GB2312" w:hAnsi="仿宋_GB2312" w:cs="仿宋_GB2312" w:eastAsia="仿宋_GB2312"/>
                      <w:sz w:val="21"/>
                      <w:color w:val="000000"/>
                    </w:rPr>
                    <w:t>1米线以外绿地范围以内自然脱落的枯枝、枯叶、建设过程中遗留的部分较大块状砖瓦石块和人为丢弃的有色垃圾清理及统一转运至存放点情况。（2分）</w:t>
                  </w:r>
                </w:p>
                <w:p>
                  <w:pPr>
                    <w:pStyle w:val="null3"/>
                  </w:pP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每发现</w:t>
                  </w:r>
                  <w:r>
                    <w:rPr>
                      <w:rFonts w:ascii="仿宋_GB2312" w:hAnsi="仿宋_GB2312" w:cs="仿宋_GB2312" w:eastAsia="仿宋_GB2312"/>
                      <w:sz w:val="21"/>
                      <w:color w:val="000000"/>
                    </w:rPr>
                    <w:t>1处未清理或未转运，扣0.5分，最多扣2分。</w:t>
                  </w:r>
                </w:p>
              </w:tc>
              <w:tc>
                <w:tcPr>
                  <w:tcW w:type="dxa" w:w="223"/>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tcBorders>
                    <w:top w:val="none" w:color="000000" w:sz="4"/>
                    <w:left w:val="single" w:color="000000" w:sz="4"/>
                    <w:bottom w:val="single" w:color="000000" w:sz="4"/>
                    <w:right w:val="single" w:color="000000" w:sz="4"/>
                  </w:tcBorders>
                </w:tcPr>
                <w:p/>
              </w:tc>
              <w:tc>
                <w:tcPr>
                  <w:tcW w:type="dxa" w:w="3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人员日常管理（</w:t>
                  </w:r>
                  <w:r>
                    <w:rPr>
                      <w:rFonts w:ascii="仿宋_GB2312" w:hAnsi="仿宋_GB2312" w:cs="仿宋_GB2312" w:eastAsia="仿宋_GB2312"/>
                      <w:sz w:val="21"/>
                      <w:color w:val="000000"/>
                    </w:rPr>
                    <w:t>10分）</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w:t>
                  </w:r>
                  <w:r>
                    <w:rPr>
                      <w:rFonts w:ascii="仿宋_GB2312" w:hAnsi="仿宋_GB2312" w:cs="仿宋_GB2312" w:eastAsia="仿宋_GB2312"/>
                      <w:sz w:val="21"/>
                      <w:color w:val="000000"/>
                    </w:rPr>
                    <w:t>项目经理每月驻校工作时间不少于</w:t>
                  </w:r>
                  <w:r>
                    <w:rPr>
                      <w:rFonts w:ascii="仿宋_GB2312" w:hAnsi="仿宋_GB2312" w:cs="仿宋_GB2312" w:eastAsia="仿宋_GB2312"/>
                      <w:sz w:val="21"/>
                      <w:color w:val="000000"/>
                    </w:rPr>
                    <w:t>20日以上，因工作原因需及时到场同监管人员对接相关事宜。（5分）</w:t>
                  </w:r>
                </w:p>
                <w:p>
                  <w:pPr>
                    <w:pStyle w:val="null3"/>
                  </w:pP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每月驻校少</w:t>
                  </w:r>
                  <w:r>
                    <w:rPr>
                      <w:rFonts w:ascii="仿宋_GB2312" w:hAnsi="仿宋_GB2312" w:cs="仿宋_GB2312" w:eastAsia="仿宋_GB2312"/>
                      <w:sz w:val="21"/>
                      <w:color w:val="000000"/>
                    </w:rPr>
                    <w:t>1日扣1分（最多扣5分）；工作原因未及时到场，每次扣1分。</w:t>
                  </w:r>
                </w:p>
              </w:tc>
              <w:tc>
                <w:tcPr>
                  <w:tcW w:type="dxa" w:w="2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随机抽查</w:t>
                  </w:r>
                </w:p>
              </w:tc>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1次/每周随机</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6"/>
                  <w:vMerge/>
                  <w:tcBorders>
                    <w:top w:val="none" w:color="000000" w:sz="4"/>
                    <w:left w:val="single" w:color="000000" w:sz="4"/>
                    <w:bottom w:val="single" w:color="000000" w:sz="4"/>
                    <w:right w:val="single" w:color="000000" w:sz="4"/>
                  </w:tcBorders>
                </w:tcPr>
                <w:p/>
              </w:tc>
              <w:tc>
                <w:tcPr>
                  <w:tcW w:type="dxa" w:w="300"/>
                  <w:vMerge/>
                  <w:tcBorders>
                    <w:top w:val="none" w:color="000000" w:sz="4"/>
                    <w:left w:val="single" w:color="000000" w:sz="4"/>
                    <w:bottom w:val="single" w:color="000000" w:sz="4"/>
                    <w:right w:val="single" w:color="000000" w:sz="4"/>
                  </w:tcBorders>
                </w:tcP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1"/>
                      <w:color w:val="000000"/>
                    </w:rPr>
                    <w:t>对从业人员的日常管理（安全教育</w:t>
                  </w:r>
                  <w:r>
                    <w:rPr>
                      <w:rFonts w:ascii="仿宋_GB2312" w:hAnsi="仿宋_GB2312" w:cs="仿宋_GB2312" w:eastAsia="仿宋_GB2312"/>
                      <w:sz w:val="21"/>
                      <w:color w:val="000000"/>
                    </w:rPr>
                    <w:t>职业素养等）情况。</w:t>
                  </w:r>
                  <w:r>
                    <w:rPr>
                      <w:rFonts w:ascii="仿宋_GB2312" w:hAnsi="仿宋_GB2312" w:cs="仿宋_GB2312" w:eastAsia="仿宋_GB2312"/>
                      <w:sz w:val="21"/>
                      <w:color w:val="000000"/>
                    </w:rPr>
                    <w:t>（</w:t>
                  </w:r>
                  <w:r>
                    <w:rPr>
                      <w:rFonts w:ascii="仿宋_GB2312" w:hAnsi="仿宋_GB2312" w:cs="仿宋_GB2312" w:eastAsia="仿宋_GB2312"/>
                      <w:sz w:val="21"/>
                      <w:color w:val="000000"/>
                    </w:rPr>
                    <w:t>5分）</w:t>
                  </w:r>
                </w:p>
                <w:p>
                  <w:pPr>
                    <w:pStyle w:val="null3"/>
                  </w:pPr>
                  <w:r>
                    <w:rPr>
                      <w:rFonts w:ascii="仿宋_GB2312" w:hAnsi="仿宋_GB2312" w:cs="仿宋_GB2312" w:eastAsia="仿宋_GB2312"/>
                      <w:sz w:val="21"/>
                      <w:b/>
                      <w:color w:val="000000"/>
                    </w:rPr>
                    <w:t>扣分标准：</w:t>
                  </w:r>
                  <w:r>
                    <w:rPr>
                      <w:rFonts w:ascii="仿宋_GB2312" w:hAnsi="仿宋_GB2312" w:cs="仿宋_GB2312" w:eastAsia="仿宋_GB2312"/>
                      <w:sz w:val="21"/>
                      <w:color w:val="000000"/>
                    </w:rPr>
                    <w:t>每发现</w:t>
                  </w:r>
                  <w:r>
                    <w:rPr>
                      <w:rFonts w:ascii="仿宋_GB2312" w:hAnsi="仿宋_GB2312" w:cs="仿宋_GB2312" w:eastAsia="仿宋_GB2312"/>
                      <w:sz w:val="21"/>
                      <w:color w:val="000000"/>
                    </w:rPr>
                    <w:t>1次安全教育缺失或人员行为不规范（如危险操作等），扣1分，最多扣5分。</w:t>
                  </w:r>
                </w:p>
              </w:tc>
              <w:tc>
                <w:tcPr>
                  <w:tcW w:type="dxa" w:w="223"/>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4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本月考核总分：</w:t>
                  </w:r>
                </w:p>
              </w:tc>
              <w:tc>
                <w:tcPr>
                  <w:tcW w:type="dxa" w:w="5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考核要求及标准</w:t>
                  </w:r>
                </w:p>
              </w:tc>
              <w:tc>
                <w:tcPr>
                  <w:tcW w:type="dxa" w:w="233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1、绿化养护监管人员根据以上考核内容采取随每日巡查或随机巡查等方式到场进行现场监管，对存在的问题要及时通知服务企业负责人进行整改。</w:t>
                  </w:r>
                </w:p>
                <w:p>
                  <w:pPr>
                    <w:pStyle w:val="null3"/>
                  </w:pPr>
                  <w:r>
                    <w:rPr>
                      <w:rFonts w:ascii="仿宋_GB2312" w:hAnsi="仿宋_GB2312" w:cs="仿宋_GB2312" w:eastAsia="仿宋_GB2312"/>
                      <w:sz w:val="21"/>
                      <w:color w:val="000000"/>
                    </w:rPr>
                    <w:t>2、绿化养护监管人员要切实尽到日常监管和督促职能，做到公正客观赋分评定。</w:t>
                  </w:r>
                </w:p>
                <w:p>
                  <w:pPr>
                    <w:pStyle w:val="null3"/>
                  </w:pPr>
                  <w:r>
                    <w:rPr>
                      <w:rFonts w:ascii="仿宋_GB2312" w:hAnsi="仿宋_GB2312" w:cs="仿宋_GB2312" w:eastAsia="仿宋_GB2312"/>
                      <w:sz w:val="21"/>
                      <w:color w:val="000000"/>
                    </w:rPr>
                    <w:t>3、每月考核总分为100分。</w:t>
                  </w:r>
                </w:p>
                <w:p>
                  <w:pPr>
                    <w:pStyle w:val="null3"/>
                  </w:pPr>
                  <w:r>
                    <w:rPr>
                      <w:rFonts w:ascii="仿宋_GB2312" w:hAnsi="仿宋_GB2312" w:cs="仿宋_GB2312" w:eastAsia="仿宋_GB2312"/>
                      <w:sz w:val="21"/>
                      <w:color w:val="000000"/>
                    </w:rPr>
                    <w:t>4、绿化养护服务费支付标准如下：</w:t>
                  </w:r>
                </w:p>
                <w:p>
                  <w:pPr>
                    <w:pStyle w:val="null3"/>
                  </w:pPr>
                  <w:r>
                    <w:rPr>
                      <w:rFonts w:ascii="仿宋_GB2312" w:hAnsi="仿宋_GB2312" w:cs="仿宋_GB2312" w:eastAsia="仿宋_GB2312"/>
                      <w:sz w:val="21"/>
                      <w:b/>
                      <w:color w:val="000000"/>
                    </w:rPr>
                    <w:t>合</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格：</w:t>
                  </w:r>
                  <w:r>
                    <w:rPr>
                      <w:rFonts w:ascii="仿宋_GB2312" w:hAnsi="仿宋_GB2312" w:cs="仿宋_GB2312" w:eastAsia="仿宋_GB2312"/>
                      <w:sz w:val="21"/>
                      <w:color w:val="000000"/>
                    </w:rPr>
                    <w:t>本月考核总分在</w:t>
                  </w:r>
                  <w:r>
                    <w:rPr>
                      <w:rFonts w:ascii="仿宋_GB2312" w:hAnsi="仿宋_GB2312" w:cs="仿宋_GB2312" w:eastAsia="仿宋_GB2312"/>
                      <w:sz w:val="21"/>
                      <w:color w:val="000000"/>
                    </w:rPr>
                    <w:t>85分以上的评定为合格 月服务费全额支付。</w:t>
                  </w:r>
                </w:p>
                <w:p>
                  <w:pPr>
                    <w:pStyle w:val="null3"/>
                  </w:pPr>
                  <w:r>
                    <w:rPr>
                      <w:rFonts w:ascii="仿宋_GB2312" w:hAnsi="仿宋_GB2312" w:cs="仿宋_GB2312" w:eastAsia="仿宋_GB2312"/>
                      <w:sz w:val="21"/>
                      <w:b/>
                      <w:color w:val="000000"/>
                    </w:rPr>
                    <w:t>基本合格：</w:t>
                  </w:r>
                  <w:r>
                    <w:rPr>
                      <w:rFonts w:ascii="仿宋_GB2312" w:hAnsi="仿宋_GB2312" w:cs="仿宋_GB2312" w:eastAsia="仿宋_GB2312"/>
                      <w:sz w:val="21"/>
                      <w:color w:val="000000"/>
                    </w:rPr>
                    <w:t>本月考核总分在</w:t>
                  </w:r>
                  <w:r>
                    <w:rPr>
                      <w:rFonts w:ascii="仿宋_GB2312" w:hAnsi="仿宋_GB2312" w:cs="仿宋_GB2312" w:eastAsia="仿宋_GB2312"/>
                      <w:sz w:val="21"/>
                      <w:color w:val="000000"/>
                    </w:rPr>
                    <w:t>60—84分的为基本合格 月服务费按85％支付。</w:t>
                  </w:r>
                </w:p>
                <w:p>
                  <w:pPr>
                    <w:pStyle w:val="null3"/>
                  </w:pPr>
                  <w:r>
                    <w:rPr>
                      <w:rFonts w:ascii="仿宋_GB2312" w:hAnsi="仿宋_GB2312" w:cs="仿宋_GB2312" w:eastAsia="仿宋_GB2312"/>
                      <w:sz w:val="21"/>
                      <w:b/>
                      <w:color w:val="000000"/>
                    </w:rPr>
                    <w:t>不</w:t>
                  </w:r>
                  <w:r>
                    <w:rPr>
                      <w:rFonts w:ascii="仿宋_GB2312" w:hAnsi="仿宋_GB2312" w:cs="仿宋_GB2312" w:eastAsia="仿宋_GB2312"/>
                      <w:sz w:val="21"/>
                      <w:b/>
                      <w:color w:val="000000"/>
                    </w:rPr>
                    <w:t>合</w:t>
                  </w:r>
                  <w:r>
                    <w:rPr>
                      <w:rFonts w:ascii="仿宋_GB2312" w:hAnsi="仿宋_GB2312" w:cs="仿宋_GB2312" w:eastAsia="仿宋_GB2312"/>
                      <w:sz w:val="21"/>
                      <w:b/>
                      <w:color w:val="000000"/>
                    </w:rPr>
                    <w:t>格：</w:t>
                  </w:r>
                  <w:r>
                    <w:rPr>
                      <w:rFonts w:ascii="仿宋_GB2312" w:hAnsi="仿宋_GB2312" w:cs="仿宋_GB2312" w:eastAsia="仿宋_GB2312"/>
                      <w:sz w:val="21"/>
                      <w:color w:val="000000"/>
                    </w:rPr>
                    <w:t>本月考核总分在</w:t>
                  </w:r>
                  <w:r>
                    <w:rPr>
                      <w:rFonts w:ascii="仿宋_GB2312" w:hAnsi="仿宋_GB2312" w:cs="仿宋_GB2312" w:eastAsia="仿宋_GB2312"/>
                      <w:sz w:val="21"/>
                      <w:color w:val="000000"/>
                    </w:rPr>
                    <w:t>60分以下的为不合格 月服务费按50％支付，连续3个月未达到合格标准的将约谈服务企业项目负责人或公司法人，并报学校相关会议研究。</w:t>
                  </w:r>
                </w:p>
                <w:p>
                  <w:pPr>
                    <w:pStyle w:val="null3"/>
                  </w:pPr>
                  <w:r>
                    <w:rPr>
                      <w:rFonts w:ascii="仿宋_GB2312" w:hAnsi="仿宋_GB2312" w:cs="仿宋_GB2312" w:eastAsia="仿宋_GB2312"/>
                      <w:sz w:val="21"/>
                      <w:b/>
                      <w:color w:val="000000"/>
                    </w:rPr>
                    <w:t>备注：</w:t>
                  </w:r>
                  <w:r>
                    <w:rPr>
                      <w:rFonts w:ascii="仿宋_GB2312" w:hAnsi="仿宋_GB2312" w:cs="仿宋_GB2312" w:eastAsia="仿宋_GB2312"/>
                      <w:sz w:val="21"/>
                      <w:color w:val="000000"/>
                    </w:rPr>
                    <w:t>因自然灾害或其他不可抗力因素导致的考核不达标除外。</w:t>
                  </w:r>
                </w:p>
              </w:tc>
            </w:tr>
          </w:tbl>
          <w:p>
            <w:pPr>
              <w:pStyle w:val="null3"/>
              <w:ind w:firstLine="281"/>
            </w:pPr>
            <w:r>
              <w:rPr>
                <w:rFonts w:ascii="仿宋_GB2312" w:hAnsi="仿宋_GB2312" w:cs="仿宋_GB2312" w:eastAsia="仿宋_GB2312"/>
                <w:sz w:val="28"/>
                <w:b/>
                <w:color w:val="000000"/>
              </w:rPr>
              <w:t>服务企业项目负责人对本月考核评判有无异议：</w:t>
            </w:r>
            <w:r>
              <w:rPr>
                <w:rFonts w:ascii="仿宋_GB2312" w:hAnsi="仿宋_GB2312" w:cs="仿宋_GB2312" w:eastAsia="仿宋_GB2312"/>
                <w:sz w:val="28"/>
                <w:color w:val="000000"/>
                <w:u w:val="single"/>
              </w:rPr>
              <w:t>有</w:t>
            </w:r>
            <w:r>
              <w:rPr>
                <w:rFonts w:ascii="仿宋_GB2312" w:hAnsi="仿宋_GB2312" w:cs="仿宋_GB2312" w:eastAsia="仿宋_GB2312"/>
                <w:sz w:val="28"/>
                <w:color w:val="000000"/>
                <w:u w:val="single"/>
              </w:rPr>
              <w:t>¨</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u w:val="single"/>
              </w:rPr>
              <w:t>无</w:t>
            </w:r>
            <w:r>
              <w:rPr>
                <w:rFonts w:ascii="仿宋_GB2312" w:hAnsi="仿宋_GB2312" w:cs="仿宋_GB2312" w:eastAsia="仿宋_GB2312"/>
                <w:sz w:val="28"/>
                <w:color w:val="000000"/>
                <w:u w:val="single"/>
              </w:rPr>
              <w:t>¨</w:t>
            </w:r>
            <w:r>
              <w:rPr>
                <w:rFonts w:ascii="仿宋_GB2312" w:hAnsi="仿宋_GB2312" w:cs="仿宋_GB2312" w:eastAsia="仿宋_GB2312"/>
                <w:sz w:val="21"/>
                <w:color w:val="000000"/>
                <w:u w:val="single"/>
              </w:rPr>
              <w:t xml:space="preserve"> </w:t>
            </w:r>
          </w:p>
          <w:p>
            <w:pPr>
              <w:pStyle w:val="null3"/>
              <w:ind w:firstLine="281"/>
            </w:pPr>
            <w:r>
              <w:rPr>
                <w:rFonts w:ascii="仿宋_GB2312" w:hAnsi="仿宋_GB2312" w:cs="仿宋_GB2312" w:eastAsia="仿宋_GB2312"/>
                <w:sz w:val="28"/>
                <w:b/>
                <w:color w:val="000000"/>
              </w:rPr>
              <w:t>服务企业对本月考核有异议请阐述无异议请省略：</w:t>
            </w:r>
          </w:p>
          <w:p>
            <w:pPr>
              <w:pStyle w:val="null3"/>
              <w:ind w:firstLine="281"/>
            </w:pPr>
            <w:r>
              <w:rPr>
                <w:rFonts w:ascii="仿宋_GB2312" w:hAnsi="仿宋_GB2312" w:cs="仿宋_GB2312" w:eastAsia="仿宋_GB2312"/>
                <w:sz w:val="28"/>
                <w:b/>
                <w:color w:val="000000"/>
              </w:rPr>
              <w:t>甲方现场监管人签字：</w:t>
            </w:r>
            <w:r>
              <w:rPr>
                <w:rFonts w:ascii="仿宋_GB2312" w:hAnsi="仿宋_GB2312" w:cs="仿宋_GB2312" w:eastAsia="仿宋_GB2312"/>
                <w:sz w:val="21"/>
                <w:color w:val="000000"/>
              </w:rPr>
              <w:t xml:space="preserve"> </w:t>
            </w:r>
          </w:p>
          <w:p>
            <w:pPr>
              <w:pStyle w:val="null3"/>
              <w:ind w:firstLine="281"/>
            </w:pPr>
            <w:r>
              <w:rPr>
                <w:rFonts w:ascii="仿宋_GB2312" w:hAnsi="仿宋_GB2312" w:cs="仿宋_GB2312" w:eastAsia="仿宋_GB2312"/>
                <w:sz w:val="28"/>
                <w:b/>
                <w:color w:val="000000"/>
              </w:rPr>
              <w:t>服务企业项目负责人签字：</w:t>
            </w:r>
          </w:p>
          <w:p>
            <w:pPr>
              <w:pStyle w:val="null3"/>
            </w:pPr>
            <w:r>
              <w:rPr>
                <w:rFonts w:ascii="仿宋_GB2312" w:hAnsi="仿宋_GB2312" w:cs="仿宋_GB2312" w:eastAsia="仿宋_GB2312"/>
              </w:rPr>
              <w:t xml:space="preserve">                         </w:t>
            </w:r>
            <w:r>
              <w:rPr>
                <w:rFonts w:ascii="仿宋_GB2312" w:hAnsi="仿宋_GB2312" w:cs="仿宋_GB2312" w:eastAsia="仿宋_GB2312"/>
                <w:u w:val="single"/>
              </w:rPr>
              <w:t xml:space="preserve">     </w:t>
            </w:r>
            <w:r>
              <w:rPr>
                <w:rFonts w:ascii="仿宋_GB2312" w:hAnsi="仿宋_GB2312" w:cs="仿宋_GB2312" w:eastAsia="仿宋_GB2312"/>
                <w:sz w:val="28"/>
                <w:color w:val="000000"/>
              </w:rPr>
              <w:t>年</w:t>
            </w:r>
            <w:r>
              <w:rPr>
                <w:rFonts w:ascii="仿宋_GB2312" w:hAnsi="仿宋_GB2312" w:cs="仿宋_GB2312" w:eastAsia="仿宋_GB2312"/>
                <w:u w:val="single"/>
              </w:rPr>
              <w:t xml:space="preserve">     </w:t>
            </w:r>
            <w:r>
              <w:rPr>
                <w:rFonts w:ascii="仿宋_GB2312" w:hAnsi="仿宋_GB2312" w:cs="仿宋_GB2312" w:eastAsia="仿宋_GB2312"/>
                <w:sz w:val="28"/>
                <w:color w:val="000000"/>
              </w:rPr>
              <w:t>月</w:t>
            </w:r>
            <w:r>
              <w:rPr>
                <w:rFonts w:ascii="仿宋_GB2312" w:hAnsi="仿宋_GB2312" w:cs="仿宋_GB2312" w:eastAsia="仿宋_GB2312"/>
                <w:u w:val="single"/>
              </w:rPr>
              <w:t xml:space="preserve">    </w:t>
            </w:r>
            <w:r>
              <w:rPr>
                <w:rFonts w:ascii="仿宋_GB2312" w:hAnsi="仿宋_GB2312" w:cs="仿宋_GB2312" w:eastAsia="仿宋_GB2312"/>
                <w:sz w:val="28"/>
                <w:color w:val="000000"/>
              </w:rPr>
              <w:t>日</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供应商须按照本项目需求配备相应的设施设备服务于本项目。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①本项目服务期自合同签订生效之日起为1年，（自2026年8月1日起至2027年7月31日止）。 ②本项目合同期满，在预算不变、服务内容不变的前提下，可续签二年，合同一年一签，累计履行期限不超过三年（根据《财政部关于推进和完善服务项目政府采购有关问题的通知》 (财库(2014)37 号)有关规定，本项目在合同期满前，采购人将对中标人 进行考核，根据服务满意程度，采购人有权决定是否续签合同，累计合同履行期限不超过 3 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安康学院江南校区、江北校区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进度款，1.常规绿化养护费全年按12 个月计，依据每月考核结果据实支付。 2.绿化养护学生实践费每半年支付一次。（受系统功能模块限制，具体支付约定见采购文件四、10（13），达到付款条件起10个工作日内，支付合同总金额的100.0%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按《民法典》等国家相关法律法规 执行，或按双方约定。如有纠纷，双方友好协商解决，协商不成时应向 安康市人民法院起诉 。</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成交供应商须在结果公告发布之日起5个工作日内，提交响应文件一正一副（双面打印）至西安市雁塔区二环南路西段88号老三届世纪星大厦30层AB座（陕西明正招标有限公司）。 1.付款方式以此为准： 1、常规绿化养护费全年按12 个月计，依据每月考核结果据实支付。 2、绿化养护师生实践费每半年支付一次。 2.其他要求： 1）学校建立绿化养护月考核工作制度和年度考核工作制度。绿化养护月考核工作由后勤处组织实施，安排专人负责，考核结果与服务费的支付相挂钩。年度考核由后勤处组织实施，与服务期限内下一年度绿化养护合同签订挂钩。 2）绿化监管人员要切实加强日常监管和指导工作，做到公正客观赋分评定。 3）绿化监管人员每月根据以上考核内容随机到场进行现场监管，对存在的问题要及时通知绿化养护服务企业进行整改，对不听从甲方安排或整改不到位且情形特别严重的要在考核表备注栏中说明情况。 4）考核标准：每月考核总分为100分。详见考核月考核表。 5）考核结果的运用 合格：月考核总分在85分以上的评定为合格，月服务费全额支付。 基本合格：月考核总分在60—84分的为基本合格，月服务费按85％支付。 不合格：月考核总分在60分以下的为不合格，月服务费按50％支付。 6）绿化养护合同解除 出现下列情况之一的，学校与绿化养护服务企业解除合同。 ①年度内出现3次以上月考核基本合格或者2次以上不合格。 ②绿化养护年度考核工作不合格。 ③绿化养护服务期间发生较大的安全事故。 ④绿化养护服务企业的劳务纠纷影响学校校园秩序和稳定工作。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供应商资格要求.docx 业绩证明材料.docx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或2025年度经审计完整的财务审计报告（成立时间至提交投标文件截止时间不足一年的可提供成立后任意时段的资产负债表），或其开标前六个月内银行出具的资信证明（附基本开户行开户证明资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投标人须提供2025年5月至今已缴纳的至少一个月纳税证明或完税证明，依法免税的单位应提供相关证明材料。（以税款所属期限为准）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非法定代表人参加投标的，须提供法定代表人委托授权书及被授权人身份证复印件，法定代表人参加投标时,需提供法定代表人身份证复印件及法定代表人身份证明书；</w:t>
            </w:r>
          </w:p>
        </w:tc>
        <w:tc>
          <w:tcPr>
            <w:tcW w:type="dxa" w:w="1661"/>
          </w:tcPr>
          <w:p>
            <w:pPr>
              <w:pStyle w:val="null3"/>
            </w:pPr>
            <w:r>
              <w:rPr>
                <w:rFonts w:ascii="仿宋_GB2312" w:hAnsi="仿宋_GB2312" w:cs="仿宋_GB2312" w:eastAsia="仿宋_GB2312"/>
              </w:rPr>
              <w:t>供应商资格要求.docx 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供应商资格要求.docx 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非联合体磋商声明</w:t>
            </w:r>
          </w:p>
        </w:tc>
        <w:tc>
          <w:tcPr>
            <w:tcW w:type="dxa" w:w="1661"/>
          </w:tcPr>
          <w:p>
            <w:pPr>
              <w:pStyle w:val="null3"/>
            </w:pPr>
            <w:r>
              <w:rPr>
                <w:rFonts w:ascii="仿宋_GB2312" w:hAnsi="仿宋_GB2312" w:cs="仿宋_GB2312" w:eastAsia="仿宋_GB2312"/>
              </w:rPr>
              <w:t>供应商资格要求.docx 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供应商需提供中小企业声明函。</w:t>
            </w:r>
          </w:p>
        </w:tc>
        <w:tc>
          <w:tcPr>
            <w:tcW w:type="dxa" w:w="1661"/>
          </w:tcPr>
          <w:p>
            <w:pPr>
              <w:pStyle w:val="null3"/>
            </w:pPr>
            <w:r>
              <w:rPr>
                <w:rFonts w:ascii="仿宋_GB2312" w:hAnsi="仿宋_GB2312" w:cs="仿宋_GB2312" w:eastAsia="仿宋_GB2312"/>
              </w:rPr>
              <w:t>供应商资格要求.docx 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报价是否超过采购预算或最高限价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文件的签署、盖章</w:t>
            </w:r>
          </w:p>
        </w:tc>
        <w:tc>
          <w:tcPr>
            <w:tcW w:type="dxa" w:w="3322"/>
          </w:tcPr>
          <w:p>
            <w:pPr>
              <w:pStyle w:val="null3"/>
            </w:pPr>
            <w:r>
              <w:rPr>
                <w:rFonts w:ascii="仿宋_GB2312" w:hAnsi="仿宋_GB2312" w:cs="仿宋_GB2312" w:eastAsia="仿宋_GB2312"/>
              </w:rPr>
              <w:t>文件的签署、盖章满足招标文件要求</w:t>
            </w:r>
          </w:p>
        </w:tc>
        <w:tc>
          <w:tcPr>
            <w:tcW w:type="dxa" w:w="1661"/>
          </w:tcPr>
          <w:p>
            <w:pPr>
              <w:pStyle w:val="null3"/>
            </w:pPr>
            <w:r>
              <w:rPr>
                <w:rFonts w:ascii="仿宋_GB2312" w:hAnsi="仿宋_GB2312" w:cs="仿宋_GB2312" w:eastAsia="仿宋_GB2312"/>
              </w:rPr>
              <w:t>中小企业声明函 商务应答表 服务内容及服务要求应答表 报价表 承诺函.docx 服务保障方案.docx 响应文件封面 产教融合服务方案.docx 人员管理制度.docx 残疾人福利性单位声明函 服务方案 供应商认为有必要说明的其他问题.docx 标的清单 项目人员配备.docx 响应函 陕西省政府采购供应商拒绝政府采购领域商业贿赂.docx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是否有采购人不能接受的附加条件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是否有存在法律、法规和招标文件规定的其他无效情形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方案需包含以下内容：①每季度的绿化养护总体服务方案及绿植补植等保障措施方案；②病虫害绿色防控专项方案；③安全生产及垃圾清运方案；④项目进度安排及保障措施；方案应包含且不限于理论计算、文字描述等内容，未提供的本项不得分。 方案各部分内容全面详细、阐述条理清晰详尽、符合本项目采购需求，能有效保障本项目实施的计8分。每有一项内容缺失扣2分，每有一项内容每存在以下1种缺陷扣0.5分，扣完为止。 说明：缺陷是指：①内容不完整、不合理；②虽有内容但不完善详细，内容过于简略、条理不清；③内容表述前后不一致、内容前后矛盾、或缺少关键节点；④套用其他项目方案、非专门针对本项目或不适用项目特性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项目人员配备--项目经理</w:t>
            </w:r>
          </w:p>
        </w:tc>
        <w:tc>
          <w:tcPr>
            <w:tcW w:type="dxa" w:w="2492"/>
          </w:tcPr>
          <w:p>
            <w:pPr>
              <w:pStyle w:val="null3"/>
            </w:pPr>
            <w:r>
              <w:rPr>
                <w:rFonts w:ascii="仿宋_GB2312" w:hAnsi="仿宋_GB2312" w:cs="仿宋_GB2312" w:eastAsia="仿宋_GB2312"/>
              </w:rPr>
              <w:t>园林绿化相关专业高级职称计5分；中级计3分；初级计1分；未提供的本项不得分。 注：须提供职称证书、身份证、投标截止日前3个月内任意一次社保缴纳证明；退休人员提供退休证及返聘协议，无社保可用返聘协议材料替代。（如提供虚假证明材料此项不计分）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项目人员配备--专职技术负责人</w:t>
            </w:r>
          </w:p>
        </w:tc>
        <w:tc>
          <w:tcPr>
            <w:tcW w:type="dxa" w:w="2492"/>
          </w:tcPr>
          <w:p>
            <w:pPr>
              <w:pStyle w:val="null3"/>
            </w:pPr>
            <w:r>
              <w:rPr>
                <w:rFonts w:ascii="仿宋_GB2312" w:hAnsi="仿宋_GB2312" w:cs="仿宋_GB2312" w:eastAsia="仿宋_GB2312"/>
              </w:rPr>
              <w:t>配备1名专职技术负责人，持有三级（包含三级）及以上绿化工或三级（包含三级）及以上植保工职业技能等级证计3分；持有四级（包含四级）及以上绿化工或四级（包含四级）及以上植保工职业技能等级证计2分；持有五级（包含五级）及以上绿化工或五级（包含五级）及以上植保工职业技能等级证计1分；未提供本项不得分。 注：与项目经理不得为同一人，须提供职称证书、身份证、投标截止日前3个月内任意一次社保缴纳证明；退休人员提供退休证及返聘协议，无社保可用返聘协议材料替代。（如提供虚假证明材料此项不计分）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项目人员配备--一线持证养护技工</w:t>
            </w:r>
          </w:p>
        </w:tc>
        <w:tc>
          <w:tcPr>
            <w:tcW w:type="dxa" w:w="2492"/>
          </w:tcPr>
          <w:p>
            <w:pPr>
              <w:pStyle w:val="null3"/>
            </w:pPr>
            <w:r>
              <w:rPr>
                <w:rFonts w:ascii="仿宋_GB2312" w:hAnsi="仿宋_GB2312" w:cs="仿宋_GB2312" w:eastAsia="仿宋_GB2312"/>
              </w:rPr>
              <w:t>每配备1名四级（包含四级）及以上绿化工或四级（包含四级）及以上植保工计1分，最高计3分；每配备1名五级（包含五级）及以上绿化工或五级（包含五级）及以上植保工计0.5分，最高计2分。本项最高计5分。 注：与项目经理、专职技术负责人不得为同一人，重复人员不计分。须提供职称证书、身份证、投标截止日前3个月内任意一次社保缴纳证明；退休人员提供退休证及返聘协议，无社保可用返聘协议材料替代。（如提供虚假证明材料此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供应商针对本项目提供详细的服务保障方案，包括但不限于：①文明作业保障方案；②安全作业保障方案；方案应包含且不限于理论计算、文字描述等内容，未提供的本项不得分。方案各部分内容全面详细、阐述条理清晰详尽、符合本项目采购需求，能有效保障本项目实施的计8分。每有一项内容缺失扣4分，每有一项内容每存在以下1种缺陷扣1分，扣完为止。 注：以上“缺陷”是①内容不合理、虽有内容但内容稀疏、不完整或缺少关键点；②非专门针对本项目或不适用本项目特性、套用其他项目内容；③对同一问题前后表述矛盾，存在逻辑漏洞、科学原理或常识错误；④不利于本项目目标的实现、现有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产教融合服务方案</w:t>
            </w:r>
          </w:p>
        </w:tc>
        <w:tc>
          <w:tcPr>
            <w:tcW w:type="dxa" w:w="2492"/>
          </w:tcPr>
          <w:p>
            <w:pPr>
              <w:pStyle w:val="null3"/>
            </w:pPr>
            <w:r>
              <w:rPr>
                <w:rFonts w:ascii="仿宋_GB2312" w:hAnsi="仿宋_GB2312" w:cs="仿宋_GB2312" w:eastAsia="仿宋_GB2312"/>
              </w:rPr>
              <w:t>针对本项目提供学生实践教学方案，包括但不限于：①学生深度参与校园绿化养护实践方案及服务措施（如提供开放实训、实习、见习场所及所需设施设备等）；②师生参与实训实习见习指导服务方案及服务措施 方案应包含且不限于理论计算、文字描述等内容，未提供的本项不得分。 符合本项目采购需求，内容全面、合理、贴合现实贴合实际，具有较强的实用性的计6分；每有一项方案缺失扣3分，，每有一项内容每存在以下1种缺陷扣1分，扣完为止。扣完为止；未提供不计分。 注：以上“缺陷”是①内容不合理、虽有内容但内容稀疏、不完整或缺少关键点；②非专门针对本项目或不适用本项目特性、套用其他项目内容；③对同一问题前后表述矛盾，存在逻辑漏洞、科学原理或常识错误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人员管理制度</w:t>
            </w:r>
          </w:p>
        </w:tc>
        <w:tc>
          <w:tcPr>
            <w:tcW w:type="dxa" w:w="2492"/>
          </w:tcPr>
          <w:p>
            <w:pPr>
              <w:pStyle w:val="null3"/>
            </w:pPr>
            <w:r>
              <w:rPr>
                <w:rFonts w:ascii="仿宋_GB2312" w:hAnsi="仿宋_GB2312" w:cs="仿宋_GB2312" w:eastAsia="仿宋_GB2312"/>
              </w:rPr>
              <w:t>针对本项目拟派人员有详细合理的管理制度，内容包括：①考勤管理制度、②现场工作管理制度、③业务能力培训制度、④请销假管理制度、⑤奖惩制度。 以上内容全面、合理、切实可行，无缺陷计10分；每有一项方案缺失扣2分，每存在一种缺陷扣0.5分，扣完为止；未提供不计分。注：以上“缺陷”是①内容不合理、虽有内容但内容稀疏、不完整或缺少关键点；②非专门针对本项目或不适用本项目特性、套用其他项目内容；③对同一问题前后表述矛盾，存在逻辑漏洞、科学原理或常识错误；④不利于本项目目标的实现、现有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提供极端天气应急预案，包括但不限于： ①大风、暴雨、暴雪等应急预案 ② 提供病虫害爆发应急预案（保证优先生物防治，使用低毒农药，避开人流时段施药，农药包装物统一回收处置） ③ 灌溉系统故障、树木倒伏、养护人员中暑等现场应急处置。 ④突发性、应急性、临时性工作调度等 以上内容全面、合理、切实可行，无缺陷计8分；每有一项方案缺失扣2分，每存在一种缺陷扣0.5分，扣完为止；未提供不计分。 注：以上“缺陷”是①内容不合理、虽有内容但内容稀疏、不完整或缺少关键点；②非专门针对本项目或不适用本项目特性、套用其他项目内容；③对同一问题前后表述矛盾，存在逻辑漏洞、科学原理或常识错误；④不利于本项目目标的实现、现有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承诺函--人员服务承诺</w:t>
            </w:r>
          </w:p>
        </w:tc>
        <w:tc>
          <w:tcPr>
            <w:tcW w:type="dxa" w:w="2492"/>
          </w:tcPr>
          <w:p>
            <w:pPr>
              <w:pStyle w:val="null3"/>
            </w:pPr>
            <w:r>
              <w:rPr>
                <w:rFonts w:ascii="仿宋_GB2312" w:hAnsi="仿宋_GB2312" w:cs="仿宋_GB2312" w:eastAsia="仿宋_GB2312"/>
              </w:rPr>
              <w:t>提供专人驻场服务承诺计2分，提供人员定岗定责服务承诺计2分，本项最高计4分。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承诺函--日常养护保障承诺</w:t>
            </w:r>
          </w:p>
        </w:tc>
        <w:tc>
          <w:tcPr>
            <w:tcW w:type="dxa" w:w="2492"/>
          </w:tcPr>
          <w:p>
            <w:pPr>
              <w:pStyle w:val="null3"/>
            </w:pPr>
            <w:r>
              <w:rPr>
                <w:rFonts w:ascii="仿宋_GB2312" w:hAnsi="仿宋_GB2312" w:cs="仿宋_GB2312" w:eastAsia="仿宋_GB2312"/>
              </w:rPr>
              <w:t>提供如因养护不善枯死苗木，供应商须7日内同规格同品质免费补植，补植后保活12个月，二次枯死再次无偿补植承诺函计5分；承诺补植但保活期6个月计3分；承诺补植但不保活期计1分；未提供不计分。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承诺函--极端天气与安全应急承诺</w:t>
            </w:r>
          </w:p>
        </w:tc>
        <w:tc>
          <w:tcPr>
            <w:tcW w:type="dxa" w:w="2492"/>
          </w:tcPr>
          <w:p>
            <w:pPr>
              <w:pStyle w:val="null3"/>
            </w:pPr>
            <w:r>
              <w:rPr>
                <w:rFonts w:ascii="仿宋_GB2312" w:hAnsi="仿宋_GB2312" w:cs="仿宋_GB2312" w:eastAsia="仿宋_GB2312"/>
              </w:rPr>
              <w:t>提供极端天气下抢险机具物资，险情2小时内进场处置；全员购买意外险、第三者责任险，安全事故均有供应商承担全部赔偿等承诺函计2分；仅有简单应急说明、无物资保险保障计1分；未提供不计分。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绿化养护类似业绩证明材料，每提供一份完整的业绩证明材料得1分，满分为6分。（时间以合同签订时间为准，提供合同复印件和对应项目任意1张发票并加盖供应商公章，证明材料不提供或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详见附件：项目人员配备.docx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详见附件：服务保障方案.docx</w:t>
      </w:r>
    </w:p>
    <w:p>
      <w:pPr>
        <w:pStyle w:val="null3"/>
        <w:ind w:firstLine="960"/>
      </w:pPr>
      <w:r>
        <w:rPr>
          <w:rFonts w:ascii="仿宋_GB2312" w:hAnsi="仿宋_GB2312" w:cs="仿宋_GB2312" w:eastAsia="仿宋_GB2312"/>
        </w:rPr>
        <w:t>详见附件：产教融合服务方案.docx</w:t>
      </w:r>
    </w:p>
    <w:p>
      <w:pPr>
        <w:pStyle w:val="null3"/>
        <w:ind w:firstLine="960"/>
      </w:pPr>
      <w:r>
        <w:rPr>
          <w:rFonts w:ascii="仿宋_GB2312" w:hAnsi="仿宋_GB2312" w:cs="仿宋_GB2312" w:eastAsia="仿宋_GB2312"/>
        </w:rPr>
        <w:t>详见附件：人员管理制度.docx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详见附件：陕西省政府采购供应商拒绝政府采购领域商业贿赂.docx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