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版本号：SCZD2026-ZB-1552-00120260609002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2026年超融合平台及重症监护系统床位管理模块扩充项目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SCZD2026-ZB-1552-001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2026年超融合平台及重症监护系统床位管理模块扩充项目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SCZD2026-ZB-1552-001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2026年超融合平台及重症监护系统床位管理模块扩充项目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 超融合平台1套，将计算、存储、网络资源池化，实现统一智能管理。核心功能包括：支持虚拟机高可用与热迁移；提供多副本数据保护；实现安全隔离与流量可视；可显著简化数据中心架构，提升业务连续性与资源利用率。 2、 重症监护系统扩充7个床位管理模块，提供7个ICU病区床位的全生命周期管理，涵盖入科分配、在科监护、流转记录、出科归档等全流程业务支撑管理模块，且需与我院现用的重症监护系统兼容。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1、特定资格要求：1投标⼈合法注册的法⼈或其他组织的营业执照等证明⽂件。 2投标⼈在递交投标⽂件截⽌时间前被“信⽤中国”⽹站（www.creditchina.gov.cn）和中国政府采购⽹（www.ccgp.gov.cn）上被列⼊失信被执⾏⼈、重⼤税收违法失信主体、政府采购严重违法失信⾏为记录名单的，不得参加投标。 3投标⼈应授权合法的⼈员参加投标全过程，其中法定代表⼈（单位负责⼈）直接参加投标的，须出具法定代表⼈（单位负责⼈）⾝份证，并与营业执照上信息⼀致。法定代表⼈（单位负责⼈）授权代表参加投标的，须出具法定代表⼈（单位负责⼈）授权书及授权代表⾝份证、授权代表本单位证明（提供授权代表在本单位养⽼保险缴纳证明）。 4提供盖章的《汉中市政府采购供应商资格承诺函》。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1、特定资格要求：1投标⼈合法注册的法⼈或其他组织的营业执照等证明⽂件。 2投标⼈在递交投标⽂件截⽌时间前被“信⽤中国”⽹站（www.creditchina.gov.cn）和中国政府采购⽹（www.ccgp.gov.cn）上被列⼊失信被执⾏⼈、重⼤税收违法失信主体、政府采购严重违法失信⾏为记录名单的，不得参加投标。 3投标⼈应授权合法的⼈员参加投标全过程，其中法定代表⼈（单位负责⼈）直接参加投标的，须出具法定代表⼈（单位负责⼈）⾝份证，并与营业执照上信息⼀致。法定代表⼈（单位负责⼈）授权代表参加投标的，须出具法定代表⼈（单位负责⼈）授权书及授权代表⾝份证、授权代表本单位证明（提供授权代表在本单位养⽼保险缴纳证明）。 4提供盖章的《汉中市政府采购供应商资格承诺函》。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西安市⾼新区锦业路1号都市之⻔C座9层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采购包1：2,453,000.00元</w:t>
            </w:r>
          </w:p>
          <w:p>
            <w:pPr>
              <w:pStyle w:val="null3"/>
            </w:pPr>
            <w:r>
              <w:rPr>
                <w:rFonts w:ascii="仿宋_GB2312" w:hAnsi="仿宋_GB2312" w:cs="仿宋_GB2312" w:eastAsia="仿宋_GB2312"/>
              </w:rPr>
              <w:t>采购包2：280,000.00元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开户银行：中国银⾏西安南郊⽀⾏营业部</w:t>
            </w:r>
          </w:p>
          <w:p>
            <w:pPr>
              <w:pStyle w:val="null3"/>
            </w:pPr>
            <w:r>
              <w:rPr>
                <w:rFonts w:ascii="仿宋_GB2312" w:hAnsi="仿宋_GB2312" w:cs="仿宋_GB2312" w:eastAsia="仿宋_GB2312"/>
              </w:rPr>
              <w:t>银行账号：102461182979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说明：缴纳方式：银行转账、支票/汇票/本票、保函/保险。 履约保证⾦的退还：合同履⾏结束后按原提交⽅式退还。 不予退还的情形： （1）中标⼈将中标项⽬转让给他⼈，或者在投标⽂件中未说明，且未经采购⼈同意，将中标项⽬分包给他⼈的； （2）中标⼈拒绝履⾏合同义务的或承担相关责任的。 逾期退还履约保证⾦的违约责任：因逾期退还给供应商造成损失的，采购⼈应依法承担赔偿责任。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说明：缴纳方式：银行转账、支票/汇票/本票、保函/保险。 履约保证⾦的退还：合同履⾏结束后按原提交⽅式退还。 不予退还的情形： （1）中标⼈将中标项⽬转让给他⼈，或者在投标⽂件中未说明，且未经采购⼈同意，将中标项⽬分包给他⼈的； （2）中标⼈拒绝履⾏合同义务的或承担相关责任的。 逾期退还履约保证⾦的违约责任：因逾期退还给供应商造成损失的，采购⼈应依法承担赔偿责任。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代理服务费收费标准：参照《国家计委关于印发&lt;招标代理服务收费管理暂⾏办法&gt;的通知》（计价格[2002]1980号）规定标准按标段（包）收取，不⾜5000元按5000元收取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符合国家、⾏业现⾏的设计、安全、质量等相关标准规范要求，与采购⽂件、投标（响应）⽂件和承诺相⼀致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符合国家、⾏业现⾏的设计、安全、质量等相关标准规范要求，与采购⽂件、投标（响应）⽂件和承诺相⼀致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地址：西安市⾼新区锦业路1号都市之⻔C座9层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 超融合平台1套，将计算、存储、网络资源池化，实现统一智能管理。核心功能包括：支持虚拟机高可用与热迁移；提供多副本数据保护；实现安全隔离与流量可视；可显著简化数据中心架构，提升业务连续性与资源利用率。 2、 重症监护系统扩充7个床位管理模块，提供7个ICU病区床位的全生命周期管理，涵盖入科分配、在科监护、流转记录、出科归档等全流程业务支撑管理模块，且需与我院现用的重症监护系统兼容。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2,453,000.00</w:t>
      </w:r>
    </w:p>
    <w:p>
      <w:pPr>
        <w:pStyle w:val="null3"/>
      </w:pPr>
      <w:r>
        <w:rPr>
          <w:rFonts w:ascii="仿宋_GB2312" w:hAnsi="仿宋_GB2312" w:cs="仿宋_GB2312" w:eastAsia="仿宋_GB2312"/>
        </w:rPr>
        <w:t>采购包最高限价（元）: 2,453,000.00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超融合平台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重症监护系统床位管理模块扩充</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标的名称：超融合平台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8"/>
                <w:b/>
                <w:color w:val="000000"/>
              </w:rPr>
              <w:t>（一）内网国产化超融合集群（</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台）</w:t>
            </w:r>
          </w:p>
          <w:tbl>
            <w:tblPr>
              <w:tblBorders>
                <w:top w:val="none" w:color="000000" w:sz="4"/>
                <w:left w:val="none" w:color="000000" w:sz="4"/>
                <w:bottom w:val="none" w:color="000000" w:sz="4"/>
                <w:right w:val="none" w:color="000000" w:sz="4"/>
                <w:insideH w:val="none"/>
                <w:insideV w:val="none"/>
              </w:tblBorders>
            </w:tblPr>
            <w:tblGrid>
              <w:gridCol w:w="248"/>
              <w:gridCol w:w="442"/>
              <w:gridCol w:w="176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w:t>
                  </w:r>
                </w:p>
                <w:p>
                  <w:pPr>
                    <w:pStyle w:val="null3"/>
                    <w:jc w:val="center"/>
                  </w:pPr>
                  <w:r>
                    <w:rPr>
                      <w:rFonts w:ascii="仿宋_GB2312" w:hAnsi="仿宋_GB2312" w:cs="仿宋_GB2312" w:eastAsia="仿宋_GB2312"/>
                      <w:sz w:val="24"/>
                      <w:b/>
                      <w:color w:val="000000"/>
                    </w:rPr>
                    <w:t>名称</w:t>
                  </w:r>
                </w:p>
              </w:tc>
              <w:tc>
                <w:tcPr>
                  <w:tcW w:type="dxa" w:w="22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内网超融合服务器</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硬件参数</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硬件要求：本次配置</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国产品牌</w:t>
                  </w:r>
                  <w:r>
                    <w:rPr>
                      <w:rFonts w:ascii="仿宋_GB2312" w:hAnsi="仿宋_GB2312" w:cs="仿宋_GB2312" w:eastAsia="仿宋_GB2312"/>
                      <w:sz w:val="24"/>
                      <w:color w:val="000000"/>
                    </w:rPr>
                    <w:t>，</w:t>
                  </w:r>
                  <w:r>
                    <w:rPr>
                      <w:rFonts w:ascii="仿宋_GB2312" w:hAnsi="仿宋_GB2312" w:cs="仿宋_GB2312" w:eastAsia="仿宋_GB2312"/>
                      <w:sz w:val="24"/>
                      <w:color w:val="000000"/>
                    </w:rPr>
                    <w:t>2U</w:t>
                  </w:r>
                  <w:r>
                    <w:rPr>
                      <w:rFonts w:ascii="仿宋_GB2312" w:hAnsi="仿宋_GB2312" w:cs="仿宋_GB2312" w:eastAsia="仿宋_GB2312"/>
                      <w:sz w:val="24"/>
                      <w:color w:val="000000"/>
                    </w:rPr>
                    <w:t>标准机架式；</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处理器</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颗国产</w:t>
                  </w:r>
                  <w:r>
                    <w:rPr>
                      <w:rFonts w:ascii="仿宋_GB2312" w:hAnsi="仿宋_GB2312" w:cs="仿宋_GB2312" w:eastAsia="仿宋_GB2312"/>
                      <w:sz w:val="24"/>
                    </w:rPr>
                    <w:t>C86</w:t>
                  </w:r>
                  <w:r>
                    <w:rPr>
                      <w:rFonts w:ascii="仿宋_GB2312" w:hAnsi="仿宋_GB2312" w:cs="仿宋_GB2312" w:eastAsia="仿宋_GB2312"/>
                      <w:sz w:val="24"/>
                    </w:rPr>
                    <w:t>处理器，每颗处理器要求（核数</w:t>
                  </w:r>
                  <w:r>
                    <w:rPr>
                      <w:rFonts w:ascii="仿宋_GB2312" w:hAnsi="仿宋_GB2312" w:cs="仿宋_GB2312" w:eastAsia="仿宋_GB2312"/>
                      <w:sz w:val="24"/>
                    </w:rPr>
                    <w:t>≥32</w:t>
                  </w:r>
                  <w:r>
                    <w:rPr>
                      <w:rFonts w:ascii="仿宋_GB2312" w:hAnsi="仿宋_GB2312" w:cs="仿宋_GB2312" w:eastAsia="仿宋_GB2312"/>
                      <w:sz w:val="24"/>
                    </w:rPr>
                    <w:t>核，主频</w:t>
                  </w:r>
                  <w:r>
                    <w:rPr>
                      <w:rFonts w:ascii="仿宋_GB2312" w:hAnsi="仿宋_GB2312" w:cs="仿宋_GB2312" w:eastAsia="仿宋_GB2312"/>
                      <w:sz w:val="24"/>
                    </w:rPr>
                    <w:t>≥2.5GHz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≥640GB DDR5</w:t>
                  </w:r>
                  <w:r>
                    <w:rPr>
                      <w:rFonts w:ascii="仿宋_GB2312" w:hAnsi="仿宋_GB2312" w:cs="仿宋_GB2312" w:eastAsia="仿宋_GB2312"/>
                      <w:sz w:val="24"/>
                      <w:color w:val="000000"/>
                    </w:rPr>
                    <w:t>内存，单根内存</w:t>
                  </w:r>
                  <w:r>
                    <w:rPr>
                      <w:rFonts w:ascii="仿宋_GB2312" w:hAnsi="仿宋_GB2312" w:cs="仿宋_GB2312" w:eastAsia="仿宋_GB2312"/>
                      <w:sz w:val="24"/>
                      <w:color w:val="000000"/>
                    </w:rPr>
                    <w:t>≥64GB</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≥2</w:t>
                  </w:r>
                  <w:r>
                    <w:rPr>
                      <w:rFonts w:ascii="仿宋_GB2312" w:hAnsi="仿宋_GB2312" w:cs="仿宋_GB2312" w:eastAsia="仿宋_GB2312"/>
                      <w:sz w:val="24"/>
                      <w:color w:val="000000"/>
                    </w:rPr>
                    <w:t>块</w:t>
                  </w:r>
                  <w:r>
                    <w:rPr>
                      <w:rFonts w:ascii="仿宋_GB2312" w:hAnsi="仿宋_GB2312" w:cs="仿宋_GB2312" w:eastAsia="仿宋_GB2312"/>
                      <w:sz w:val="24"/>
                      <w:color w:val="000000"/>
                    </w:rPr>
                    <w:t>480GB SSD</w:t>
                  </w:r>
                  <w:r>
                    <w:rPr>
                      <w:rFonts w:ascii="仿宋_GB2312" w:hAnsi="仿宋_GB2312" w:cs="仿宋_GB2312" w:eastAsia="仿宋_GB2312"/>
                      <w:sz w:val="24"/>
                      <w:color w:val="000000"/>
                    </w:rPr>
                    <w:t>系统盘；</w:t>
                  </w:r>
                  <w:r>
                    <w:rPr>
                      <w:rFonts w:ascii="仿宋_GB2312" w:hAnsi="仿宋_GB2312" w:cs="仿宋_GB2312" w:eastAsia="仿宋_GB2312"/>
                      <w:sz w:val="24"/>
                      <w:color w:val="000000"/>
                    </w:rPr>
                    <w:t>≥2</w:t>
                  </w:r>
                  <w:r>
                    <w:rPr>
                      <w:rFonts w:ascii="仿宋_GB2312" w:hAnsi="仿宋_GB2312" w:cs="仿宋_GB2312" w:eastAsia="仿宋_GB2312"/>
                      <w:sz w:val="24"/>
                      <w:color w:val="000000"/>
                    </w:rPr>
                    <w:t>块</w:t>
                  </w:r>
                  <w:r>
                    <w:rPr>
                      <w:rFonts w:ascii="仿宋_GB2312" w:hAnsi="仿宋_GB2312" w:cs="仿宋_GB2312" w:eastAsia="仿宋_GB2312"/>
                      <w:sz w:val="24"/>
                      <w:color w:val="000000"/>
                    </w:rPr>
                    <w:t>3.84TB NVMe SSD</w:t>
                  </w:r>
                  <w:r>
                    <w:rPr>
                      <w:rFonts w:ascii="仿宋_GB2312" w:hAnsi="仿宋_GB2312" w:cs="仿宋_GB2312" w:eastAsia="仿宋_GB2312"/>
                      <w:sz w:val="24"/>
                      <w:color w:val="000000"/>
                    </w:rPr>
                    <w:t>缓存盘；</w:t>
                  </w:r>
                  <w:r>
                    <w:rPr>
                      <w:rFonts w:ascii="仿宋_GB2312" w:hAnsi="仿宋_GB2312" w:cs="仿宋_GB2312" w:eastAsia="仿宋_GB2312"/>
                      <w:sz w:val="24"/>
                      <w:color w:val="000000"/>
                    </w:rPr>
                    <w:t>≥8</w:t>
                  </w:r>
                  <w:r>
                    <w:rPr>
                      <w:rFonts w:ascii="仿宋_GB2312" w:hAnsi="仿宋_GB2312" w:cs="仿宋_GB2312" w:eastAsia="仿宋_GB2312"/>
                      <w:sz w:val="24"/>
                      <w:color w:val="000000"/>
                    </w:rPr>
                    <w:t>块</w:t>
                  </w:r>
                  <w:r>
                    <w:rPr>
                      <w:rFonts w:ascii="仿宋_GB2312" w:hAnsi="仿宋_GB2312" w:cs="仿宋_GB2312" w:eastAsia="仿宋_GB2312"/>
                      <w:sz w:val="24"/>
                      <w:color w:val="000000"/>
                    </w:rPr>
                    <w:t>8TB HDD</w:t>
                  </w:r>
                  <w:r>
                    <w:rPr>
                      <w:rFonts w:ascii="仿宋_GB2312" w:hAnsi="仿宋_GB2312" w:cs="仿宋_GB2312" w:eastAsia="仿宋_GB2312"/>
                      <w:sz w:val="24"/>
                      <w:color w:val="000000"/>
                    </w:rPr>
                    <w:t>数据盘；</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阵列控制器：配置</w:t>
                  </w:r>
                  <w:r>
                    <w:rPr>
                      <w:rFonts w:ascii="仿宋_GB2312" w:hAnsi="仿宋_GB2312" w:cs="仿宋_GB2312" w:eastAsia="仿宋_GB2312"/>
                      <w:sz w:val="24"/>
                      <w:color w:val="000000"/>
                    </w:rPr>
                    <w:t>≥1</w:t>
                  </w:r>
                  <w:r>
                    <w:rPr>
                      <w:rFonts w:ascii="仿宋_GB2312" w:hAnsi="仿宋_GB2312" w:cs="仿宋_GB2312" w:eastAsia="仿宋_GB2312"/>
                      <w:sz w:val="24"/>
                      <w:color w:val="000000"/>
                    </w:rPr>
                    <w:t>块</w:t>
                  </w:r>
                  <w:r>
                    <w:rPr>
                      <w:rFonts w:ascii="仿宋_GB2312" w:hAnsi="仿宋_GB2312" w:cs="仿宋_GB2312" w:eastAsia="仿宋_GB2312"/>
                      <w:sz w:val="24"/>
                      <w:color w:val="000000"/>
                    </w:rPr>
                    <w:t>12Gb SAS RAID</w:t>
                  </w:r>
                  <w:r>
                    <w:rPr>
                      <w:rFonts w:ascii="仿宋_GB2312" w:hAnsi="仿宋_GB2312" w:cs="仿宋_GB2312" w:eastAsia="仿宋_GB2312"/>
                      <w:sz w:val="24"/>
                      <w:color w:val="000000"/>
                    </w:rPr>
                    <w:t>卡（支持</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w:t>
                  </w:r>
                  <w:r>
                    <w:rPr>
                      <w:rFonts w:ascii="仿宋_GB2312" w:hAnsi="仿宋_GB2312" w:cs="仿宋_GB2312" w:eastAsia="仿宋_GB2312"/>
                      <w:sz w:val="24"/>
                      <w:color w:val="000000"/>
                    </w:rPr>
                    <w:t>SAS</w:t>
                  </w:r>
                  <w:r>
                    <w:rPr>
                      <w:rFonts w:ascii="仿宋_GB2312" w:hAnsi="仿宋_GB2312" w:cs="仿宋_GB2312" w:eastAsia="仿宋_GB2312"/>
                      <w:sz w:val="24"/>
                      <w:color w:val="000000"/>
                    </w:rPr>
                    <w:t>口，</w:t>
                  </w:r>
                  <w:r>
                    <w:rPr>
                      <w:rFonts w:ascii="仿宋_GB2312" w:hAnsi="仿宋_GB2312" w:cs="仿宋_GB2312" w:eastAsia="仿宋_GB2312"/>
                      <w:sz w:val="24"/>
                      <w:color w:val="000000"/>
                    </w:rPr>
                    <w:t>4G</w:t>
                  </w:r>
                  <w:r>
                    <w:rPr>
                      <w:rFonts w:ascii="仿宋_GB2312" w:hAnsi="仿宋_GB2312" w:cs="仿宋_GB2312" w:eastAsia="仿宋_GB2312"/>
                      <w:sz w:val="24"/>
                      <w:color w:val="000000"/>
                    </w:rPr>
                    <w:t xml:space="preserve">缓存），配置掉电保护模块，支持 </w:t>
                  </w:r>
                  <w:r>
                    <w:rPr>
                      <w:rFonts w:ascii="仿宋_GB2312" w:hAnsi="仿宋_GB2312" w:cs="仿宋_GB2312" w:eastAsia="仿宋_GB2312"/>
                      <w:sz w:val="24"/>
                      <w:color w:val="000000"/>
                    </w:rPr>
                    <w:t>RAID0/1/10/5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6.PCIe</w:t>
                  </w:r>
                  <w:r>
                    <w:rPr>
                      <w:rFonts w:ascii="仿宋_GB2312" w:hAnsi="仿宋_GB2312" w:cs="仿宋_GB2312" w:eastAsia="仿宋_GB2312"/>
                      <w:sz w:val="24"/>
                      <w:color w:val="000000"/>
                    </w:rPr>
                    <w:t>槽位：支持多达</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PCle 5.0</w:t>
                  </w:r>
                  <w:r>
                    <w:rPr>
                      <w:rFonts w:ascii="仿宋_GB2312" w:hAnsi="仿宋_GB2312" w:cs="仿宋_GB2312" w:eastAsia="仿宋_GB2312"/>
                      <w:sz w:val="24"/>
                      <w:color w:val="000000"/>
                    </w:rPr>
                    <w:t>可用插槽；</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个万兆光口（满配多模光模块）；</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电源：配置双电源，支持冗余；</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兼容性要求</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满足</w:t>
                  </w:r>
                  <w:r>
                    <w:rPr>
                      <w:rFonts w:ascii="仿宋_GB2312" w:hAnsi="仿宋_GB2312" w:cs="仿宋_GB2312" w:eastAsia="仿宋_GB2312"/>
                      <w:sz w:val="24"/>
                      <w:color w:val="000000"/>
                    </w:rPr>
                    <w:t>超融合软硬件兼容性。</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计算虚拟化软件、存储虚拟化软件、网络虚拟化软件、安全虚拟化软件、云计算管理平台、持续数据保护软件为同一品牌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提供相应的计算机软件著作权登记证书</w:t>
                  </w:r>
                  <w:r>
                    <w:rPr>
                      <w:rFonts w:ascii="仿宋_GB2312" w:hAnsi="仿宋_GB2312" w:cs="仿宋_GB2312" w:eastAsia="仿宋_GB2312"/>
                      <w:sz w:val="24"/>
                      <w:b/>
                      <w:color w:val="000000"/>
                    </w:rPr>
                    <w:t>加盖公章</w:t>
                  </w:r>
                  <w:r>
                    <w:rPr>
                      <w:rFonts w:ascii="仿宋_GB2312" w:hAnsi="仿宋_GB2312" w:cs="仿宋_GB2312" w:eastAsia="仿宋_GB2312"/>
                      <w:sz w:val="24"/>
                      <w:b/>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产品核心组件（</w:t>
                  </w:r>
                  <w:r>
                    <w:rPr>
                      <w:rFonts w:ascii="仿宋_GB2312" w:hAnsi="仿宋_GB2312" w:cs="仿宋_GB2312" w:eastAsia="仿宋_GB2312"/>
                      <w:sz w:val="24"/>
                      <w:color w:val="000000"/>
                    </w:rPr>
                    <w:t>CPU</w:t>
                  </w:r>
                  <w:r>
                    <w:rPr>
                      <w:rFonts w:ascii="仿宋_GB2312" w:hAnsi="仿宋_GB2312" w:cs="仿宋_GB2312" w:eastAsia="仿宋_GB2312"/>
                      <w:sz w:val="24"/>
                      <w:color w:val="000000"/>
                    </w:rPr>
                    <w:t>）须采用国产化产品实现，满足国产化自主可控要求。</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为了保障我院本次国产化平台的向后兼容性，超融合软件需具备海光、飞腾、兆芯、鲲鹏等主流国产</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平台的厂商互认证书</w:t>
                  </w:r>
                  <w:r>
                    <w:rPr>
                      <w:rFonts w:ascii="仿宋_GB2312" w:hAnsi="仿宋_GB2312" w:cs="仿宋_GB2312" w:eastAsia="仿宋_GB2312"/>
                      <w:sz w:val="24"/>
                      <w:b/>
                      <w:color w:val="000000"/>
                    </w:rPr>
                    <w:t>（提供相关有效证明材料并加盖公章）</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 ★</w:t>
                  </w:r>
                  <w:r>
                    <w:rPr>
                      <w:rFonts w:ascii="仿宋_GB2312" w:hAnsi="仿宋_GB2312" w:cs="仿宋_GB2312" w:eastAsia="仿宋_GB2312"/>
                      <w:sz w:val="24"/>
                      <w:color w:val="000000"/>
                    </w:rPr>
                    <w:t>为保证超融合系统稳定性，超融合底层采用自研操作系统</w:t>
                  </w:r>
                  <w:r>
                    <w:rPr>
                      <w:rFonts w:ascii="仿宋_GB2312" w:hAnsi="仿宋_GB2312" w:cs="仿宋_GB2312" w:eastAsia="仿宋_GB2312"/>
                      <w:sz w:val="24"/>
                      <w:b/>
                      <w:color w:val="000000"/>
                    </w:rPr>
                    <w:t>（提供软件著作权证书</w:t>
                  </w:r>
                  <w:r>
                    <w:rPr>
                      <w:rFonts w:ascii="仿宋_GB2312" w:hAnsi="仿宋_GB2312" w:cs="仿宋_GB2312" w:eastAsia="仿宋_GB2312"/>
                      <w:sz w:val="24"/>
                      <w:b/>
                      <w:color w:val="000000"/>
                    </w:rPr>
                    <w:t>加盖公章</w:t>
                  </w:r>
                  <w:r>
                    <w:rPr>
                      <w:rFonts w:ascii="仿宋_GB2312" w:hAnsi="仿宋_GB2312" w:cs="仿宋_GB2312" w:eastAsia="仿宋_GB2312"/>
                      <w:sz w:val="24"/>
                      <w:b/>
                      <w:color w:val="000000"/>
                    </w:rPr>
                    <w:t>或提供满足本次所需国产商用操作系统</w:t>
                  </w:r>
                  <w:r>
                    <w:rPr>
                      <w:rFonts w:ascii="仿宋_GB2312" w:hAnsi="仿宋_GB2312" w:cs="仿宋_GB2312" w:eastAsia="仿宋_GB2312"/>
                      <w:sz w:val="24"/>
                      <w:b/>
                      <w:color w:val="000000"/>
                    </w:rPr>
                    <w:t>）</w:t>
                  </w:r>
                  <w:r>
                    <w:rPr>
                      <w:rFonts w:ascii="仿宋_GB2312" w:hAnsi="仿宋_GB2312" w:cs="仿宋_GB2312" w:eastAsia="仿宋_GB2312"/>
                      <w:sz w:val="24"/>
                      <w:color w:val="000000"/>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云计算管理平台软件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包含管理平台软件</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套</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提供可视化实时监控硬件可靠性功能：包括不限于</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、内存、磁盘、物理网卡和</w:t>
                  </w:r>
                  <w:r>
                    <w:rPr>
                      <w:rFonts w:ascii="仿宋_GB2312" w:hAnsi="仿宋_GB2312" w:cs="仿宋_GB2312" w:eastAsia="仿宋_GB2312"/>
                      <w:sz w:val="24"/>
                      <w:color w:val="000000"/>
                    </w:rPr>
                    <w:t>Raid</w:t>
                  </w:r>
                  <w:r>
                    <w:rPr>
                      <w:rFonts w:ascii="仿宋_GB2312" w:hAnsi="仿宋_GB2312" w:cs="仿宋_GB2312" w:eastAsia="仿宋_GB2312"/>
                      <w:sz w:val="24"/>
                      <w:color w:val="000000"/>
                    </w:rPr>
                    <w:t>卡、集群可靠性、虚拟机运行状态和虚拟机备份、集群资源过载状态等进行实时监控、分层展示，运维人员可以直观查看集群的整体运行情况，可以快速诊断集群的健康状态；</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产品应支持纳管物理机，实现物理机状态的监控。</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支持直观展示虚拟化资源池的健康状态，快速定位软硬件故障；实现虚拟机在不同平台间的平滑迁移；基于模板一键创建虚拟机或应用；支持故障硬盘的更换向导。</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．超融合平台提供统一</w:t>
                  </w:r>
                  <w:r>
                    <w:rPr>
                      <w:rFonts w:ascii="仿宋_GB2312" w:hAnsi="仿宋_GB2312" w:cs="仿宋_GB2312" w:eastAsia="仿宋_GB2312"/>
                      <w:sz w:val="24"/>
                      <w:color w:val="000000"/>
                    </w:rPr>
                    <w:t>Web</w:t>
                  </w:r>
                  <w:r>
                    <w:rPr>
                      <w:rFonts w:ascii="仿宋_GB2312" w:hAnsi="仿宋_GB2312" w:cs="仿宋_GB2312" w:eastAsia="仿宋_GB2312"/>
                      <w:sz w:val="24"/>
                      <w:color w:val="000000"/>
                    </w:rPr>
                    <w:t>管理平台，可同时管理计算、存储、网络、安全资源，满足</w:t>
                  </w:r>
                  <w:r>
                    <w:rPr>
                      <w:rFonts w:ascii="仿宋_GB2312" w:hAnsi="仿宋_GB2312" w:cs="仿宋_GB2312" w:eastAsia="仿宋_GB2312"/>
                      <w:sz w:val="24"/>
                      <w:color w:val="000000"/>
                    </w:rPr>
                    <w:t>GB/T45399-2025</w:t>
                  </w:r>
                  <w:r>
                    <w:rPr>
                      <w:rFonts w:ascii="仿宋_GB2312" w:hAnsi="仿宋_GB2312" w:cs="仿宋_GB2312" w:eastAsia="仿宋_GB2312"/>
                      <w:sz w:val="24"/>
                      <w:color w:val="000000"/>
                    </w:rPr>
                    <w:t>《信息技术云计算超融合系统通用技术要求》国家标准要求；</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支持使用一键鼠标按钮快速查看、启动、删除、批量启动和批量删除长时间未使用且处于关闭状态的虚拟机，进行资源利用率统计</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提供第三方检测机构出具的检测报告</w:t>
                  </w:r>
                  <w:r>
                    <w:rPr>
                      <w:rFonts w:ascii="仿宋_GB2312" w:hAnsi="仿宋_GB2312" w:cs="仿宋_GB2312" w:eastAsia="仿宋_GB2312"/>
                      <w:sz w:val="24"/>
                      <w:b/>
                      <w:color w:val="000000"/>
                    </w:rPr>
                    <w:t>加盖公章</w:t>
                  </w:r>
                  <w:r>
                    <w:rPr>
                      <w:rFonts w:ascii="仿宋_GB2312" w:hAnsi="仿宋_GB2312" w:cs="仿宋_GB2312" w:eastAsia="仿宋_GB2312"/>
                      <w:sz w:val="24"/>
                      <w:color w:val="000000"/>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提供计算服务虚拟化软件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为了保障我单位内网核心业务系统的稳定性，平台应支持对有问题的服务器进行标记并提醒运维人员；支持对内存</w:t>
                  </w:r>
                  <w:r>
                    <w:rPr>
                      <w:rFonts w:ascii="仿宋_GB2312" w:hAnsi="仿宋_GB2312" w:cs="仿宋_GB2312" w:eastAsia="仿宋_GB2312"/>
                      <w:sz w:val="24"/>
                      <w:color w:val="000000"/>
                    </w:rPr>
                    <w:t>ECC</w:t>
                  </w:r>
                  <w:r>
                    <w:rPr>
                      <w:rFonts w:ascii="仿宋_GB2312" w:hAnsi="仿宋_GB2312" w:cs="仿宋_GB2312" w:eastAsia="仿宋_GB2312"/>
                      <w:sz w:val="24"/>
                      <w:color w:val="000000"/>
                    </w:rPr>
                    <w:t>自动纠错，可对坏盘进行隔离；支持对</w:t>
                  </w:r>
                  <w:r>
                    <w:rPr>
                      <w:rFonts w:ascii="仿宋_GB2312" w:hAnsi="仿宋_GB2312" w:cs="仿宋_GB2312" w:eastAsia="仿宋_GB2312"/>
                      <w:sz w:val="24"/>
                      <w:color w:val="000000"/>
                    </w:rPr>
                    <w:t>raid</w:t>
                  </w:r>
                  <w:r>
                    <w:rPr>
                      <w:rFonts w:ascii="仿宋_GB2312" w:hAnsi="仿宋_GB2312" w:cs="仿宋_GB2312" w:eastAsia="仿宋_GB2312"/>
                      <w:sz w:val="24"/>
                      <w:color w:val="000000"/>
                    </w:rPr>
                    <w:t>卡的故障问题进行查看。</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虚拟化平台支持</w:t>
                  </w:r>
                  <w:r>
                    <w:rPr>
                      <w:rFonts w:ascii="仿宋_GB2312" w:hAnsi="仿宋_GB2312" w:cs="仿宋_GB2312" w:eastAsia="仿宋_GB2312"/>
                      <w:sz w:val="24"/>
                      <w:color w:val="000000"/>
                    </w:rPr>
                    <w:t>CPU</w:t>
                  </w:r>
                  <w:r>
                    <w:rPr>
                      <w:rFonts w:ascii="仿宋_GB2312" w:hAnsi="仿宋_GB2312" w:cs="仿宋_GB2312" w:eastAsia="仿宋_GB2312"/>
                      <w:sz w:val="24"/>
                      <w:color w:val="000000"/>
                    </w:rPr>
                    <w:t xml:space="preserve">、内存等热添加，支持配置节点间动态资源调度功能，满足不同业务的性能需求；  </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提供虚拟机快照创建、还原和删除功能，支持打开内存快照，帮助客户精确还原运行时的状态，保障还原的虚机是启动状态。（</w:t>
                  </w:r>
                  <w:r>
                    <w:rPr>
                      <w:rFonts w:ascii="仿宋_GB2312" w:hAnsi="仿宋_GB2312" w:cs="仿宋_GB2312" w:eastAsia="仿宋_GB2312"/>
                      <w:sz w:val="24"/>
                      <w:b/>
                      <w:color w:val="000000"/>
                    </w:rPr>
                    <w:t>提供第三方检测机构出具的检测报告</w:t>
                  </w:r>
                  <w:r>
                    <w:rPr>
                      <w:rFonts w:ascii="仿宋_GB2312" w:hAnsi="仿宋_GB2312" w:cs="仿宋_GB2312" w:eastAsia="仿宋_GB2312"/>
                      <w:sz w:val="24"/>
                      <w:b/>
                      <w:color w:val="000000"/>
                    </w:rPr>
                    <w:t>加盖公章</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rPr>
                    <w:t>▲</w:t>
                  </w:r>
                  <w:r>
                    <w:rPr>
                      <w:rFonts w:ascii="仿宋_GB2312" w:hAnsi="仿宋_GB2312" w:cs="仿宋_GB2312" w:eastAsia="仿宋_GB2312"/>
                      <w:sz w:val="24"/>
                    </w:rPr>
                    <w:t>为保障我院业务持续性，支持应用</w:t>
                  </w:r>
                  <w:r>
                    <w:rPr>
                      <w:rFonts w:ascii="仿宋_GB2312" w:hAnsi="仿宋_GB2312" w:cs="仿宋_GB2312" w:eastAsia="仿宋_GB2312"/>
                      <w:sz w:val="24"/>
                    </w:rPr>
                    <w:t>HA</w:t>
                  </w:r>
                  <w:r>
                    <w:rPr>
                      <w:rFonts w:ascii="仿宋_GB2312" w:hAnsi="仿宋_GB2312" w:cs="仿宋_GB2312" w:eastAsia="仿宋_GB2312"/>
                      <w:sz w:val="24"/>
                    </w:rPr>
                    <w:t>能力，免虚拟机内置代理，自动检测、快速修复应用运行故障；支持自定义监控脚本，灵活拓展各类业务应用的监控场景（</w:t>
                  </w:r>
                  <w:r>
                    <w:rPr>
                      <w:rFonts w:ascii="仿宋_GB2312" w:hAnsi="仿宋_GB2312" w:cs="仿宋_GB2312" w:eastAsia="仿宋_GB2312"/>
                      <w:sz w:val="24"/>
                      <w:b/>
                    </w:rPr>
                    <w:t>提供第三方检测机构出具的检测报告</w:t>
                  </w:r>
                  <w:r>
                    <w:rPr>
                      <w:rFonts w:ascii="仿宋_GB2312" w:hAnsi="仿宋_GB2312" w:cs="仿宋_GB2312" w:eastAsia="仿宋_GB2312"/>
                      <w:sz w:val="24"/>
                      <w:b/>
                      <w:color w:val="000000"/>
                    </w:rPr>
                    <w:t>加盖公章</w:t>
                  </w:r>
                  <w:r>
                    <w:rPr>
                      <w:rFonts w:ascii="仿宋_GB2312" w:hAnsi="仿宋_GB2312" w:cs="仿宋_GB2312" w:eastAsia="仿宋_GB2312"/>
                      <w:sz w:val="24"/>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存储虚拟化软件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提供存储虚拟化永久授权软件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支持资源容量预测服务，内置时间序列模型，管理平台自动化实现数据检索预测，提供用户易用的数据预测服务，服务支持呈现实时的</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、内存和存储容量资源使用数据信息展示；</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为降低硬盘损坏带来的影响，需支持硬盘寿命预测功能，可预估硬盘剩余可使用时间，进行实时预警，提醒我院在硬盘寿命到期之前安全更换硬盘。（</w:t>
                  </w:r>
                  <w:r>
                    <w:rPr>
                      <w:rFonts w:ascii="仿宋_GB2312" w:hAnsi="仿宋_GB2312" w:cs="仿宋_GB2312" w:eastAsia="仿宋_GB2312"/>
                      <w:sz w:val="24"/>
                      <w:b/>
                      <w:color w:val="000000"/>
                    </w:rPr>
                    <w:t>提供相关有效证明材料</w:t>
                  </w:r>
                  <w:r>
                    <w:rPr>
                      <w:rFonts w:ascii="仿宋_GB2312" w:hAnsi="仿宋_GB2312" w:cs="仿宋_GB2312" w:eastAsia="仿宋_GB2312"/>
                      <w:sz w:val="24"/>
                      <w:b/>
                      <w:color w:val="000000"/>
                    </w:rPr>
                    <w:t>加盖公章</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4"/>
                      <w:color w:val="000000"/>
                    </w:rPr>
                    <w:t>为保障我院业务系统数据高可靠与未来容量增长需求，本次投标超融合产品须按照＞</w:t>
                  </w:r>
                  <w:r>
                    <w:rPr>
                      <w:rFonts w:ascii="仿宋_GB2312" w:hAnsi="仿宋_GB2312" w:cs="仿宋_GB2312" w:eastAsia="仿宋_GB2312"/>
                      <w:sz w:val="24"/>
                      <w:color w:val="000000"/>
                    </w:rPr>
                    <w:t>2</w:t>
                  </w:r>
                  <w:r>
                    <w:rPr>
                      <w:rFonts w:ascii="仿宋_GB2312" w:hAnsi="仿宋_GB2312" w:cs="仿宋_GB2312" w:eastAsia="仿宋_GB2312"/>
                      <w:sz w:val="24"/>
                      <w:color w:val="000000"/>
                    </w:rPr>
                    <w:t>副本冗余或纠删码（</w:t>
                  </w:r>
                  <w:r>
                    <w:rPr>
                      <w:rFonts w:ascii="仿宋_GB2312" w:hAnsi="仿宋_GB2312" w:cs="仿宋_GB2312" w:eastAsia="仿宋_GB2312"/>
                      <w:sz w:val="24"/>
                      <w:color w:val="000000"/>
                    </w:rPr>
                    <w:t>EC</w:t>
                  </w:r>
                  <w:r>
                    <w:rPr>
                      <w:rFonts w:ascii="仿宋_GB2312" w:hAnsi="仿宋_GB2312" w:cs="仿宋_GB2312" w:eastAsia="仿宋_GB2312"/>
                      <w:sz w:val="24"/>
                      <w:color w:val="000000"/>
                    </w:rPr>
                    <w:t>）数据保护机制，部署完成后集群有效可用容量不低于</w:t>
                  </w:r>
                  <w:r>
                    <w:rPr>
                      <w:rFonts w:ascii="仿宋_GB2312" w:hAnsi="仿宋_GB2312" w:cs="仿宋_GB2312" w:eastAsia="仿宋_GB2312"/>
                      <w:sz w:val="24"/>
                      <w:color w:val="000000"/>
                    </w:rPr>
                    <w:t>98TiB</w:t>
                  </w:r>
                  <w:r>
                    <w:rPr>
                      <w:rFonts w:ascii="仿宋_GB2312" w:hAnsi="仿宋_GB2312" w:cs="仿宋_GB2312" w:eastAsia="仿宋_GB2312"/>
                      <w:sz w:val="24"/>
                      <w:color w:val="000000"/>
                    </w:rPr>
                    <w:t>，投标厂商可按照可用容量要求自行扩展。</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提供网络虚拟化永久授权软件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平台支持网络拓扑构建，实现虚拟网络连接、开启和关闭等操作。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支持大三层</w:t>
                  </w:r>
                  <w:r>
                    <w:rPr>
                      <w:rFonts w:ascii="仿宋_GB2312" w:hAnsi="仿宋_GB2312" w:cs="仿宋_GB2312" w:eastAsia="仿宋_GB2312"/>
                      <w:sz w:val="24"/>
                    </w:rPr>
                    <w:t>Vxlan</w:t>
                  </w:r>
                  <w:r>
                    <w:rPr>
                      <w:rFonts w:ascii="仿宋_GB2312" w:hAnsi="仿宋_GB2312" w:cs="仿宋_GB2312" w:eastAsia="仿宋_GB2312"/>
                      <w:sz w:val="24"/>
                    </w:rPr>
                    <w:t>网络与医院现有的局域网，保障网络环境兼容。</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为满足医疗行业软件发展趋势，软件应支持在界面上为虚拟机配置</w:t>
                  </w:r>
                  <w:r>
                    <w:rPr>
                      <w:rFonts w:ascii="仿宋_GB2312" w:hAnsi="仿宋_GB2312" w:cs="仿宋_GB2312" w:eastAsia="仿宋_GB2312"/>
                      <w:sz w:val="24"/>
                      <w:color w:val="000000"/>
                    </w:rPr>
                    <w:t>IPv6</w:t>
                  </w:r>
                  <w:r>
                    <w:rPr>
                      <w:rFonts w:ascii="仿宋_GB2312" w:hAnsi="仿宋_GB2312" w:cs="仿宋_GB2312" w:eastAsia="仿宋_GB2312"/>
                      <w:sz w:val="24"/>
                      <w:color w:val="000000"/>
                    </w:rPr>
                    <w:t>地址并访问业务。</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为实现虚拟机东西向流量防护，满足防病毒、深度包检测，支持按照服务器物理</w:t>
                  </w:r>
                  <w:r>
                    <w:rPr>
                      <w:rFonts w:ascii="仿宋_GB2312" w:hAnsi="仿宋_GB2312" w:cs="仿宋_GB2312" w:eastAsia="仿宋_GB2312"/>
                      <w:sz w:val="24"/>
                      <w:color w:val="000000"/>
                    </w:rPr>
                    <w:t>CPU</w:t>
                  </w:r>
                  <w:r>
                    <w:rPr>
                      <w:rFonts w:ascii="仿宋_GB2312" w:hAnsi="仿宋_GB2312" w:cs="仿宋_GB2312" w:eastAsia="仿宋_GB2312"/>
                      <w:sz w:val="24"/>
                      <w:color w:val="000000"/>
                    </w:rPr>
                    <w:t>模式或客户端授权，配置</w:t>
                  </w:r>
                  <w:r>
                    <w:rPr>
                      <w:rFonts w:ascii="仿宋_GB2312" w:hAnsi="仿宋_GB2312" w:cs="仿宋_GB2312" w:eastAsia="仿宋_GB2312"/>
                      <w:sz w:val="24"/>
                      <w:color w:val="000000"/>
                    </w:rPr>
                    <w:t>≥6</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授权或</w:t>
                  </w:r>
                  <w:r>
                    <w:rPr>
                      <w:rFonts w:ascii="仿宋_GB2312" w:hAnsi="仿宋_GB2312" w:cs="仿宋_GB2312" w:eastAsia="仿宋_GB2312"/>
                      <w:sz w:val="24"/>
                      <w:color w:val="000000"/>
                    </w:rPr>
                    <w:t>≥180</w:t>
                  </w:r>
                  <w:r>
                    <w:rPr>
                      <w:rFonts w:ascii="仿宋_GB2312" w:hAnsi="仿宋_GB2312" w:cs="仿宋_GB2312" w:eastAsia="仿宋_GB2312"/>
                      <w:sz w:val="24"/>
                      <w:color w:val="000000"/>
                    </w:rPr>
                    <w:t>套虚拟机终端安全防护授权。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具备虚拟主机安全防护能力，针对医院业务环境中检测发现的恶意行为与安全风险，支持创建分布式虚拟防火墙，提供微分段防护能力，应当至少支持基于虚拟机、</w:t>
                  </w:r>
                  <w:r>
                    <w:rPr>
                      <w:rFonts w:ascii="仿宋_GB2312" w:hAnsi="仿宋_GB2312" w:cs="仿宋_GB2312" w:eastAsia="仿宋_GB2312"/>
                      <w:sz w:val="24"/>
                      <w:color w:val="000000"/>
                    </w:rPr>
                    <w:t>IP</w:t>
                  </w:r>
                  <w:r>
                    <w:rPr>
                      <w:rFonts w:ascii="仿宋_GB2312" w:hAnsi="仿宋_GB2312" w:cs="仿宋_GB2312" w:eastAsia="仿宋_GB2312"/>
                      <w:sz w:val="24"/>
                      <w:color w:val="000000"/>
                    </w:rPr>
                    <w:t>地址、服务等设置安全策略，保障医疗业务系统安全稳定运行。</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支持一体化安全策略，能够基于时间、用户</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用户组、应用层协议、五元组、内容安全统一界面进行安全策略配置</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持续数据保护软件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包含持续数据保护软件永久授权</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套，为</w:t>
                  </w:r>
                  <w:r>
                    <w:rPr>
                      <w:rFonts w:ascii="仿宋_GB2312" w:hAnsi="仿宋_GB2312" w:cs="仿宋_GB2312" w:eastAsia="仿宋_GB2312"/>
                      <w:sz w:val="24"/>
                      <w:color w:val="000000"/>
                    </w:rPr>
                    <w:t>≥20</w:t>
                  </w:r>
                  <w:r>
                    <w:rPr>
                      <w:rFonts w:ascii="仿宋_GB2312" w:hAnsi="仿宋_GB2312" w:cs="仿宋_GB2312" w:eastAsia="仿宋_GB2312"/>
                      <w:sz w:val="24"/>
                      <w:color w:val="000000"/>
                    </w:rPr>
                    <w:t>台虚拟机提供</w:t>
                  </w:r>
                  <w:r>
                    <w:rPr>
                      <w:rFonts w:ascii="仿宋_GB2312" w:hAnsi="仿宋_GB2312" w:cs="仿宋_GB2312" w:eastAsia="仿宋_GB2312"/>
                      <w:sz w:val="24"/>
                      <w:color w:val="000000"/>
                    </w:rPr>
                    <w:t>CDP</w:t>
                  </w:r>
                  <w:r>
                    <w:rPr>
                      <w:rFonts w:ascii="仿宋_GB2312" w:hAnsi="仿宋_GB2312" w:cs="仿宋_GB2312" w:eastAsia="仿宋_GB2312"/>
                      <w:sz w:val="24"/>
                      <w:color w:val="000000"/>
                    </w:rPr>
                    <w:t>持续数据保护能力（无软件使用有效期限制）。</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为保障我院内网核心业务虚拟机安全性，应提供对医疗业务虚拟机的无代理备份能力，无备份数据容量限制，可直接将虚拟机备份到磁盘，并支持生成全新虚拟机的方式进行恢复；</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为保证业务系统可靠，平台应提供基于无代理的持续数据保护软件，通过记录数据</w:t>
                  </w:r>
                  <w:r>
                    <w:rPr>
                      <w:rFonts w:ascii="仿宋_GB2312" w:hAnsi="仿宋_GB2312" w:cs="仿宋_GB2312" w:eastAsia="仿宋_GB2312"/>
                      <w:sz w:val="24"/>
                      <w:color w:val="000000"/>
                    </w:rPr>
                    <w:t>IO</w:t>
                  </w:r>
                  <w:r>
                    <w:rPr>
                      <w:rFonts w:ascii="仿宋_GB2312" w:hAnsi="仿宋_GB2312" w:cs="仿宋_GB2312" w:eastAsia="仿宋_GB2312"/>
                      <w:sz w:val="24"/>
                      <w:color w:val="000000"/>
                    </w:rPr>
                    <w:t>变化实现秒级</w:t>
                  </w:r>
                  <w:r>
                    <w:rPr>
                      <w:rFonts w:ascii="仿宋_GB2312" w:hAnsi="仿宋_GB2312" w:cs="仿宋_GB2312" w:eastAsia="仿宋_GB2312"/>
                      <w:sz w:val="24"/>
                      <w:color w:val="000000"/>
                    </w:rPr>
                    <w:t>RPO</w:t>
                  </w:r>
                  <w:r>
                    <w:rPr>
                      <w:rFonts w:ascii="仿宋_GB2312" w:hAnsi="仿宋_GB2312" w:cs="仿宋_GB2312" w:eastAsia="仿宋_GB2312"/>
                      <w:sz w:val="24"/>
                      <w:color w:val="000000"/>
                    </w:rPr>
                    <w:t>，保障关键业务数据安全。</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原厂迁移服务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套云迁移平台软件，提供在线迁移工具、迁移服务和迁移授权</w:t>
                  </w:r>
                  <w:r>
                    <w:rPr>
                      <w:rFonts w:ascii="仿宋_GB2312" w:hAnsi="仿宋_GB2312" w:cs="仿宋_GB2312" w:eastAsia="仿宋_GB2312"/>
                      <w:sz w:val="24"/>
                      <w:color w:val="000000"/>
                    </w:rPr>
                    <w:t>≥50</w:t>
                  </w:r>
                  <w:r>
                    <w:rPr>
                      <w:rFonts w:ascii="仿宋_GB2312" w:hAnsi="仿宋_GB2312" w:cs="仿宋_GB2312" w:eastAsia="仿宋_GB2312"/>
                      <w:sz w:val="24"/>
                      <w:color w:val="000000"/>
                    </w:rPr>
                    <w:t>个，支持我院数据中心原有物理机</w:t>
                  </w:r>
                  <w:r>
                    <w:rPr>
                      <w:rFonts w:ascii="仿宋_GB2312" w:hAnsi="仿宋_GB2312" w:cs="仿宋_GB2312" w:eastAsia="仿宋_GB2312"/>
                      <w:sz w:val="24"/>
                      <w:color w:val="000000"/>
                    </w:rPr>
                    <w:t>/</w:t>
                  </w:r>
                  <w:r>
                    <w:rPr>
                      <w:rFonts w:ascii="仿宋_GB2312" w:hAnsi="仿宋_GB2312" w:cs="仿宋_GB2312" w:eastAsia="仿宋_GB2312"/>
                      <w:sz w:val="24"/>
                      <w:color w:val="000000"/>
                    </w:rPr>
                    <w:t>虚拟机迁移到新建平台上，提供全生命周期的线上迁移服务。</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服务支持端到端的整体方案设计，提供资源负载评估、迁移时间评估、性能评估、配置转换设计，兼顾业务关联与协同，保障医疗业务上云后资源高效利用及业务稳定运行。</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迁移服务需将部署于我单位现有虚拟化平台的业务完整地迁移至新采购的超融合平台上。实现业务无感知迁移；保证迁移过程中数据的完整性与一致性，实现数据零丢失。（</w:t>
                  </w:r>
                  <w:r>
                    <w:rPr>
                      <w:rFonts w:ascii="仿宋_GB2312" w:hAnsi="仿宋_GB2312" w:cs="仿宋_GB2312" w:eastAsia="仿宋_GB2312"/>
                      <w:sz w:val="24"/>
                      <w:b/>
                      <w:color w:val="000000"/>
                    </w:rPr>
                    <w:t>提供承诺函并</w:t>
                  </w:r>
                  <w:r>
                    <w:rPr>
                      <w:rFonts w:ascii="仿宋_GB2312" w:hAnsi="仿宋_GB2312" w:cs="仿宋_GB2312" w:eastAsia="仿宋_GB2312"/>
                      <w:sz w:val="24"/>
                      <w:b/>
                      <w:color w:val="000000"/>
                    </w:rPr>
                    <w:t>加盖公章</w:t>
                  </w:r>
                  <w:r>
                    <w:rPr>
                      <w:rFonts w:ascii="仿宋_GB2312" w:hAnsi="仿宋_GB2312" w:cs="仿宋_GB2312" w:eastAsia="仿宋_GB2312"/>
                      <w:sz w:val="24"/>
                      <w:color w:val="00000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0"/>
            </w:pPr>
            <w:r>
              <w:rPr>
                <w:rFonts w:ascii="仿宋_GB2312" w:hAnsi="仿宋_GB2312" w:cs="仿宋_GB2312" w:eastAsia="仿宋_GB2312"/>
                <w:sz w:val="28"/>
                <w:b/>
                <w:color w:val="000000"/>
              </w:rPr>
              <w:t>（二）内网汇聚交换机（</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台）</w:t>
            </w:r>
          </w:p>
          <w:tbl>
            <w:tblPr>
              <w:tblBorders>
                <w:top w:val="none" w:color="000000" w:sz="4"/>
                <w:left w:val="none" w:color="000000" w:sz="4"/>
                <w:bottom w:val="none" w:color="000000" w:sz="4"/>
                <w:right w:val="none" w:color="000000" w:sz="4"/>
                <w:insideH w:val="none"/>
                <w:insideV w:val="none"/>
              </w:tblBorders>
            </w:tblPr>
            <w:tblGrid>
              <w:gridCol w:w="454"/>
              <w:gridCol w:w="2001"/>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业务交换机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个万兆光口，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w:t>
                  </w:r>
                  <w:r>
                    <w:rPr>
                      <w:rFonts w:ascii="仿宋_GB2312" w:hAnsi="仿宋_GB2312" w:cs="仿宋_GB2312" w:eastAsia="仿宋_GB2312"/>
                      <w:sz w:val="24"/>
                      <w:color w:val="000000"/>
                    </w:rPr>
                    <w:t>40G</w:t>
                  </w:r>
                  <w:r>
                    <w:rPr>
                      <w:rFonts w:ascii="仿宋_GB2312" w:hAnsi="仿宋_GB2312" w:cs="仿宋_GB2312" w:eastAsia="仿宋_GB2312"/>
                      <w:sz w:val="24"/>
                      <w:color w:val="000000"/>
                    </w:rPr>
                    <w:t>光口。</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交换容量</w:t>
                  </w:r>
                  <w:r>
                    <w:rPr>
                      <w:rFonts w:ascii="仿宋_GB2312" w:hAnsi="仿宋_GB2312" w:cs="仿宋_GB2312" w:eastAsia="仿宋_GB2312"/>
                      <w:sz w:val="24"/>
                      <w:color w:val="000000"/>
                    </w:rPr>
                    <w:t>≥2.56Tbps</w:t>
                  </w:r>
                  <w:r>
                    <w:rPr>
                      <w:rFonts w:ascii="仿宋_GB2312" w:hAnsi="仿宋_GB2312" w:cs="仿宋_GB2312" w:eastAsia="仿宋_GB2312"/>
                      <w:sz w:val="24"/>
                      <w:color w:val="000000"/>
                    </w:rPr>
                    <w:t>，包转发率</w:t>
                  </w:r>
                  <w:r>
                    <w:rPr>
                      <w:rFonts w:ascii="仿宋_GB2312" w:hAnsi="仿宋_GB2312" w:cs="仿宋_GB2312" w:eastAsia="仿宋_GB2312"/>
                      <w:sz w:val="24"/>
                      <w:color w:val="000000"/>
                    </w:rPr>
                    <w:t>≥1400Mpps;</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支持静态路由、</w:t>
                  </w:r>
                  <w:r>
                    <w:rPr>
                      <w:rFonts w:ascii="仿宋_GB2312" w:hAnsi="仿宋_GB2312" w:cs="仿宋_GB2312" w:eastAsia="仿宋_GB2312"/>
                      <w:sz w:val="24"/>
                      <w:color w:val="000000"/>
                    </w:rPr>
                    <w:t>OSPF</w:t>
                  </w:r>
                  <w:r>
                    <w:rPr>
                      <w:rFonts w:ascii="仿宋_GB2312" w:hAnsi="仿宋_GB2312" w:cs="仿宋_GB2312" w:eastAsia="仿宋_GB2312"/>
                      <w:sz w:val="24"/>
                      <w:color w:val="000000"/>
                    </w:rPr>
                    <w:t>、</w:t>
                  </w:r>
                  <w:r>
                    <w:rPr>
                      <w:rFonts w:ascii="仿宋_GB2312" w:hAnsi="仿宋_GB2312" w:cs="仿宋_GB2312" w:eastAsia="仿宋_GB2312"/>
                      <w:sz w:val="24"/>
                      <w:color w:val="000000"/>
                    </w:rPr>
                    <w:t>BGP</w:t>
                  </w:r>
                  <w:r>
                    <w:rPr>
                      <w:rFonts w:ascii="仿宋_GB2312" w:hAnsi="仿宋_GB2312" w:cs="仿宋_GB2312" w:eastAsia="仿宋_GB2312"/>
                      <w:sz w:val="24"/>
                      <w:color w:val="000000"/>
                    </w:rPr>
                    <w:t>、路由策略；</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支持内置图形化网管平台，实现对网络的统一运维及管理提供证明材料；</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支持灵活的队列调度算法，可以同时基于端口和队列进行设置，支持</w:t>
                  </w:r>
                  <w:r>
                    <w:rPr>
                      <w:rFonts w:ascii="仿宋_GB2312" w:hAnsi="仿宋_GB2312" w:cs="仿宋_GB2312" w:eastAsia="仿宋_GB2312"/>
                      <w:sz w:val="24"/>
                      <w:color w:val="000000"/>
                    </w:rPr>
                    <w:t>SP</w:t>
                  </w:r>
                  <w:r>
                    <w:rPr>
                      <w:rFonts w:ascii="仿宋_GB2312" w:hAnsi="仿宋_GB2312" w:cs="仿宋_GB2312" w:eastAsia="仿宋_GB2312"/>
                      <w:sz w:val="24"/>
                      <w:color w:val="000000"/>
                    </w:rPr>
                    <w:t>、</w:t>
                  </w:r>
                  <w:r>
                    <w:rPr>
                      <w:rFonts w:ascii="仿宋_GB2312" w:hAnsi="仿宋_GB2312" w:cs="仿宋_GB2312" w:eastAsia="仿宋_GB2312"/>
                      <w:sz w:val="24"/>
                      <w:color w:val="000000"/>
                    </w:rPr>
                    <w:t>WDRR</w:t>
                  </w:r>
                  <w:r>
                    <w:rPr>
                      <w:rFonts w:ascii="仿宋_GB2312" w:hAnsi="仿宋_GB2312" w:cs="仿宋_GB2312" w:eastAsia="仿宋_GB2312"/>
                      <w:sz w:val="24"/>
                      <w:color w:val="000000"/>
                    </w:rPr>
                    <w:t>、</w:t>
                  </w:r>
                  <w:r>
                    <w:rPr>
                      <w:rFonts w:ascii="仿宋_GB2312" w:hAnsi="仿宋_GB2312" w:cs="仿宋_GB2312" w:eastAsia="仿宋_GB2312"/>
                      <w:sz w:val="24"/>
                      <w:color w:val="000000"/>
                    </w:rPr>
                    <w:t>WRR</w:t>
                  </w:r>
                  <w:r>
                    <w:rPr>
                      <w:rFonts w:ascii="仿宋_GB2312" w:hAnsi="仿宋_GB2312" w:cs="仿宋_GB2312" w:eastAsia="仿宋_GB2312"/>
                      <w:sz w:val="24"/>
                      <w:color w:val="000000"/>
                    </w:rPr>
                    <w:t>、</w:t>
                  </w:r>
                  <w:r>
                    <w:rPr>
                      <w:rFonts w:ascii="仿宋_GB2312" w:hAnsi="仿宋_GB2312" w:cs="仿宋_GB2312" w:eastAsia="仿宋_GB2312"/>
                      <w:sz w:val="24"/>
                      <w:color w:val="000000"/>
                    </w:rPr>
                    <w:t>WFQ</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SP+WDRR </w:t>
                  </w:r>
                  <w:r>
                    <w:rPr>
                      <w:rFonts w:ascii="仿宋_GB2312" w:hAnsi="仿宋_GB2312" w:cs="仿宋_GB2312" w:eastAsia="仿宋_GB2312"/>
                      <w:sz w:val="24"/>
                      <w:color w:val="000000"/>
                    </w:rPr>
                    <w:t>等多种模式；</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本次配置双电源，</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个万兆多模，</w:t>
                  </w:r>
                  <w:r>
                    <w:rPr>
                      <w:rFonts w:ascii="仿宋_GB2312" w:hAnsi="仿宋_GB2312" w:cs="仿宋_GB2312" w:eastAsia="仿宋_GB2312"/>
                      <w:sz w:val="24"/>
                      <w:color w:val="000000"/>
                    </w:rPr>
                    <w:t>1</w:t>
                  </w:r>
                  <w:r>
                    <w:rPr>
                      <w:rFonts w:ascii="仿宋_GB2312" w:hAnsi="仿宋_GB2312" w:cs="仿宋_GB2312" w:eastAsia="仿宋_GB2312"/>
                      <w:sz w:val="24"/>
                      <w:color w:val="000000"/>
                    </w:rPr>
                    <w:t>根</w:t>
                  </w:r>
                  <w:r>
                    <w:rPr>
                      <w:rFonts w:ascii="仿宋_GB2312" w:hAnsi="仿宋_GB2312" w:cs="仿宋_GB2312" w:eastAsia="仿宋_GB2312"/>
                      <w:sz w:val="24"/>
                      <w:color w:val="000000"/>
                    </w:rPr>
                    <w:t>40GE</w:t>
                  </w:r>
                  <w:r>
                    <w:rPr>
                      <w:rFonts w:ascii="仿宋_GB2312" w:hAnsi="仿宋_GB2312" w:cs="仿宋_GB2312" w:eastAsia="仿宋_GB2312"/>
                      <w:sz w:val="24"/>
                      <w:color w:val="000000"/>
                    </w:rPr>
                    <w:t>堆叠线缆；</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0"/>
            </w:pPr>
            <w:r>
              <w:rPr>
                <w:rFonts w:ascii="仿宋_GB2312" w:hAnsi="仿宋_GB2312" w:cs="仿宋_GB2312" w:eastAsia="仿宋_GB2312"/>
                <w:sz w:val="28"/>
                <w:b/>
                <w:color w:val="000000"/>
              </w:rPr>
              <w:t>（三）外网国产化超融合集群（</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台）</w:t>
            </w:r>
          </w:p>
          <w:tbl>
            <w:tblPr>
              <w:tblBorders>
                <w:top w:val="none" w:color="000000" w:sz="4"/>
                <w:left w:val="none" w:color="000000" w:sz="4"/>
                <w:bottom w:val="none" w:color="000000" w:sz="4"/>
                <w:right w:val="none" w:color="000000" w:sz="4"/>
                <w:insideH w:val="none"/>
                <w:insideV w:val="none"/>
              </w:tblBorders>
            </w:tblPr>
            <w:tblGrid>
              <w:gridCol w:w="248"/>
              <w:gridCol w:w="442"/>
              <w:gridCol w:w="176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w:t>
                  </w:r>
                </w:p>
                <w:p>
                  <w:pPr>
                    <w:pStyle w:val="null3"/>
                    <w:jc w:val="center"/>
                  </w:pPr>
                  <w:r>
                    <w:rPr>
                      <w:rFonts w:ascii="仿宋_GB2312" w:hAnsi="仿宋_GB2312" w:cs="仿宋_GB2312" w:eastAsia="仿宋_GB2312"/>
                      <w:sz w:val="24"/>
                      <w:b/>
                      <w:color w:val="000000"/>
                    </w:rPr>
                    <w:t>名称</w:t>
                  </w:r>
                </w:p>
              </w:tc>
              <w:tc>
                <w:tcPr>
                  <w:tcW w:type="dxa" w:w="22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外网超融合服务器</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硬件参数</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硬件要求：本次配置</w:t>
                  </w: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国产品牌</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2U</w:t>
                  </w:r>
                  <w:r>
                    <w:rPr>
                      <w:rFonts w:ascii="仿宋_GB2312" w:hAnsi="仿宋_GB2312" w:cs="仿宋_GB2312" w:eastAsia="仿宋_GB2312"/>
                      <w:sz w:val="24"/>
                      <w:color w:val="000000"/>
                    </w:rPr>
                    <w:t>标准机架式；</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2</w:t>
                  </w:r>
                  <w:r>
                    <w:rPr>
                      <w:rFonts w:ascii="仿宋_GB2312" w:hAnsi="仿宋_GB2312" w:cs="仿宋_GB2312" w:eastAsia="仿宋_GB2312"/>
                      <w:sz w:val="24"/>
                      <w:color w:val="000000"/>
                    </w:rPr>
                    <w:t>颗国产</w:t>
                  </w:r>
                  <w:r>
                    <w:rPr>
                      <w:rFonts w:ascii="仿宋_GB2312" w:hAnsi="仿宋_GB2312" w:cs="仿宋_GB2312" w:eastAsia="仿宋_GB2312"/>
                      <w:sz w:val="24"/>
                      <w:color w:val="000000"/>
                    </w:rPr>
                    <w:t>C86</w:t>
                  </w:r>
                  <w:r>
                    <w:rPr>
                      <w:rFonts w:ascii="仿宋_GB2312" w:hAnsi="仿宋_GB2312" w:cs="仿宋_GB2312" w:eastAsia="仿宋_GB2312"/>
                      <w:sz w:val="24"/>
                      <w:color w:val="000000"/>
                    </w:rPr>
                    <w:t>处理器，每颗处理器要求（核数</w:t>
                  </w:r>
                  <w:r>
                    <w:rPr>
                      <w:rFonts w:ascii="仿宋_GB2312" w:hAnsi="仿宋_GB2312" w:cs="仿宋_GB2312" w:eastAsia="仿宋_GB2312"/>
                      <w:sz w:val="24"/>
                      <w:color w:val="000000"/>
                    </w:rPr>
                    <w:t>≥32</w:t>
                  </w:r>
                  <w:r>
                    <w:rPr>
                      <w:rFonts w:ascii="仿宋_GB2312" w:hAnsi="仿宋_GB2312" w:cs="仿宋_GB2312" w:eastAsia="仿宋_GB2312"/>
                      <w:sz w:val="24"/>
                      <w:color w:val="000000"/>
                    </w:rPr>
                    <w:t>核，主频</w:t>
                  </w:r>
                  <w:r>
                    <w:rPr>
                      <w:rFonts w:ascii="仿宋_GB2312" w:hAnsi="仿宋_GB2312" w:cs="仿宋_GB2312" w:eastAsia="仿宋_GB2312"/>
                      <w:sz w:val="24"/>
                      <w:color w:val="000000"/>
                    </w:rPr>
                    <w:t>≥2.5GHz</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内存：配置</w:t>
                  </w:r>
                  <w:r>
                    <w:rPr>
                      <w:rFonts w:ascii="仿宋_GB2312" w:hAnsi="仿宋_GB2312" w:cs="仿宋_GB2312" w:eastAsia="仿宋_GB2312"/>
                      <w:sz w:val="24"/>
                      <w:color w:val="000000"/>
                    </w:rPr>
                    <w:t>≥640GB DDR5</w:t>
                  </w:r>
                  <w:r>
                    <w:rPr>
                      <w:rFonts w:ascii="仿宋_GB2312" w:hAnsi="仿宋_GB2312" w:cs="仿宋_GB2312" w:eastAsia="仿宋_GB2312"/>
                      <w:sz w:val="24"/>
                      <w:color w:val="000000"/>
                    </w:rPr>
                    <w:t>内存，单根内存</w:t>
                  </w:r>
                  <w:r>
                    <w:rPr>
                      <w:rFonts w:ascii="仿宋_GB2312" w:hAnsi="仿宋_GB2312" w:cs="仿宋_GB2312" w:eastAsia="仿宋_GB2312"/>
                      <w:sz w:val="24"/>
                      <w:color w:val="000000"/>
                    </w:rPr>
                    <w:t>≥64GB</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硬盘：配置</w:t>
                  </w:r>
                  <w:r>
                    <w:rPr>
                      <w:rFonts w:ascii="仿宋_GB2312" w:hAnsi="仿宋_GB2312" w:cs="仿宋_GB2312" w:eastAsia="仿宋_GB2312"/>
                      <w:sz w:val="24"/>
                      <w:color w:val="000000"/>
                    </w:rPr>
                    <w:t>≥2</w:t>
                  </w:r>
                  <w:r>
                    <w:rPr>
                      <w:rFonts w:ascii="仿宋_GB2312" w:hAnsi="仿宋_GB2312" w:cs="仿宋_GB2312" w:eastAsia="仿宋_GB2312"/>
                      <w:sz w:val="24"/>
                      <w:color w:val="000000"/>
                    </w:rPr>
                    <w:t>块</w:t>
                  </w:r>
                  <w:r>
                    <w:rPr>
                      <w:rFonts w:ascii="仿宋_GB2312" w:hAnsi="仿宋_GB2312" w:cs="仿宋_GB2312" w:eastAsia="仿宋_GB2312"/>
                      <w:sz w:val="24"/>
                      <w:color w:val="000000"/>
                    </w:rPr>
                    <w:t>480GB SSD</w:t>
                  </w:r>
                  <w:r>
                    <w:rPr>
                      <w:rFonts w:ascii="仿宋_GB2312" w:hAnsi="仿宋_GB2312" w:cs="仿宋_GB2312" w:eastAsia="仿宋_GB2312"/>
                      <w:sz w:val="24"/>
                      <w:color w:val="000000"/>
                    </w:rPr>
                    <w:t>系统盘；</w:t>
                  </w:r>
                  <w:r>
                    <w:rPr>
                      <w:rFonts w:ascii="仿宋_GB2312" w:hAnsi="仿宋_GB2312" w:cs="仿宋_GB2312" w:eastAsia="仿宋_GB2312"/>
                      <w:sz w:val="24"/>
                      <w:color w:val="000000"/>
                    </w:rPr>
                    <w:t>≥2</w:t>
                  </w:r>
                  <w:r>
                    <w:rPr>
                      <w:rFonts w:ascii="仿宋_GB2312" w:hAnsi="仿宋_GB2312" w:cs="仿宋_GB2312" w:eastAsia="仿宋_GB2312"/>
                      <w:sz w:val="24"/>
                      <w:color w:val="000000"/>
                    </w:rPr>
                    <w:t>块</w:t>
                  </w:r>
                  <w:r>
                    <w:rPr>
                      <w:rFonts w:ascii="仿宋_GB2312" w:hAnsi="仿宋_GB2312" w:cs="仿宋_GB2312" w:eastAsia="仿宋_GB2312"/>
                      <w:sz w:val="24"/>
                      <w:color w:val="000000"/>
                    </w:rPr>
                    <w:t>1.92TB NVMe SSD</w:t>
                  </w:r>
                  <w:r>
                    <w:rPr>
                      <w:rFonts w:ascii="仿宋_GB2312" w:hAnsi="仿宋_GB2312" w:cs="仿宋_GB2312" w:eastAsia="仿宋_GB2312"/>
                      <w:sz w:val="24"/>
                      <w:color w:val="000000"/>
                    </w:rPr>
                    <w:t>缓存盘；</w:t>
                  </w:r>
                  <w:r>
                    <w:rPr>
                      <w:rFonts w:ascii="仿宋_GB2312" w:hAnsi="仿宋_GB2312" w:cs="仿宋_GB2312" w:eastAsia="仿宋_GB2312"/>
                      <w:sz w:val="24"/>
                      <w:color w:val="000000"/>
                    </w:rPr>
                    <w:t>≥4</w:t>
                  </w:r>
                  <w:r>
                    <w:rPr>
                      <w:rFonts w:ascii="仿宋_GB2312" w:hAnsi="仿宋_GB2312" w:cs="仿宋_GB2312" w:eastAsia="仿宋_GB2312"/>
                      <w:sz w:val="24"/>
                      <w:color w:val="000000"/>
                    </w:rPr>
                    <w:t>块</w:t>
                  </w:r>
                  <w:r>
                    <w:rPr>
                      <w:rFonts w:ascii="仿宋_GB2312" w:hAnsi="仿宋_GB2312" w:cs="仿宋_GB2312" w:eastAsia="仿宋_GB2312"/>
                      <w:sz w:val="24"/>
                      <w:color w:val="000000"/>
                    </w:rPr>
                    <w:t>8TB HDD</w:t>
                  </w:r>
                  <w:r>
                    <w:rPr>
                      <w:rFonts w:ascii="仿宋_GB2312" w:hAnsi="仿宋_GB2312" w:cs="仿宋_GB2312" w:eastAsia="仿宋_GB2312"/>
                      <w:sz w:val="24"/>
                      <w:color w:val="000000"/>
                    </w:rPr>
                    <w:t>数据盘；</w:t>
                  </w:r>
                </w:p>
                <w:p>
                  <w:pPr>
                    <w:pStyle w:val="null3"/>
                    <w:jc w:val="both"/>
                  </w:pP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阵列控制器：配置</w:t>
                  </w:r>
                  <w:r>
                    <w:rPr>
                      <w:rFonts w:ascii="仿宋_GB2312" w:hAnsi="仿宋_GB2312" w:cs="仿宋_GB2312" w:eastAsia="仿宋_GB2312"/>
                      <w:sz w:val="24"/>
                      <w:color w:val="000000"/>
                    </w:rPr>
                    <w:t>≥1</w:t>
                  </w:r>
                  <w:r>
                    <w:rPr>
                      <w:rFonts w:ascii="仿宋_GB2312" w:hAnsi="仿宋_GB2312" w:cs="仿宋_GB2312" w:eastAsia="仿宋_GB2312"/>
                      <w:sz w:val="24"/>
                      <w:color w:val="000000"/>
                    </w:rPr>
                    <w:t>块</w:t>
                  </w:r>
                  <w:r>
                    <w:rPr>
                      <w:rFonts w:ascii="仿宋_GB2312" w:hAnsi="仿宋_GB2312" w:cs="仿宋_GB2312" w:eastAsia="仿宋_GB2312"/>
                      <w:sz w:val="24"/>
                      <w:color w:val="000000"/>
                    </w:rPr>
                    <w:t>12Gb SAS RAID</w:t>
                  </w:r>
                  <w:r>
                    <w:rPr>
                      <w:rFonts w:ascii="仿宋_GB2312" w:hAnsi="仿宋_GB2312" w:cs="仿宋_GB2312" w:eastAsia="仿宋_GB2312"/>
                      <w:sz w:val="24"/>
                      <w:color w:val="000000"/>
                    </w:rPr>
                    <w:t>卡（支持</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w:t>
                  </w:r>
                  <w:r>
                    <w:rPr>
                      <w:rFonts w:ascii="仿宋_GB2312" w:hAnsi="仿宋_GB2312" w:cs="仿宋_GB2312" w:eastAsia="仿宋_GB2312"/>
                      <w:sz w:val="24"/>
                      <w:color w:val="000000"/>
                    </w:rPr>
                    <w:t>SAS</w:t>
                  </w:r>
                  <w:r>
                    <w:rPr>
                      <w:rFonts w:ascii="仿宋_GB2312" w:hAnsi="仿宋_GB2312" w:cs="仿宋_GB2312" w:eastAsia="仿宋_GB2312"/>
                      <w:sz w:val="24"/>
                      <w:color w:val="000000"/>
                    </w:rPr>
                    <w:t>口，</w:t>
                  </w:r>
                  <w:r>
                    <w:rPr>
                      <w:rFonts w:ascii="仿宋_GB2312" w:hAnsi="仿宋_GB2312" w:cs="仿宋_GB2312" w:eastAsia="仿宋_GB2312"/>
                      <w:sz w:val="24"/>
                      <w:color w:val="000000"/>
                    </w:rPr>
                    <w:t>4G</w:t>
                  </w:r>
                  <w:r>
                    <w:rPr>
                      <w:rFonts w:ascii="仿宋_GB2312" w:hAnsi="仿宋_GB2312" w:cs="仿宋_GB2312" w:eastAsia="仿宋_GB2312"/>
                      <w:sz w:val="24"/>
                      <w:color w:val="000000"/>
                    </w:rPr>
                    <w:t xml:space="preserve">缓存），支持掉电保护模块，支持 </w:t>
                  </w:r>
                  <w:r>
                    <w:rPr>
                      <w:rFonts w:ascii="仿宋_GB2312" w:hAnsi="仿宋_GB2312" w:cs="仿宋_GB2312" w:eastAsia="仿宋_GB2312"/>
                      <w:sz w:val="24"/>
                      <w:color w:val="000000"/>
                    </w:rPr>
                    <w:t>RAID0/1/10/5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 PCIe</w:t>
                  </w:r>
                  <w:r>
                    <w:rPr>
                      <w:rFonts w:ascii="仿宋_GB2312" w:hAnsi="仿宋_GB2312" w:cs="仿宋_GB2312" w:eastAsia="仿宋_GB2312"/>
                      <w:sz w:val="24"/>
                      <w:color w:val="000000"/>
                    </w:rPr>
                    <w:t>槽位：支持多达</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PCle 5.0</w:t>
                  </w:r>
                  <w:r>
                    <w:rPr>
                      <w:rFonts w:ascii="仿宋_GB2312" w:hAnsi="仿宋_GB2312" w:cs="仿宋_GB2312" w:eastAsia="仿宋_GB2312"/>
                      <w:sz w:val="24"/>
                      <w:color w:val="000000"/>
                    </w:rPr>
                    <w:t>可用插槽；</w:t>
                  </w:r>
                </w:p>
                <w:p>
                  <w:pPr>
                    <w:pStyle w:val="null3"/>
                    <w:jc w:val="both"/>
                  </w:pP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个万兆光口（满配多模光模块）；</w:t>
                  </w:r>
                </w:p>
                <w:p>
                  <w:pPr>
                    <w:pStyle w:val="null3"/>
                    <w:jc w:val="both"/>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电源：配置双电源，支持冗余；</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兼容性要求</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满足</w:t>
                  </w:r>
                  <w:r>
                    <w:rPr>
                      <w:rFonts w:ascii="仿宋_GB2312" w:hAnsi="仿宋_GB2312" w:cs="仿宋_GB2312" w:eastAsia="仿宋_GB2312"/>
                      <w:sz w:val="24"/>
                      <w:color w:val="000000"/>
                    </w:rPr>
                    <w:t>超融合软硬件兼容性。</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计算虚拟化软件、存储虚拟化软件、网络虚拟化软件、安全虚拟化软件、云计算管理平台、持续数据保护软件为同一品牌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提供相应的计算机软件著作权登记证书）</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产品核心组件（</w:t>
                  </w:r>
                  <w:r>
                    <w:rPr>
                      <w:rFonts w:ascii="仿宋_GB2312" w:hAnsi="仿宋_GB2312" w:cs="仿宋_GB2312" w:eastAsia="仿宋_GB2312"/>
                      <w:sz w:val="24"/>
                      <w:color w:val="000000"/>
                    </w:rPr>
                    <w:t>CPU</w:t>
                  </w:r>
                  <w:r>
                    <w:rPr>
                      <w:rFonts w:ascii="仿宋_GB2312" w:hAnsi="仿宋_GB2312" w:cs="仿宋_GB2312" w:eastAsia="仿宋_GB2312"/>
                      <w:sz w:val="24"/>
                      <w:color w:val="000000"/>
                    </w:rPr>
                    <w:t>）须采用国产化产品实现，满足国产化自主可控要求。</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为了保障我院本次国产化平台的向后兼容性，超融合软件需具备海光、飞腾、兆芯、鲲鹏等主流国产</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平台的厂商互认证书</w:t>
                  </w:r>
                  <w:r>
                    <w:rPr>
                      <w:rFonts w:ascii="仿宋_GB2312" w:hAnsi="仿宋_GB2312" w:cs="仿宋_GB2312" w:eastAsia="仿宋_GB2312"/>
                      <w:sz w:val="24"/>
                      <w:b/>
                      <w:color w:val="000000"/>
                    </w:rPr>
                    <w:t>（提供相关有效证明材料加盖公章）</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 ★</w:t>
                  </w:r>
                  <w:r>
                    <w:rPr>
                      <w:rFonts w:ascii="仿宋_GB2312" w:hAnsi="仿宋_GB2312" w:cs="仿宋_GB2312" w:eastAsia="仿宋_GB2312"/>
                      <w:sz w:val="24"/>
                      <w:color w:val="000000"/>
                    </w:rPr>
                    <w:t>为保证超融合系统稳定性，超融合底层采用自研操作系统且</w:t>
                  </w:r>
                  <w:r>
                    <w:rPr>
                      <w:rFonts w:ascii="仿宋_GB2312" w:hAnsi="仿宋_GB2312" w:cs="仿宋_GB2312" w:eastAsia="仿宋_GB2312"/>
                      <w:sz w:val="24"/>
                      <w:b/>
                      <w:color w:val="000000"/>
                    </w:rPr>
                    <w:t>（提供软件著作权证书或提供满足本次所需国产商用操作系统</w:t>
                  </w:r>
                  <w:r>
                    <w:rPr>
                      <w:rFonts w:ascii="仿宋_GB2312" w:hAnsi="仿宋_GB2312" w:cs="仿宋_GB2312" w:eastAsia="仿宋_GB2312"/>
                      <w:sz w:val="24"/>
                      <w:b/>
                      <w:color w:val="000000"/>
                    </w:rPr>
                    <w:t>）</w:t>
                  </w:r>
                  <w:r>
                    <w:rPr>
                      <w:rFonts w:ascii="仿宋_GB2312" w:hAnsi="仿宋_GB2312" w:cs="仿宋_GB2312" w:eastAsia="仿宋_GB2312"/>
                      <w:sz w:val="24"/>
                      <w:color w:val="000000"/>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云计算管理平台软件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包含管理平台软件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套，提供</w:t>
                  </w:r>
                  <w:r>
                    <w:rPr>
                      <w:rFonts w:ascii="仿宋_GB2312" w:hAnsi="仿宋_GB2312" w:cs="仿宋_GB2312" w:eastAsia="仿宋_GB2312"/>
                      <w:sz w:val="24"/>
                      <w:color w:val="000000"/>
                    </w:rPr>
                    <w:t>≥4</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提供可视化实时监控硬件可靠性功能：包括不限于</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、内存、磁盘、物理网卡和</w:t>
                  </w:r>
                  <w:r>
                    <w:rPr>
                      <w:rFonts w:ascii="仿宋_GB2312" w:hAnsi="仿宋_GB2312" w:cs="仿宋_GB2312" w:eastAsia="仿宋_GB2312"/>
                      <w:sz w:val="24"/>
                      <w:color w:val="000000"/>
                    </w:rPr>
                    <w:t>Raid</w:t>
                  </w:r>
                  <w:r>
                    <w:rPr>
                      <w:rFonts w:ascii="仿宋_GB2312" w:hAnsi="仿宋_GB2312" w:cs="仿宋_GB2312" w:eastAsia="仿宋_GB2312"/>
                      <w:sz w:val="24"/>
                      <w:color w:val="000000"/>
                    </w:rPr>
                    <w:t>卡、集群可靠性、虚拟机运行状态和虚拟机备份、集群资源过载状态等进行实时监控、分层展示，运维人员可以直观查看集群的整体运行情况，可以快速诊断集群的健康状态；</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支持纳管物理机，实现物理机状态的监控。</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支持直观展示虚拟化资源池的健康状态，快速定位软硬件故障；实现虚拟机在不同平台间的平滑迁移；基于模板一键创建虚拟机或应用；支持故障硬盘的更换向导；</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．超融合平台提供统一</w:t>
                  </w:r>
                  <w:r>
                    <w:rPr>
                      <w:rFonts w:ascii="仿宋_GB2312" w:hAnsi="仿宋_GB2312" w:cs="仿宋_GB2312" w:eastAsia="仿宋_GB2312"/>
                      <w:sz w:val="24"/>
                      <w:color w:val="000000"/>
                    </w:rPr>
                    <w:t>Web</w:t>
                  </w:r>
                  <w:r>
                    <w:rPr>
                      <w:rFonts w:ascii="仿宋_GB2312" w:hAnsi="仿宋_GB2312" w:cs="仿宋_GB2312" w:eastAsia="仿宋_GB2312"/>
                      <w:sz w:val="24"/>
                      <w:color w:val="000000"/>
                    </w:rPr>
                    <w:t>管理平台，可同时管理计算、存储、网络、安全资源，满足</w:t>
                  </w:r>
                  <w:r>
                    <w:rPr>
                      <w:rFonts w:ascii="仿宋_GB2312" w:hAnsi="仿宋_GB2312" w:cs="仿宋_GB2312" w:eastAsia="仿宋_GB2312"/>
                      <w:sz w:val="24"/>
                      <w:color w:val="000000"/>
                    </w:rPr>
                    <w:t>GB/T45399-2025</w:t>
                  </w:r>
                  <w:r>
                    <w:rPr>
                      <w:rFonts w:ascii="仿宋_GB2312" w:hAnsi="仿宋_GB2312" w:cs="仿宋_GB2312" w:eastAsia="仿宋_GB2312"/>
                      <w:sz w:val="24"/>
                      <w:color w:val="000000"/>
                    </w:rPr>
                    <w:t>《信息技术云计算超融合系统通用技术要求》国家标准要求；</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为了降低我院的运维工作量与难度，支持使用一键鼠标按钮快速查看、启动、删除、批量启动和批量删除长时间未使用且处于关闭状态的虚拟机，进行资源利用率统计</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提供第三方检测机构出具的检测报告加盖公章</w:t>
                  </w:r>
                  <w:r>
                    <w:rPr>
                      <w:rFonts w:ascii="仿宋_GB2312" w:hAnsi="仿宋_GB2312" w:cs="仿宋_GB2312" w:eastAsia="仿宋_GB2312"/>
                      <w:sz w:val="24"/>
                      <w:b/>
                      <w:color w:val="000000"/>
                    </w:rPr>
                    <w:t>）</w:t>
                  </w:r>
                  <w:r>
                    <w:rPr>
                      <w:rFonts w:ascii="仿宋_GB2312" w:hAnsi="仿宋_GB2312" w:cs="仿宋_GB2312" w:eastAsia="仿宋_GB2312"/>
                      <w:sz w:val="24"/>
                      <w:color w:val="000000"/>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提供计算服务虚拟化软件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≥4</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为了保障我单位内网核心业务系统的稳定性，平台应支持对有问题的服务器进行标记并提醒运维人员；支持对内存</w:t>
                  </w:r>
                  <w:r>
                    <w:rPr>
                      <w:rFonts w:ascii="仿宋_GB2312" w:hAnsi="仿宋_GB2312" w:cs="仿宋_GB2312" w:eastAsia="仿宋_GB2312"/>
                      <w:sz w:val="24"/>
                      <w:color w:val="000000"/>
                    </w:rPr>
                    <w:t>ECC</w:t>
                  </w:r>
                  <w:r>
                    <w:rPr>
                      <w:rFonts w:ascii="仿宋_GB2312" w:hAnsi="仿宋_GB2312" w:cs="仿宋_GB2312" w:eastAsia="仿宋_GB2312"/>
                      <w:sz w:val="24"/>
                      <w:color w:val="000000"/>
                    </w:rPr>
                    <w:t>自动纠错，可对坏盘进行隔离；支持对</w:t>
                  </w:r>
                  <w:r>
                    <w:rPr>
                      <w:rFonts w:ascii="仿宋_GB2312" w:hAnsi="仿宋_GB2312" w:cs="仿宋_GB2312" w:eastAsia="仿宋_GB2312"/>
                      <w:sz w:val="24"/>
                      <w:color w:val="000000"/>
                    </w:rPr>
                    <w:t>raid</w:t>
                  </w:r>
                  <w:r>
                    <w:rPr>
                      <w:rFonts w:ascii="仿宋_GB2312" w:hAnsi="仿宋_GB2312" w:cs="仿宋_GB2312" w:eastAsia="仿宋_GB2312"/>
                      <w:sz w:val="24"/>
                      <w:color w:val="000000"/>
                    </w:rPr>
                    <w:t>卡的故障问题进行查看。</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虚拟化平台支持</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、内存等热添加，支持配置节点间动态资源调度功能，满足不同业务的性能需求；</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提供虚拟机快照创建、还原和删除功能，支持打开内存快照，帮助客户精确还原运行时的状态，保障还原的虚机是启动状态（</w:t>
                  </w:r>
                  <w:r>
                    <w:rPr>
                      <w:rFonts w:ascii="仿宋_GB2312" w:hAnsi="仿宋_GB2312" w:cs="仿宋_GB2312" w:eastAsia="仿宋_GB2312"/>
                      <w:sz w:val="24"/>
                      <w:b/>
                      <w:color w:val="000000"/>
                    </w:rPr>
                    <w:t>提供第三方检测机构出具的检测报告</w:t>
                  </w:r>
                  <w:r>
                    <w:rPr>
                      <w:rFonts w:ascii="仿宋_GB2312" w:hAnsi="仿宋_GB2312" w:cs="仿宋_GB2312" w:eastAsia="仿宋_GB2312"/>
                      <w:sz w:val="24"/>
                      <w:b/>
                      <w:color w:val="000000"/>
                    </w:rPr>
                    <w:t>加盖公章</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rPr>
                    <w:t>▲</w:t>
                  </w:r>
                  <w:r>
                    <w:rPr>
                      <w:rFonts w:ascii="仿宋_GB2312" w:hAnsi="仿宋_GB2312" w:cs="仿宋_GB2312" w:eastAsia="仿宋_GB2312"/>
                      <w:sz w:val="24"/>
                    </w:rPr>
                    <w:t>为保障我院业务持续性，支持应用</w:t>
                  </w:r>
                  <w:r>
                    <w:rPr>
                      <w:rFonts w:ascii="仿宋_GB2312" w:hAnsi="仿宋_GB2312" w:cs="仿宋_GB2312" w:eastAsia="仿宋_GB2312"/>
                      <w:sz w:val="24"/>
                    </w:rPr>
                    <w:t>HA</w:t>
                  </w:r>
                  <w:r>
                    <w:rPr>
                      <w:rFonts w:ascii="仿宋_GB2312" w:hAnsi="仿宋_GB2312" w:cs="仿宋_GB2312" w:eastAsia="仿宋_GB2312"/>
                      <w:sz w:val="24"/>
                    </w:rPr>
                    <w:t>能力，免虚拟机内置代理，自动检测、快速修复应用运行故障；支持自定义监控脚本，灵活拓展各类业务应用的监控场景（</w:t>
                  </w:r>
                  <w:r>
                    <w:rPr>
                      <w:rFonts w:ascii="仿宋_GB2312" w:hAnsi="仿宋_GB2312" w:cs="仿宋_GB2312" w:eastAsia="仿宋_GB2312"/>
                      <w:sz w:val="24"/>
                      <w:b/>
                    </w:rPr>
                    <w:t>提供第三方检测机构出具的检测报告</w:t>
                  </w:r>
                  <w:r>
                    <w:rPr>
                      <w:rFonts w:ascii="仿宋_GB2312" w:hAnsi="仿宋_GB2312" w:cs="仿宋_GB2312" w:eastAsia="仿宋_GB2312"/>
                      <w:sz w:val="24"/>
                      <w:b/>
                      <w:color w:val="000000"/>
                    </w:rPr>
                    <w:t>加盖公章</w:t>
                  </w:r>
                  <w:r>
                    <w:rPr>
                      <w:rFonts w:ascii="仿宋_GB2312" w:hAnsi="仿宋_GB2312" w:cs="仿宋_GB2312" w:eastAsia="仿宋_GB2312"/>
                      <w:sz w:val="24"/>
                    </w:rPr>
                    <w:t>）。</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提供存储虚拟化永久授权软件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≥4</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内置时间序列模型，管理平台自动化实现数据检索预测，提供用户易用的数据预测服务，服务支持呈现实时的</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、内存和存储容量资源使用数据信息展示；</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提供网络虚拟化永久授权软件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套（无软件使用有效期限制），</w:t>
                  </w:r>
                  <w:r>
                    <w:rPr>
                      <w:rFonts w:ascii="仿宋_GB2312" w:hAnsi="仿宋_GB2312" w:cs="仿宋_GB2312" w:eastAsia="仿宋_GB2312"/>
                      <w:sz w:val="24"/>
                      <w:color w:val="000000"/>
                    </w:rPr>
                    <w:t>≥4</w:t>
                  </w:r>
                  <w:r>
                    <w:rPr>
                      <w:rFonts w:ascii="仿宋_GB2312" w:hAnsi="仿宋_GB2312" w:cs="仿宋_GB2312" w:eastAsia="仿宋_GB2312"/>
                      <w:sz w:val="24"/>
                      <w:color w:val="000000"/>
                    </w:rPr>
                    <w:t>颗</w:t>
                  </w:r>
                  <w:r>
                    <w:rPr>
                      <w:rFonts w:ascii="仿宋_GB2312" w:hAnsi="仿宋_GB2312" w:cs="仿宋_GB2312" w:eastAsia="仿宋_GB2312"/>
                      <w:sz w:val="24"/>
                      <w:color w:val="000000"/>
                    </w:rPr>
                    <w:t>CPU</w:t>
                  </w:r>
                  <w:r>
                    <w:rPr>
                      <w:rFonts w:ascii="仿宋_GB2312" w:hAnsi="仿宋_GB2312" w:cs="仿宋_GB2312" w:eastAsia="仿宋_GB2312"/>
                      <w:sz w:val="24"/>
                      <w:color w:val="000000"/>
                    </w:rPr>
                    <w:t>使用授权。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平台支持网络拓扑构建，实现虚拟网络连接、开启和关闭等操作。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支持大三层</w:t>
                  </w:r>
                  <w:r>
                    <w:rPr>
                      <w:rFonts w:ascii="仿宋_GB2312" w:hAnsi="仿宋_GB2312" w:cs="仿宋_GB2312" w:eastAsia="仿宋_GB2312"/>
                      <w:sz w:val="24"/>
                    </w:rPr>
                    <w:t>Vxlan</w:t>
                  </w:r>
                  <w:r>
                    <w:rPr>
                      <w:rFonts w:ascii="仿宋_GB2312" w:hAnsi="仿宋_GB2312" w:cs="仿宋_GB2312" w:eastAsia="仿宋_GB2312"/>
                      <w:sz w:val="24"/>
                    </w:rPr>
                    <w:t>网络与医院现有的局域网，保障网络环境兼容。</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为满足医疗行业软件发展趋势，软件应支持在界面上为虚拟机配置</w:t>
                  </w:r>
                  <w:r>
                    <w:rPr>
                      <w:rFonts w:ascii="仿宋_GB2312" w:hAnsi="仿宋_GB2312" w:cs="仿宋_GB2312" w:eastAsia="仿宋_GB2312"/>
                      <w:sz w:val="24"/>
                      <w:color w:val="000000"/>
                    </w:rPr>
                    <w:t>IPv6</w:t>
                  </w:r>
                  <w:r>
                    <w:rPr>
                      <w:rFonts w:ascii="仿宋_GB2312" w:hAnsi="仿宋_GB2312" w:cs="仿宋_GB2312" w:eastAsia="仿宋_GB2312"/>
                      <w:sz w:val="24"/>
                      <w:color w:val="000000"/>
                    </w:rPr>
                    <w:t>地址并访问业务。</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安全虚拟化软件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w:t>
                  </w:r>
                  <w:r>
                    <w:rPr>
                      <w:rFonts w:ascii="仿宋_GB2312" w:hAnsi="仿宋_GB2312" w:cs="仿宋_GB2312" w:eastAsia="仿宋_GB2312"/>
                      <w:sz w:val="24"/>
                    </w:rPr>
                    <w:t>为实现虚拟机东西向流量防护，满足防病毒、深度包检测，支持按照服务器物理</w:t>
                  </w:r>
                  <w:r>
                    <w:rPr>
                      <w:rFonts w:ascii="仿宋_GB2312" w:hAnsi="仿宋_GB2312" w:cs="仿宋_GB2312" w:eastAsia="仿宋_GB2312"/>
                      <w:sz w:val="24"/>
                    </w:rPr>
                    <w:t>CPU</w:t>
                  </w:r>
                  <w:r>
                    <w:rPr>
                      <w:rFonts w:ascii="仿宋_GB2312" w:hAnsi="仿宋_GB2312" w:cs="仿宋_GB2312" w:eastAsia="仿宋_GB2312"/>
                      <w:sz w:val="24"/>
                    </w:rPr>
                    <w:t>模式或客户端授权，配置</w:t>
                  </w:r>
                  <w:r>
                    <w:rPr>
                      <w:rFonts w:ascii="仿宋_GB2312" w:hAnsi="仿宋_GB2312" w:cs="仿宋_GB2312" w:eastAsia="仿宋_GB2312"/>
                      <w:sz w:val="24"/>
                    </w:rPr>
                    <w:t>≥4</w:t>
                  </w:r>
                  <w:r>
                    <w:rPr>
                      <w:rFonts w:ascii="仿宋_GB2312" w:hAnsi="仿宋_GB2312" w:cs="仿宋_GB2312" w:eastAsia="仿宋_GB2312"/>
                      <w:sz w:val="24"/>
                    </w:rPr>
                    <w:t>颗</w:t>
                  </w:r>
                  <w:r>
                    <w:rPr>
                      <w:rFonts w:ascii="仿宋_GB2312" w:hAnsi="仿宋_GB2312" w:cs="仿宋_GB2312" w:eastAsia="仿宋_GB2312"/>
                      <w:sz w:val="24"/>
                    </w:rPr>
                    <w:t>CPU</w:t>
                  </w:r>
                  <w:r>
                    <w:rPr>
                      <w:rFonts w:ascii="仿宋_GB2312" w:hAnsi="仿宋_GB2312" w:cs="仿宋_GB2312" w:eastAsia="仿宋_GB2312"/>
                      <w:sz w:val="24"/>
                    </w:rPr>
                    <w:t>授权或</w:t>
                  </w:r>
                  <w:r>
                    <w:rPr>
                      <w:rFonts w:ascii="仿宋_GB2312" w:hAnsi="仿宋_GB2312" w:cs="仿宋_GB2312" w:eastAsia="仿宋_GB2312"/>
                      <w:sz w:val="24"/>
                    </w:rPr>
                    <w:t>≥120</w:t>
                  </w:r>
                  <w:r>
                    <w:rPr>
                      <w:rFonts w:ascii="仿宋_GB2312" w:hAnsi="仿宋_GB2312" w:cs="仿宋_GB2312" w:eastAsia="仿宋_GB2312"/>
                      <w:sz w:val="24"/>
                    </w:rPr>
                    <w:t>套虚拟机终端安全防护授权。</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具备虚拟主机安全防护能力，针对医院业务环境中检测发现的恶意行为与安全风险，支持创建分布式虚拟防火墙，提供微分段防护能力，应当至少支持基于虚拟机、</w:t>
                  </w:r>
                  <w:r>
                    <w:rPr>
                      <w:rFonts w:ascii="仿宋_GB2312" w:hAnsi="仿宋_GB2312" w:cs="仿宋_GB2312" w:eastAsia="仿宋_GB2312"/>
                      <w:sz w:val="24"/>
                      <w:color w:val="000000"/>
                    </w:rPr>
                    <w:t>IP</w:t>
                  </w:r>
                  <w:r>
                    <w:rPr>
                      <w:rFonts w:ascii="仿宋_GB2312" w:hAnsi="仿宋_GB2312" w:cs="仿宋_GB2312" w:eastAsia="仿宋_GB2312"/>
                      <w:sz w:val="24"/>
                      <w:color w:val="000000"/>
                    </w:rPr>
                    <w:t>地址、服务等设置安全策略，保障医疗业务系统安全稳定运行。</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r>
                    <w:rPr>
                      <w:rFonts w:ascii="仿宋_GB2312" w:hAnsi="仿宋_GB2312" w:cs="仿宋_GB2312" w:eastAsia="仿宋_GB2312"/>
                      <w:sz w:val="24"/>
                      <w:color w:val="000000"/>
                    </w:rPr>
                    <w:t>支持一体化安全策略，能够基于时间、用户</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用户组、应用层协议、五元组、内容安全统一界面进行安全策略配置。</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持续数据保护软件</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包含持续数据保护软件永久授权</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套，为</w:t>
                  </w:r>
                  <w:r>
                    <w:rPr>
                      <w:rFonts w:ascii="仿宋_GB2312" w:hAnsi="仿宋_GB2312" w:cs="仿宋_GB2312" w:eastAsia="仿宋_GB2312"/>
                      <w:sz w:val="24"/>
                      <w:color w:val="000000"/>
                    </w:rPr>
                    <w:t>≥20</w:t>
                  </w:r>
                  <w:r>
                    <w:rPr>
                      <w:rFonts w:ascii="仿宋_GB2312" w:hAnsi="仿宋_GB2312" w:cs="仿宋_GB2312" w:eastAsia="仿宋_GB2312"/>
                      <w:sz w:val="24"/>
                      <w:color w:val="000000"/>
                    </w:rPr>
                    <w:t>台虚拟机提供</w:t>
                  </w:r>
                  <w:r>
                    <w:rPr>
                      <w:rFonts w:ascii="仿宋_GB2312" w:hAnsi="仿宋_GB2312" w:cs="仿宋_GB2312" w:eastAsia="仿宋_GB2312"/>
                      <w:sz w:val="24"/>
                      <w:color w:val="000000"/>
                    </w:rPr>
                    <w:t>CDP</w:t>
                  </w:r>
                  <w:r>
                    <w:rPr>
                      <w:rFonts w:ascii="仿宋_GB2312" w:hAnsi="仿宋_GB2312" w:cs="仿宋_GB2312" w:eastAsia="仿宋_GB2312"/>
                      <w:sz w:val="24"/>
                      <w:color w:val="000000"/>
                    </w:rPr>
                    <w:t>持续数据保护能力（无软件使用有效期限制）。</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为保障我院内网核心业务虚拟机安全性，应提供对医疗业务虚拟机的无代理备份能力，无备份数据容量限制，可直接将虚拟机备份到磁盘，并支持生成全新虚拟机的方式进行恢复；</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为保证业务系统可靠，平台应提供基于无代理的持续数据保护软件，通过记录数据</w:t>
                  </w:r>
                  <w:r>
                    <w:rPr>
                      <w:rFonts w:ascii="仿宋_GB2312" w:hAnsi="仿宋_GB2312" w:cs="仿宋_GB2312" w:eastAsia="仿宋_GB2312"/>
                      <w:sz w:val="24"/>
                      <w:color w:val="000000"/>
                    </w:rPr>
                    <w:t>IO</w:t>
                  </w:r>
                  <w:r>
                    <w:rPr>
                      <w:rFonts w:ascii="仿宋_GB2312" w:hAnsi="仿宋_GB2312" w:cs="仿宋_GB2312" w:eastAsia="仿宋_GB2312"/>
                      <w:sz w:val="24"/>
                      <w:color w:val="000000"/>
                    </w:rPr>
                    <w:t>变化实现秒级</w:t>
                  </w:r>
                  <w:r>
                    <w:rPr>
                      <w:rFonts w:ascii="仿宋_GB2312" w:hAnsi="仿宋_GB2312" w:cs="仿宋_GB2312" w:eastAsia="仿宋_GB2312"/>
                      <w:sz w:val="24"/>
                      <w:color w:val="000000"/>
                    </w:rPr>
                    <w:t>RPO</w:t>
                  </w:r>
                  <w:r>
                    <w:rPr>
                      <w:rFonts w:ascii="仿宋_GB2312" w:hAnsi="仿宋_GB2312" w:cs="仿宋_GB2312" w:eastAsia="仿宋_GB2312"/>
                      <w:sz w:val="24"/>
                      <w:color w:val="000000"/>
                    </w:rPr>
                    <w:t>，保障关键业务数据安全。</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原厂迁移服务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套云迁移平台软件，提供在线迁移工具、迁移服务和迁移授权</w:t>
                  </w:r>
                  <w:r>
                    <w:rPr>
                      <w:rFonts w:ascii="仿宋_GB2312" w:hAnsi="仿宋_GB2312" w:cs="仿宋_GB2312" w:eastAsia="仿宋_GB2312"/>
                      <w:sz w:val="24"/>
                      <w:color w:val="000000"/>
                    </w:rPr>
                    <w:t>≥50</w:t>
                  </w:r>
                  <w:r>
                    <w:rPr>
                      <w:rFonts w:ascii="仿宋_GB2312" w:hAnsi="仿宋_GB2312" w:cs="仿宋_GB2312" w:eastAsia="仿宋_GB2312"/>
                      <w:sz w:val="24"/>
                      <w:color w:val="000000"/>
                    </w:rPr>
                    <w:t>个，支持我院数据中心原有物理机</w:t>
                  </w:r>
                  <w:r>
                    <w:rPr>
                      <w:rFonts w:ascii="仿宋_GB2312" w:hAnsi="仿宋_GB2312" w:cs="仿宋_GB2312" w:eastAsia="仿宋_GB2312"/>
                      <w:sz w:val="24"/>
                      <w:color w:val="000000"/>
                    </w:rPr>
                    <w:t>/</w:t>
                  </w:r>
                  <w:r>
                    <w:rPr>
                      <w:rFonts w:ascii="仿宋_GB2312" w:hAnsi="仿宋_GB2312" w:cs="仿宋_GB2312" w:eastAsia="仿宋_GB2312"/>
                      <w:sz w:val="24"/>
                      <w:color w:val="000000"/>
                    </w:rPr>
                    <w:t>虚拟机迁移到新建平台上，提供全生命周期的线上迁移服务。</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服务支持端到端的整体方案设计，提供资源负载评估、迁移时间评估、性能评估、配置转换设计，兼顾业务关联与协同，保障医疗业务上云后资源高效利用及业务稳定运行。</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迁移服务需将部署于我单位现有虚拟化平台的业务完整地迁移至新采购的超融合平台上。实现业务无感知迁移；保证迁移过程中数据的完整性与一致性，实现数据零丢失。（</w:t>
                  </w:r>
                  <w:r>
                    <w:rPr>
                      <w:rFonts w:ascii="仿宋_GB2312" w:hAnsi="仿宋_GB2312" w:cs="仿宋_GB2312" w:eastAsia="仿宋_GB2312"/>
                      <w:sz w:val="24"/>
                      <w:b/>
                      <w:color w:val="000000"/>
                    </w:rPr>
                    <w:t>提供承诺函并加盖公章</w:t>
                  </w:r>
                  <w:r>
                    <w:rPr>
                      <w:rFonts w:ascii="仿宋_GB2312" w:hAnsi="仿宋_GB2312" w:cs="仿宋_GB2312" w:eastAsia="仿宋_GB2312"/>
                      <w:sz w:val="24"/>
                      <w:color w:val="000000"/>
                    </w:rPr>
                    <w:t>）</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outlineLvl w:val="0"/>
            </w:pPr>
            <w:r>
              <w:rPr>
                <w:rFonts w:ascii="仿宋_GB2312" w:hAnsi="仿宋_GB2312" w:cs="仿宋_GB2312" w:eastAsia="仿宋_GB2312"/>
                <w:sz w:val="28"/>
                <w:b/>
                <w:color w:val="000000"/>
              </w:rPr>
              <w:t>（四）外网汇聚交换机（</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台）</w:t>
            </w:r>
          </w:p>
          <w:tbl>
            <w:tblPr>
              <w:tblBorders>
                <w:top w:val="none" w:color="000000" w:sz="4"/>
                <w:left w:val="none" w:color="000000" w:sz="4"/>
                <w:bottom w:val="none" w:color="000000" w:sz="4"/>
                <w:right w:val="none" w:color="000000" w:sz="4"/>
                <w:insideH w:val="none"/>
                <w:insideV w:val="none"/>
              </w:tblBorders>
            </w:tblPr>
            <w:tblGrid>
              <w:gridCol w:w="454"/>
              <w:gridCol w:w="2001"/>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业务交换机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个万兆光口，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w:t>
                  </w:r>
                  <w:r>
                    <w:rPr>
                      <w:rFonts w:ascii="仿宋_GB2312" w:hAnsi="仿宋_GB2312" w:cs="仿宋_GB2312" w:eastAsia="仿宋_GB2312"/>
                      <w:sz w:val="24"/>
                      <w:color w:val="000000"/>
                    </w:rPr>
                    <w:t>40G</w:t>
                  </w:r>
                  <w:r>
                    <w:rPr>
                      <w:rFonts w:ascii="仿宋_GB2312" w:hAnsi="仿宋_GB2312" w:cs="仿宋_GB2312" w:eastAsia="仿宋_GB2312"/>
                      <w:sz w:val="24"/>
                      <w:color w:val="000000"/>
                    </w:rPr>
                    <w:t>光口。</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交换容量</w:t>
                  </w:r>
                  <w:r>
                    <w:rPr>
                      <w:rFonts w:ascii="仿宋_GB2312" w:hAnsi="仿宋_GB2312" w:cs="仿宋_GB2312" w:eastAsia="仿宋_GB2312"/>
                      <w:sz w:val="24"/>
                      <w:color w:val="000000"/>
                    </w:rPr>
                    <w:t>≥2.56Tbps</w:t>
                  </w:r>
                  <w:r>
                    <w:rPr>
                      <w:rFonts w:ascii="仿宋_GB2312" w:hAnsi="仿宋_GB2312" w:cs="仿宋_GB2312" w:eastAsia="仿宋_GB2312"/>
                      <w:sz w:val="24"/>
                      <w:color w:val="000000"/>
                    </w:rPr>
                    <w:t>，包转发率</w:t>
                  </w:r>
                  <w:r>
                    <w:rPr>
                      <w:rFonts w:ascii="仿宋_GB2312" w:hAnsi="仿宋_GB2312" w:cs="仿宋_GB2312" w:eastAsia="仿宋_GB2312"/>
                      <w:sz w:val="24"/>
                      <w:color w:val="000000"/>
                    </w:rPr>
                    <w:t>≥1400Mpps;</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支持静态路由、</w:t>
                  </w:r>
                  <w:r>
                    <w:rPr>
                      <w:rFonts w:ascii="仿宋_GB2312" w:hAnsi="仿宋_GB2312" w:cs="仿宋_GB2312" w:eastAsia="仿宋_GB2312"/>
                      <w:sz w:val="24"/>
                      <w:color w:val="000000"/>
                    </w:rPr>
                    <w:t>OSPF</w:t>
                  </w:r>
                  <w:r>
                    <w:rPr>
                      <w:rFonts w:ascii="仿宋_GB2312" w:hAnsi="仿宋_GB2312" w:cs="仿宋_GB2312" w:eastAsia="仿宋_GB2312"/>
                      <w:sz w:val="24"/>
                      <w:color w:val="000000"/>
                    </w:rPr>
                    <w:t>、</w:t>
                  </w:r>
                  <w:r>
                    <w:rPr>
                      <w:rFonts w:ascii="仿宋_GB2312" w:hAnsi="仿宋_GB2312" w:cs="仿宋_GB2312" w:eastAsia="仿宋_GB2312"/>
                      <w:sz w:val="24"/>
                      <w:color w:val="000000"/>
                    </w:rPr>
                    <w:t>BGP</w:t>
                  </w:r>
                  <w:r>
                    <w:rPr>
                      <w:rFonts w:ascii="仿宋_GB2312" w:hAnsi="仿宋_GB2312" w:cs="仿宋_GB2312" w:eastAsia="仿宋_GB2312"/>
                      <w:sz w:val="24"/>
                      <w:color w:val="000000"/>
                    </w:rPr>
                    <w:t>、路由策略；</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支持内置图形化网管平台，实现对网络的统一运维及管理提供证明材料；</w:t>
                  </w:r>
                </w:p>
                <w:p>
                  <w:pPr>
                    <w:pStyle w:val="null3"/>
                    <w:jc w:val="both"/>
                  </w:pP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支持灵活的队列调度算法，可以同时基于端口和队列进行设置，支持</w:t>
                  </w:r>
                  <w:r>
                    <w:rPr>
                      <w:rFonts w:ascii="仿宋_GB2312" w:hAnsi="仿宋_GB2312" w:cs="仿宋_GB2312" w:eastAsia="仿宋_GB2312"/>
                      <w:sz w:val="24"/>
                      <w:color w:val="000000"/>
                    </w:rPr>
                    <w:t>SP</w:t>
                  </w:r>
                  <w:r>
                    <w:rPr>
                      <w:rFonts w:ascii="仿宋_GB2312" w:hAnsi="仿宋_GB2312" w:cs="仿宋_GB2312" w:eastAsia="仿宋_GB2312"/>
                      <w:sz w:val="24"/>
                      <w:color w:val="000000"/>
                    </w:rPr>
                    <w:t>、</w:t>
                  </w:r>
                  <w:r>
                    <w:rPr>
                      <w:rFonts w:ascii="仿宋_GB2312" w:hAnsi="仿宋_GB2312" w:cs="仿宋_GB2312" w:eastAsia="仿宋_GB2312"/>
                      <w:sz w:val="24"/>
                      <w:color w:val="000000"/>
                    </w:rPr>
                    <w:t>WDRR</w:t>
                  </w:r>
                  <w:r>
                    <w:rPr>
                      <w:rFonts w:ascii="仿宋_GB2312" w:hAnsi="仿宋_GB2312" w:cs="仿宋_GB2312" w:eastAsia="仿宋_GB2312"/>
                      <w:sz w:val="24"/>
                      <w:color w:val="000000"/>
                    </w:rPr>
                    <w:t>、</w:t>
                  </w:r>
                  <w:r>
                    <w:rPr>
                      <w:rFonts w:ascii="仿宋_GB2312" w:hAnsi="仿宋_GB2312" w:cs="仿宋_GB2312" w:eastAsia="仿宋_GB2312"/>
                      <w:sz w:val="24"/>
                      <w:color w:val="000000"/>
                    </w:rPr>
                    <w:t>WRR</w:t>
                  </w:r>
                  <w:r>
                    <w:rPr>
                      <w:rFonts w:ascii="仿宋_GB2312" w:hAnsi="仿宋_GB2312" w:cs="仿宋_GB2312" w:eastAsia="仿宋_GB2312"/>
                      <w:sz w:val="24"/>
                      <w:color w:val="000000"/>
                    </w:rPr>
                    <w:t>、</w:t>
                  </w:r>
                  <w:r>
                    <w:rPr>
                      <w:rFonts w:ascii="仿宋_GB2312" w:hAnsi="仿宋_GB2312" w:cs="仿宋_GB2312" w:eastAsia="仿宋_GB2312"/>
                      <w:sz w:val="24"/>
                      <w:color w:val="000000"/>
                    </w:rPr>
                    <w:t>WFQ</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SP+WDRR </w:t>
                  </w:r>
                  <w:r>
                    <w:rPr>
                      <w:rFonts w:ascii="仿宋_GB2312" w:hAnsi="仿宋_GB2312" w:cs="仿宋_GB2312" w:eastAsia="仿宋_GB2312"/>
                      <w:sz w:val="24"/>
                      <w:color w:val="000000"/>
                    </w:rPr>
                    <w:t>等多种模式；</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本次配置双电源，</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个万兆多模；</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outlineLvl w:val="0"/>
            </w:pPr>
            <w:r>
              <w:rPr>
                <w:rFonts w:ascii="仿宋_GB2312" w:hAnsi="仿宋_GB2312" w:cs="仿宋_GB2312" w:eastAsia="仿宋_GB2312"/>
                <w:sz w:val="28"/>
                <w:b/>
                <w:color w:val="000000"/>
              </w:rPr>
              <w:t>（五）内外网隔离防火墙（</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台）</w:t>
            </w:r>
          </w:p>
          <w:tbl>
            <w:tblPr>
              <w:tblBorders>
                <w:top w:val="none" w:color="000000" w:sz="4"/>
                <w:left w:val="none" w:color="000000" w:sz="4"/>
                <w:bottom w:val="none" w:color="000000" w:sz="4"/>
                <w:right w:val="none" w:color="000000" w:sz="4"/>
                <w:insideH w:val="none"/>
                <w:insideV w:val="none"/>
              </w:tblBorders>
            </w:tblPr>
            <w:tblGrid>
              <w:gridCol w:w="248"/>
              <w:gridCol w:w="442"/>
              <w:gridCol w:w="176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w:t>
                  </w:r>
                </w:p>
                <w:p>
                  <w:pPr>
                    <w:pStyle w:val="null3"/>
                    <w:jc w:val="center"/>
                  </w:pPr>
                  <w:r>
                    <w:rPr>
                      <w:rFonts w:ascii="仿宋_GB2312" w:hAnsi="仿宋_GB2312" w:cs="仿宋_GB2312" w:eastAsia="仿宋_GB2312"/>
                      <w:sz w:val="24"/>
                      <w:b/>
                      <w:color w:val="000000"/>
                    </w:rPr>
                    <w:t>名称</w:t>
                  </w:r>
                </w:p>
              </w:tc>
              <w:tc>
                <w:tcPr>
                  <w:tcW w:type="dxa" w:w="22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内外网隔离防火墙</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硬件参数</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≥4G</w:t>
                  </w:r>
                  <w:r>
                    <w:rPr>
                      <w:rFonts w:ascii="仿宋_GB2312" w:hAnsi="仿宋_GB2312" w:cs="仿宋_GB2312" w:eastAsia="仿宋_GB2312"/>
                      <w:sz w:val="24"/>
                      <w:color w:val="000000"/>
                    </w:rPr>
                    <w:t>，</w:t>
                  </w:r>
                  <w:r>
                    <w:rPr>
                      <w:rFonts w:ascii="仿宋_GB2312" w:hAnsi="仿宋_GB2312" w:cs="仿宋_GB2312" w:eastAsia="仿宋_GB2312"/>
                      <w:sz w:val="24"/>
                    </w:rPr>
                    <w:t>硬盘</w:t>
                  </w:r>
                  <w:r>
                    <w:rPr>
                      <w:rFonts w:ascii="仿宋_GB2312" w:hAnsi="仿宋_GB2312" w:cs="仿宋_GB2312" w:eastAsia="仿宋_GB2312"/>
                      <w:sz w:val="24"/>
                    </w:rPr>
                    <w:t>≥480G SSD,</w:t>
                  </w:r>
                  <w:r>
                    <w:rPr>
                      <w:rFonts w:ascii="仿宋_GB2312" w:hAnsi="仿宋_GB2312" w:cs="仿宋_GB2312" w:eastAsia="仿宋_GB2312"/>
                      <w:sz w:val="24"/>
                      <w:color w:val="000000"/>
                    </w:rPr>
                    <w:t>千兆电口</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个，千兆光口</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个，万兆光口</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个，扩展槽位</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性能要求</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网络层吞吐量</w:t>
                  </w:r>
                  <w:r>
                    <w:rPr>
                      <w:rFonts w:ascii="仿宋_GB2312" w:hAnsi="仿宋_GB2312" w:cs="仿宋_GB2312" w:eastAsia="仿宋_GB2312"/>
                      <w:sz w:val="24"/>
                      <w:color w:val="000000"/>
                    </w:rPr>
                    <w:t>≥3 Gbps</w:t>
                  </w:r>
                  <w:r>
                    <w:rPr>
                      <w:rFonts w:ascii="仿宋_GB2312" w:hAnsi="仿宋_GB2312" w:cs="仿宋_GB2312" w:eastAsia="仿宋_GB2312"/>
                      <w:sz w:val="24"/>
                      <w:color w:val="000000"/>
                    </w:rPr>
                    <w:t>，应用层吞吐量</w:t>
                  </w:r>
                  <w:r>
                    <w:rPr>
                      <w:rFonts w:ascii="仿宋_GB2312" w:hAnsi="仿宋_GB2312" w:cs="仿宋_GB2312" w:eastAsia="仿宋_GB2312"/>
                      <w:sz w:val="24"/>
                      <w:color w:val="000000"/>
                    </w:rPr>
                    <w:t>≥3 Gbps</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并发连接数</w:t>
                  </w:r>
                  <w:r>
                    <w:rPr>
                      <w:rFonts w:ascii="仿宋_GB2312" w:hAnsi="仿宋_GB2312" w:cs="仿宋_GB2312" w:eastAsia="仿宋_GB2312"/>
                      <w:sz w:val="24"/>
                      <w:color w:val="000000"/>
                    </w:rPr>
                    <w:t>≥250</w:t>
                  </w:r>
                  <w:r>
                    <w:rPr>
                      <w:rFonts w:ascii="仿宋_GB2312" w:hAnsi="仿宋_GB2312" w:cs="仿宋_GB2312" w:eastAsia="仿宋_GB2312"/>
                      <w:sz w:val="24"/>
                      <w:color w:val="000000"/>
                    </w:rPr>
                    <w:t>万，新建连接数</w:t>
                  </w:r>
                  <w:r>
                    <w:rPr>
                      <w:rFonts w:ascii="仿宋_GB2312" w:hAnsi="仿宋_GB2312" w:cs="仿宋_GB2312" w:eastAsia="仿宋_GB2312"/>
                      <w:sz w:val="24"/>
                      <w:color w:val="000000"/>
                    </w:rPr>
                    <w:t>≥3</w:t>
                  </w:r>
                  <w:r>
                    <w:rPr>
                      <w:rFonts w:ascii="仿宋_GB2312" w:hAnsi="仿宋_GB2312" w:cs="仿宋_GB2312" w:eastAsia="仿宋_GB2312"/>
                      <w:sz w:val="24"/>
                      <w:color w:val="000000"/>
                    </w:rPr>
                    <w:t>万。</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实配行为管理、入侵、防病毒、</w:t>
                  </w:r>
                  <w:r>
                    <w:rPr>
                      <w:rFonts w:ascii="仿宋_GB2312" w:hAnsi="仿宋_GB2312" w:cs="仿宋_GB2312" w:eastAsia="仿宋_GB2312"/>
                      <w:sz w:val="24"/>
                      <w:color w:val="000000"/>
                    </w:rPr>
                    <w:t>URL</w:t>
                  </w:r>
                  <w:r>
                    <w:rPr>
                      <w:rFonts w:ascii="仿宋_GB2312" w:hAnsi="仿宋_GB2312" w:cs="仿宋_GB2312" w:eastAsia="仿宋_GB2312"/>
                      <w:sz w:val="24"/>
                      <w:color w:val="000000"/>
                    </w:rPr>
                    <w:t>、安全威胁情报授权许可；</w:t>
                  </w:r>
                </w:p>
              </w:tc>
            </w:tr>
            <w:tr>
              <w:tc>
                <w:tcPr>
                  <w:tcW w:type="dxa" w:w="248"/>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功能要求</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产品支持对</w:t>
                  </w:r>
                  <w:r>
                    <w:rPr>
                      <w:rFonts w:ascii="仿宋_GB2312" w:hAnsi="仿宋_GB2312" w:cs="仿宋_GB2312" w:eastAsia="仿宋_GB2312"/>
                      <w:sz w:val="24"/>
                      <w:color w:val="000000"/>
                    </w:rPr>
                    <w:t>ICMP</w:t>
                  </w:r>
                  <w:r>
                    <w:rPr>
                      <w:rFonts w:ascii="仿宋_GB2312" w:hAnsi="仿宋_GB2312" w:cs="仿宋_GB2312" w:eastAsia="仿宋_GB2312"/>
                      <w:sz w:val="24"/>
                      <w:color w:val="000000"/>
                    </w:rPr>
                    <w:t>、</w:t>
                  </w:r>
                  <w:r>
                    <w:rPr>
                      <w:rFonts w:ascii="仿宋_GB2312" w:hAnsi="仿宋_GB2312" w:cs="仿宋_GB2312" w:eastAsia="仿宋_GB2312"/>
                      <w:sz w:val="24"/>
                      <w:color w:val="000000"/>
                    </w:rPr>
                    <w:t>UDP</w:t>
                  </w:r>
                  <w:r>
                    <w:rPr>
                      <w:rFonts w:ascii="仿宋_GB2312" w:hAnsi="仿宋_GB2312" w:cs="仿宋_GB2312" w:eastAsia="仿宋_GB2312"/>
                      <w:sz w:val="24"/>
                      <w:color w:val="000000"/>
                    </w:rPr>
                    <w:t>、</w:t>
                  </w:r>
                  <w:r>
                    <w:rPr>
                      <w:rFonts w:ascii="仿宋_GB2312" w:hAnsi="仿宋_GB2312" w:cs="仿宋_GB2312" w:eastAsia="仿宋_GB2312"/>
                      <w:sz w:val="24"/>
                      <w:color w:val="000000"/>
                    </w:rPr>
                    <w:t>DNS</w:t>
                  </w:r>
                  <w:r>
                    <w:rPr>
                      <w:rFonts w:ascii="仿宋_GB2312" w:hAnsi="仿宋_GB2312" w:cs="仿宋_GB2312" w:eastAsia="仿宋_GB2312"/>
                      <w:sz w:val="24"/>
                      <w:color w:val="000000"/>
                    </w:rPr>
                    <w:t>、</w:t>
                  </w:r>
                  <w:r>
                    <w:rPr>
                      <w:rFonts w:ascii="仿宋_GB2312" w:hAnsi="仿宋_GB2312" w:cs="仿宋_GB2312" w:eastAsia="仿宋_GB2312"/>
                      <w:sz w:val="24"/>
                      <w:color w:val="000000"/>
                    </w:rPr>
                    <w:t>SYN</w:t>
                  </w:r>
                  <w:r>
                    <w:rPr>
                      <w:rFonts w:ascii="仿宋_GB2312" w:hAnsi="仿宋_GB2312" w:cs="仿宋_GB2312" w:eastAsia="仿宋_GB2312"/>
                      <w:sz w:val="24"/>
                      <w:color w:val="000000"/>
                    </w:rPr>
                    <w:t>等协议进行</w:t>
                  </w:r>
                  <w:r>
                    <w:rPr>
                      <w:rFonts w:ascii="仿宋_GB2312" w:hAnsi="仿宋_GB2312" w:cs="仿宋_GB2312" w:eastAsia="仿宋_GB2312"/>
                      <w:sz w:val="24"/>
                      <w:color w:val="000000"/>
                    </w:rPr>
                    <w:t>DDOS</w:t>
                  </w:r>
                  <w:r>
                    <w:rPr>
                      <w:rFonts w:ascii="仿宋_GB2312" w:hAnsi="仿宋_GB2312" w:cs="仿宋_GB2312" w:eastAsia="仿宋_GB2312"/>
                      <w:sz w:val="24"/>
                      <w:color w:val="000000"/>
                    </w:rPr>
                    <w:t>防护。</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为降低我院运维成本，需支持策略生命周期管理功能，支持对安全策略修改的时间、原因、变更类型进行统一管理。</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支持静态路由、策略路由和多播路由协议，并支持</w:t>
                  </w:r>
                  <w:r>
                    <w:rPr>
                      <w:rFonts w:ascii="仿宋_GB2312" w:hAnsi="仿宋_GB2312" w:cs="仿宋_GB2312" w:eastAsia="仿宋_GB2312"/>
                      <w:sz w:val="24"/>
                      <w:color w:val="000000"/>
                    </w:rPr>
                    <w:t>BGP</w:t>
                  </w:r>
                  <w:r>
                    <w:rPr>
                      <w:rFonts w:ascii="仿宋_GB2312" w:hAnsi="仿宋_GB2312" w:cs="仿宋_GB2312" w:eastAsia="仿宋_GB2312"/>
                      <w:sz w:val="24"/>
                      <w:color w:val="000000"/>
                    </w:rPr>
                    <w:t>、</w:t>
                  </w:r>
                  <w:r>
                    <w:rPr>
                      <w:rFonts w:ascii="仿宋_GB2312" w:hAnsi="仿宋_GB2312" w:cs="仿宋_GB2312" w:eastAsia="仿宋_GB2312"/>
                      <w:sz w:val="24"/>
                      <w:color w:val="000000"/>
                    </w:rPr>
                    <w:t>RIP</w:t>
                  </w:r>
                  <w:r>
                    <w:rPr>
                      <w:rFonts w:ascii="仿宋_GB2312" w:hAnsi="仿宋_GB2312" w:cs="仿宋_GB2312" w:eastAsia="仿宋_GB2312"/>
                      <w:sz w:val="24"/>
                      <w:color w:val="000000"/>
                    </w:rPr>
                    <w:t>、</w:t>
                  </w:r>
                  <w:r>
                    <w:rPr>
                      <w:rFonts w:ascii="仿宋_GB2312" w:hAnsi="仿宋_GB2312" w:cs="仿宋_GB2312" w:eastAsia="仿宋_GB2312"/>
                      <w:sz w:val="24"/>
                      <w:color w:val="000000"/>
                    </w:rPr>
                    <w:t>OSPF</w:t>
                  </w:r>
                  <w:r>
                    <w:rPr>
                      <w:rFonts w:ascii="仿宋_GB2312" w:hAnsi="仿宋_GB2312" w:cs="仿宋_GB2312" w:eastAsia="仿宋_GB2312"/>
                      <w:sz w:val="24"/>
                      <w:color w:val="000000"/>
                    </w:rPr>
                    <w:t>等动态路由协议。</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支持虚拟防火墙的创建、启用、停用、删除等操作；虚拟防火墙可实现独立管理及配置的独立存储；虚拟防火墙具备独立的会话管理、网络地址转换、安全策略等功能。</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支持配置自动备份和回滚，通过</w:t>
                  </w:r>
                  <w:r>
                    <w:rPr>
                      <w:rFonts w:ascii="仿宋_GB2312" w:hAnsi="仿宋_GB2312" w:cs="仿宋_GB2312" w:eastAsia="仿宋_GB2312"/>
                      <w:sz w:val="24"/>
                      <w:color w:val="000000"/>
                    </w:rPr>
                    <w:t>FTP</w:t>
                  </w:r>
                  <w:r>
                    <w:rPr>
                      <w:rFonts w:ascii="仿宋_GB2312" w:hAnsi="仿宋_GB2312" w:cs="仿宋_GB2312" w:eastAsia="仿宋_GB2312"/>
                      <w:sz w:val="24"/>
                      <w:color w:val="000000"/>
                    </w:rPr>
                    <w:t>发送到指定服务器（提供功能截图）；</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具备资产属性重新识别功能，支持通过管理员账号清空指定资产基本信息；对已删除的各项资产属性，可实现批量自动录入，无需人工干预，进一步提升管理效率。</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支持一对一、多对一、多对多等多种形式的</w:t>
                  </w:r>
                  <w:r>
                    <w:rPr>
                      <w:rFonts w:ascii="仿宋_GB2312" w:hAnsi="仿宋_GB2312" w:cs="仿宋_GB2312" w:eastAsia="仿宋_GB2312"/>
                      <w:sz w:val="24"/>
                      <w:color w:val="000000"/>
                    </w:rPr>
                    <w:t>NAT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IPsec VPN</w:t>
                  </w:r>
                  <w:r>
                    <w:rPr>
                      <w:rFonts w:ascii="仿宋_GB2312" w:hAnsi="仿宋_GB2312" w:cs="仿宋_GB2312" w:eastAsia="仿宋_GB2312"/>
                      <w:sz w:val="24"/>
                      <w:color w:val="000000"/>
                    </w:rPr>
                    <w:t>隧道自动建立，无需流量触发；</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内置针对我单位常用的</w:t>
                  </w:r>
                  <w:r>
                    <w:rPr>
                      <w:rFonts w:ascii="仿宋_GB2312" w:hAnsi="仿宋_GB2312" w:cs="仿宋_GB2312" w:eastAsia="仿宋_GB2312"/>
                      <w:sz w:val="24"/>
                    </w:rPr>
                    <w:t>SMTP</w:t>
                  </w:r>
                  <w:r>
                    <w:rPr>
                      <w:rFonts w:ascii="仿宋_GB2312" w:hAnsi="仿宋_GB2312" w:cs="仿宋_GB2312" w:eastAsia="仿宋_GB2312"/>
                      <w:sz w:val="24"/>
                    </w:rPr>
                    <w:t>、</w:t>
                  </w:r>
                  <w:r>
                    <w:rPr>
                      <w:rFonts w:ascii="仿宋_GB2312" w:hAnsi="仿宋_GB2312" w:cs="仿宋_GB2312" w:eastAsia="仿宋_GB2312"/>
                      <w:sz w:val="24"/>
                    </w:rPr>
                    <w:t>HTTP</w:t>
                  </w:r>
                  <w:r>
                    <w:rPr>
                      <w:rFonts w:ascii="仿宋_GB2312" w:hAnsi="仿宋_GB2312" w:cs="仿宋_GB2312" w:eastAsia="仿宋_GB2312"/>
                      <w:sz w:val="24"/>
                    </w:rPr>
                    <w:t>、</w:t>
                  </w:r>
                  <w:r>
                    <w:rPr>
                      <w:rFonts w:ascii="仿宋_GB2312" w:hAnsi="仿宋_GB2312" w:cs="仿宋_GB2312" w:eastAsia="仿宋_GB2312"/>
                      <w:sz w:val="24"/>
                    </w:rPr>
                    <w:t>FTP</w:t>
                  </w:r>
                  <w:r>
                    <w:rPr>
                      <w:rFonts w:ascii="仿宋_GB2312" w:hAnsi="仿宋_GB2312" w:cs="仿宋_GB2312" w:eastAsia="仿宋_GB2312"/>
                      <w:sz w:val="24"/>
                    </w:rPr>
                    <w:t>、</w:t>
                  </w:r>
                  <w:r>
                    <w:rPr>
                      <w:rFonts w:ascii="仿宋_GB2312" w:hAnsi="仿宋_GB2312" w:cs="仿宋_GB2312" w:eastAsia="仿宋_GB2312"/>
                      <w:sz w:val="24"/>
                    </w:rPr>
                    <w:t>SMB</w:t>
                  </w:r>
                  <w:r>
                    <w:rPr>
                      <w:rFonts w:ascii="仿宋_GB2312" w:hAnsi="仿宋_GB2312" w:cs="仿宋_GB2312" w:eastAsia="仿宋_GB2312"/>
                      <w:sz w:val="24"/>
                    </w:rPr>
                    <w:t>、</w:t>
                  </w:r>
                  <w:r>
                    <w:rPr>
                      <w:rFonts w:ascii="仿宋_GB2312" w:hAnsi="仿宋_GB2312" w:cs="仿宋_GB2312" w:eastAsia="仿宋_GB2312"/>
                      <w:sz w:val="24"/>
                    </w:rPr>
                    <w:t>POP3</w:t>
                  </w:r>
                  <w:r>
                    <w:rPr>
                      <w:rFonts w:ascii="仿宋_GB2312" w:hAnsi="仿宋_GB2312" w:cs="仿宋_GB2312" w:eastAsia="仿宋_GB2312"/>
                      <w:sz w:val="24"/>
                    </w:rPr>
                    <w:t>、</w:t>
                  </w:r>
                  <w:r>
                    <w:rPr>
                      <w:rFonts w:ascii="仿宋_GB2312" w:hAnsi="仿宋_GB2312" w:cs="仿宋_GB2312" w:eastAsia="仿宋_GB2312"/>
                      <w:sz w:val="24"/>
                    </w:rPr>
                    <w:t>HTTPS</w:t>
                  </w:r>
                  <w:r>
                    <w:rPr>
                      <w:rFonts w:ascii="仿宋_GB2312" w:hAnsi="仿宋_GB2312" w:cs="仿宋_GB2312" w:eastAsia="仿宋_GB2312"/>
                      <w:sz w:val="24"/>
                    </w:rPr>
                    <w:t>、</w:t>
                  </w:r>
                  <w:r>
                    <w:rPr>
                      <w:rFonts w:ascii="仿宋_GB2312" w:hAnsi="仿宋_GB2312" w:cs="仿宋_GB2312" w:eastAsia="仿宋_GB2312"/>
                      <w:sz w:val="24"/>
                    </w:rPr>
                    <w:t>IMAP</w:t>
                  </w:r>
                  <w:r>
                    <w:rPr>
                      <w:rFonts w:ascii="仿宋_GB2312" w:hAnsi="仿宋_GB2312" w:cs="仿宋_GB2312" w:eastAsia="仿宋_GB2312"/>
                      <w:sz w:val="24"/>
                    </w:rPr>
                    <w:t>等协议的防护功能。</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标的名称：重症监护系统床位管理模块扩充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70"/>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重症信息集成</w:t>
            </w:r>
          </w:p>
          <w:tbl>
            <w:tblPr>
              <w:tblBorders>
                <w:top w:val="none" w:color="000000" w:sz="4"/>
                <w:left w:val="none" w:color="000000" w:sz="4"/>
                <w:bottom w:val="none" w:color="000000" w:sz="4"/>
                <w:right w:val="none" w:color="000000" w:sz="4"/>
                <w:insideH w:val="none"/>
                <w:insideV w:val="none"/>
              </w:tblBorders>
            </w:tblPr>
            <w:tblGrid>
              <w:gridCol w:w="288"/>
              <w:gridCol w:w="306"/>
              <w:gridCol w:w="1954"/>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模块</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子模块</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功能响应</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信息集成（</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专科数据集成</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系统需支持与医院</w:t>
                  </w:r>
                  <w:r>
                    <w:rPr>
                      <w:rFonts w:ascii="仿宋_GB2312" w:hAnsi="仿宋_GB2312" w:cs="仿宋_GB2312" w:eastAsia="仿宋_GB2312"/>
                      <w:sz w:val="22"/>
                      <w:color w:val="000000"/>
                    </w:rPr>
                    <w:t>HIS</w:t>
                  </w:r>
                  <w:r>
                    <w:rPr>
                      <w:rFonts w:ascii="仿宋_GB2312" w:hAnsi="仿宋_GB2312" w:cs="仿宋_GB2312" w:eastAsia="仿宋_GB2312"/>
                      <w:sz w:val="22"/>
                      <w:color w:val="000000"/>
                    </w:rPr>
                    <w:t>、</w:t>
                  </w:r>
                  <w:r>
                    <w:rPr>
                      <w:rFonts w:ascii="仿宋_GB2312" w:hAnsi="仿宋_GB2312" w:cs="仿宋_GB2312" w:eastAsia="仿宋_GB2312"/>
                      <w:sz w:val="22"/>
                      <w:color w:val="000000"/>
                    </w:rPr>
                    <w:t>LIS</w:t>
                  </w:r>
                  <w:r>
                    <w:rPr>
                      <w:rFonts w:ascii="仿宋_GB2312" w:hAnsi="仿宋_GB2312" w:cs="仿宋_GB2312" w:eastAsia="仿宋_GB2312"/>
                      <w:sz w:val="22"/>
                      <w:color w:val="000000"/>
                    </w:rPr>
                    <w:t>、</w:t>
                  </w:r>
                  <w:r>
                    <w:rPr>
                      <w:rFonts w:ascii="仿宋_GB2312" w:hAnsi="仿宋_GB2312" w:cs="仿宋_GB2312" w:eastAsia="仿宋_GB2312"/>
                      <w:sz w:val="22"/>
                      <w:color w:val="000000"/>
                    </w:rPr>
                    <w:t>PACS-RIS</w:t>
                  </w:r>
                  <w:r>
                    <w:rPr>
                      <w:rFonts w:ascii="仿宋_GB2312" w:hAnsi="仿宋_GB2312" w:cs="仿宋_GB2312" w:eastAsia="仿宋_GB2312"/>
                      <w:sz w:val="22"/>
                      <w:color w:val="000000"/>
                    </w:rPr>
                    <w:t>、</w:t>
                  </w:r>
                  <w:r>
                    <w:rPr>
                      <w:rFonts w:ascii="仿宋_GB2312" w:hAnsi="仿宋_GB2312" w:cs="仿宋_GB2312" w:eastAsia="仿宋_GB2312"/>
                      <w:sz w:val="22"/>
                      <w:color w:val="000000"/>
                    </w:rPr>
                    <w:t>EMR</w:t>
                  </w:r>
                  <w:r>
                    <w:rPr>
                      <w:rFonts w:ascii="仿宋_GB2312" w:hAnsi="仿宋_GB2312" w:cs="仿宋_GB2312" w:eastAsia="仿宋_GB2312"/>
                      <w:sz w:val="22"/>
                      <w:color w:val="000000"/>
                    </w:rPr>
                    <w:t>进行系统集成，数据共享。</w:t>
                  </w:r>
                </w:p>
                <w:p>
                  <w:pPr>
                    <w:pStyle w:val="null3"/>
                    <w:ind w:left="42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支持与</w:t>
                  </w:r>
                  <w:r>
                    <w:rPr>
                      <w:rFonts w:ascii="仿宋_GB2312" w:hAnsi="仿宋_GB2312" w:cs="仿宋_GB2312" w:eastAsia="仿宋_GB2312"/>
                      <w:sz w:val="22"/>
                      <w:color w:val="000000"/>
                    </w:rPr>
                    <w:t xml:space="preserve">HIS </w:t>
                  </w:r>
                  <w:r>
                    <w:rPr>
                      <w:rFonts w:ascii="仿宋_GB2312" w:hAnsi="仿宋_GB2312" w:cs="仿宋_GB2312" w:eastAsia="仿宋_GB2312"/>
                      <w:sz w:val="22"/>
                      <w:color w:val="000000"/>
                    </w:rPr>
                    <w:t>系统的集成和交互。</w:t>
                  </w:r>
                </w:p>
                <w:p>
                  <w:pPr>
                    <w:pStyle w:val="null3"/>
                    <w:ind w:left="42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支持与</w:t>
                  </w:r>
                  <w:r>
                    <w:rPr>
                      <w:rFonts w:ascii="仿宋_GB2312" w:hAnsi="仿宋_GB2312" w:cs="仿宋_GB2312" w:eastAsia="仿宋_GB2312"/>
                      <w:sz w:val="22"/>
                      <w:color w:val="000000"/>
                    </w:rPr>
                    <w:t>LIS</w:t>
                  </w:r>
                  <w:r>
                    <w:rPr>
                      <w:rFonts w:ascii="仿宋_GB2312" w:hAnsi="仿宋_GB2312" w:cs="仿宋_GB2312" w:eastAsia="仿宋_GB2312"/>
                      <w:sz w:val="22"/>
                      <w:color w:val="000000"/>
                    </w:rPr>
                    <w:t>／</w:t>
                  </w:r>
                  <w:r>
                    <w:rPr>
                      <w:rFonts w:ascii="仿宋_GB2312" w:hAnsi="仿宋_GB2312" w:cs="仿宋_GB2312" w:eastAsia="仿宋_GB2312"/>
                      <w:sz w:val="22"/>
                      <w:color w:val="000000"/>
                    </w:rPr>
                    <w:t>PACS-RIS</w:t>
                  </w:r>
                  <w:r>
                    <w:rPr>
                      <w:rFonts w:ascii="仿宋_GB2312" w:hAnsi="仿宋_GB2312" w:cs="仿宋_GB2312" w:eastAsia="仿宋_GB2312"/>
                      <w:sz w:val="22"/>
                      <w:color w:val="000000"/>
                    </w:rPr>
                    <w:t>系统的集成和交互。</w:t>
                  </w:r>
                </w:p>
                <w:p>
                  <w:pPr>
                    <w:pStyle w:val="null3"/>
                    <w:ind w:left="42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支持与</w:t>
                  </w:r>
                  <w:r>
                    <w:rPr>
                      <w:rFonts w:ascii="仿宋_GB2312" w:hAnsi="仿宋_GB2312" w:cs="仿宋_GB2312" w:eastAsia="仿宋_GB2312"/>
                      <w:sz w:val="22"/>
                      <w:color w:val="000000"/>
                    </w:rPr>
                    <w:t>EMR</w:t>
                  </w:r>
                  <w:r>
                    <w:rPr>
                      <w:rFonts w:ascii="仿宋_GB2312" w:hAnsi="仿宋_GB2312" w:cs="仿宋_GB2312" w:eastAsia="仿宋_GB2312"/>
                      <w:sz w:val="22"/>
                      <w:color w:val="000000"/>
                    </w:rPr>
                    <w:t>系统集成和交互</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p>
                <w:p>
                  <w:pPr>
                    <w:pStyle w:val="null3"/>
                    <w:ind w:left="420"/>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支持与医院原重症系统数据集成和交互，能统一汇总相关报表数据</w:t>
                  </w:r>
                  <w:r>
                    <w:rPr>
                      <w:rFonts w:ascii="仿宋_GB2312" w:hAnsi="仿宋_GB2312" w:cs="仿宋_GB2312" w:eastAsia="仿宋_GB2312"/>
                      <w:sz w:val="22"/>
                      <w:b/>
                      <w:color w:val="000000"/>
                    </w:rPr>
                    <w:t>（提供承诺函）</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监护设备集成</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系统需支持自动采集床边仪器上的数据，数据可自动记录在重症护理记录单上。</w:t>
                  </w:r>
                </w:p>
                <w:p>
                  <w:pPr>
                    <w:pStyle w:val="null3"/>
                    <w:ind w:left="420"/>
                    <w:jc w:val="left"/>
                  </w:pPr>
                  <w:r>
                    <w:rPr>
                      <w:rFonts w:ascii="仿宋_GB2312" w:hAnsi="仿宋_GB2312" w:cs="仿宋_GB2312" w:eastAsia="仿宋_GB2312"/>
                      <w:sz w:val="22"/>
                      <w:color w:val="000000"/>
                    </w:rPr>
                    <w:t>2.2</w:t>
                  </w:r>
                  <w:r>
                    <w:rPr>
                      <w:rFonts w:ascii="仿宋_GB2312" w:hAnsi="仿宋_GB2312" w:cs="仿宋_GB2312" w:eastAsia="仿宋_GB2312"/>
                      <w:sz w:val="22"/>
                      <w:color w:val="000000"/>
                    </w:rPr>
                    <w:t>支持多品牌型号的设备同时采集。</w:t>
                  </w:r>
                </w:p>
                <w:p>
                  <w:pPr>
                    <w:pStyle w:val="null3"/>
                    <w:ind w:left="420"/>
                    <w:jc w:val="left"/>
                  </w:pPr>
                  <w:r>
                    <w:rPr>
                      <w:rFonts w:ascii="仿宋_GB2312" w:hAnsi="仿宋_GB2312" w:cs="仿宋_GB2312" w:eastAsia="仿宋_GB2312"/>
                      <w:sz w:val="22"/>
                      <w:color w:val="000000"/>
                    </w:rPr>
                    <w:t>2.3</w:t>
                  </w:r>
                  <w:r>
                    <w:rPr>
                      <w:rFonts w:ascii="仿宋_GB2312" w:hAnsi="仿宋_GB2312" w:cs="仿宋_GB2312" w:eastAsia="仿宋_GB2312"/>
                      <w:sz w:val="22"/>
                      <w:color w:val="000000"/>
                    </w:rPr>
                    <w:t>采集数据的频率支持自定义设置，抢救时采集频率支持</w:t>
                  </w:r>
                  <w:r>
                    <w:rPr>
                      <w:rFonts w:ascii="仿宋_GB2312" w:hAnsi="仿宋_GB2312" w:cs="仿宋_GB2312" w:eastAsia="仿宋_GB2312"/>
                      <w:sz w:val="22"/>
                      <w:color w:val="000000"/>
                    </w:rPr>
                    <w:t>60/</w:t>
                  </w:r>
                  <w:r>
                    <w:rPr>
                      <w:rFonts w:ascii="仿宋_GB2312" w:hAnsi="仿宋_GB2312" w:cs="仿宋_GB2312" w:eastAsia="仿宋_GB2312"/>
                      <w:sz w:val="22"/>
                      <w:color w:val="000000"/>
                    </w:rPr>
                    <w:t>秒次以上。</w:t>
                  </w:r>
                </w:p>
                <w:p>
                  <w:pPr>
                    <w:pStyle w:val="null3"/>
                    <w:ind w:left="420"/>
                    <w:jc w:val="left"/>
                  </w:pPr>
                  <w:r>
                    <w:rPr>
                      <w:rFonts w:ascii="仿宋_GB2312" w:hAnsi="仿宋_GB2312" w:cs="仿宋_GB2312" w:eastAsia="仿宋_GB2312"/>
                      <w:sz w:val="22"/>
                      <w:color w:val="000000"/>
                    </w:rPr>
                    <w:t>2.4</w:t>
                  </w:r>
                  <w:r>
                    <w:rPr>
                      <w:rFonts w:ascii="仿宋_GB2312" w:hAnsi="仿宋_GB2312" w:cs="仿宋_GB2312" w:eastAsia="仿宋_GB2312"/>
                      <w:sz w:val="22"/>
                      <w:color w:val="000000"/>
                    </w:rPr>
                    <w:t>系统需具备体征预警预设功能，并支持自定义修改。</w:t>
                  </w:r>
                </w:p>
                <w:p>
                  <w:pPr>
                    <w:pStyle w:val="null3"/>
                    <w:ind w:left="420"/>
                    <w:jc w:val="left"/>
                  </w:pPr>
                  <w:r>
                    <w:rPr>
                      <w:rFonts w:ascii="仿宋_GB2312" w:hAnsi="仿宋_GB2312" w:cs="仿宋_GB2312" w:eastAsia="仿宋_GB2312"/>
                      <w:sz w:val="22"/>
                      <w:color w:val="000000"/>
                    </w:rPr>
                    <w:t>2.5</w:t>
                  </w:r>
                  <w:r>
                    <w:rPr>
                      <w:rFonts w:ascii="仿宋_GB2312" w:hAnsi="仿宋_GB2312" w:cs="仿宋_GB2312" w:eastAsia="仿宋_GB2312"/>
                      <w:sz w:val="22"/>
                      <w:color w:val="000000"/>
                    </w:rPr>
                    <w:t>出现异常数据，可提供警示，对异常数据可以进行二次修改。</w:t>
                  </w:r>
                </w:p>
                <w:p>
                  <w:pPr>
                    <w:pStyle w:val="null3"/>
                    <w:ind w:left="420"/>
                    <w:jc w:val="left"/>
                  </w:pPr>
                  <w:r>
                    <w:rPr>
                      <w:rFonts w:ascii="仿宋_GB2312" w:hAnsi="仿宋_GB2312" w:cs="仿宋_GB2312" w:eastAsia="仿宋_GB2312"/>
                      <w:sz w:val="22"/>
                      <w:color w:val="000000"/>
                    </w:rPr>
                    <w:t>2.6</w:t>
                  </w:r>
                  <w:r>
                    <w:rPr>
                      <w:rFonts w:ascii="仿宋_GB2312" w:hAnsi="仿宋_GB2312" w:cs="仿宋_GB2312" w:eastAsia="仿宋_GB2312"/>
                      <w:sz w:val="22"/>
                      <w:color w:val="000000"/>
                    </w:rPr>
                    <w:t>支持手动修正数据，并保存修改痕迹。</w:t>
                  </w:r>
                </w:p>
                <w:p>
                  <w:pPr>
                    <w:pStyle w:val="null3"/>
                    <w:ind w:left="420"/>
                    <w:jc w:val="left"/>
                  </w:pPr>
                  <w:r>
                    <w:rPr>
                      <w:rFonts w:ascii="仿宋_GB2312" w:hAnsi="仿宋_GB2312" w:cs="仿宋_GB2312" w:eastAsia="仿宋_GB2312"/>
                      <w:sz w:val="22"/>
                      <w:color w:val="000000"/>
                    </w:rPr>
                    <w:t>2.7</w:t>
                  </w:r>
                  <w:r>
                    <w:rPr>
                      <w:rFonts w:ascii="仿宋_GB2312" w:hAnsi="仿宋_GB2312" w:cs="仿宋_GB2312" w:eastAsia="仿宋_GB2312"/>
                      <w:sz w:val="22"/>
                      <w:color w:val="000000"/>
                    </w:rPr>
                    <w:t>采集到的体征可提供数字、曲线图等多种方式展现方式。</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570"/>
              <w:jc w:val="both"/>
              <w:outlineLvl w:val="1"/>
            </w:pPr>
            <w:r>
              <w:rPr>
                <w:rFonts w:ascii="仿宋_GB2312" w:hAnsi="仿宋_GB2312" w:cs="仿宋_GB2312" w:eastAsia="仿宋_GB2312"/>
                <w:sz w:val="24"/>
                <w:b/>
              </w:rPr>
              <w:t>二、</w:t>
            </w:r>
            <w:r>
              <w:rPr>
                <w:rFonts w:ascii="仿宋_GB2312" w:hAnsi="仿宋_GB2312" w:cs="仿宋_GB2312" w:eastAsia="仿宋_GB2312"/>
                <w:sz w:val="24"/>
                <w:b/>
              </w:rPr>
              <w:t>重症护理工作站</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88"/>
              <w:gridCol w:w="306"/>
              <w:gridCol w:w="1949"/>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模块</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子模块</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功能响应</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床位管理（</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床头卡</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应支持整体展现在科患者分布情况，自动统计显示科室全部床位数、在科患者人数，新入科当日新入科患者人数，他科转入人数、手术患者人数，空床数、当日出科转出患者人数、当日出院患者人数及当日死亡人数等。</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应支持根据科室患者流转分布情况筛选患者。</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应提供患者床头卡一览功能，显示患者基本信息、诊断、过敏史、特殊病情等。</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系统应支持查看患者重要风险标识提醒，包括但不限于多种类型的隔离保护、过敏史、高危跌倒、高危压疮等，应能根据患者信息自动判断并显示不同的风险标志。</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应支持根据不同重要风险标识筛选患者。</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系统应支持以不同的形式展现当前科室患者及床位分布状况，如卡片方式、列表方式等。</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7</w:t>
                  </w:r>
                  <w:r>
                    <w:rPr>
                      <w:rFonts w:ascii="仿宋_GB2312" w:hAnsi="仿宋_GB2312" w:cs="仿宋_GB2312" w:eastAsia="仿宋_GB2312"/>
                      <w:sz w:val="22"/>
                      <w:color w:val="000000"/>
                    </w:rPr>
                    <w:t>系统应支持紧急入科患者信息数据与</w:t>
                  </w:r>
                  <w:r>
                    <w:rPr>
                      <w:rFonts w:ascii="仿宋_GB2312" w:hAnsi="仿宋_GB2312" w:cs="仿宋_GB2312" w:eastAsia="仿宋_GB2312"/>
                      <w:sz w:val="22"/>
                      <w:color w:val="000000"/>
                    </w:rPr>
                    <w:t>HIS</w:t>
                  </w:r>
                  <w:r>
                    <w:rPr>
                      <w:rFonts w:ascii="仿宋_GB2312" w:hAnsi="仿宋_GB2312" w:cs="仿宋_GB2312" w:eastAsia="仿宋_GB2312"/>
                      <w:sz w:val="22"/>
                      <w:color w:val="000000"/>
                    </w:rPr>
                    <w:t>数据对接功能，审核患者数据的一致性，实现患者数据的合并。</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我的患者</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系统应支持用户自定义选择所管床位的功能，根据自主选择可以只看自己负责的患者，同时也可选择查看全科患者。</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患者流转</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3.1</w:t>
                  </w:r>
                  <w:r>
                    <w:rPr>
                      <w:rFonts w:ascii="仿宋_GB2312" w:hAnsi="仿宋_GB2312" w:cs="仿宋_GB2312" w:eastAsia="仿宋_GB2312"/>
                      <w:sz w:val="22"/>
                      <w:color w:val="000000"/>
                    </w:rPr>
                    <w:t>系统应支持床位预约功能，可对空床位进行预约锁定。同时支持预约床位取消功能。</w:t>
                  </w:r>
                </w:p>
                <w:p>
                  <w:pPr>
                    <w:pStyle w:val="null3"/>
                    <w:ind w:left="420"/>
                    <w:jc w:val="left"/>
                  </w:pPr>
                  <w:r>
                    <w:rPr>
                      <w:rFonts w:ascii="仿宋_GB2312" w:hAnsi="仿宋_GB2312" w:cs="仿宋_GB2312" w:eastAsia="仿宋_GB2312"/>
                      <w:sz w:val="22"/>
                      <w:color w:val="000000"/>
                    </w:rPr>
                    <w:t>3.2</w:t>
                  </w:r>
                  <w:r>
                    <w:rPr>
                      <w:rFonts w:ascii="仿宋_GB2312" w:hAnsi="仿宋_GB2312" w:cs="仿宋_GB2312" w:eastAsia="仿宋_GB2312"/>
                      <w:sz w:val="22"/>
                      <w:color w:val="000000"/>
                    </w:rPr>
                    <w:t>系统应支持患者换床功能，并提供设备重新绑定或解绑功能。</w:t>
                  </w:r>
                </w:p>
                <w:p>
                  <w:pPr>
                    <w:pStyle w:val="null3"/>
                    <w:ind w:left="420"/>
                    <w:jc w:val="left"/>
                  </w:pPr>
                  <w:r>
                    <w:rPr>
                      <w:rFonts w:ascii="仿宋_GB2312" w:hAnsi="仿宋_GB2312" w:cs="仿宋_GB2312" w:eastAsia="仿宋_GB2312"/>
                      <w:sz w:val="22"/>
                      <w:color w:val="000000"/>
                    </w:rPr>
                    <w:t>3.3</w:t>
                  </w:r>
                  <w:r>
                    <w:rPr>
                      <w:rFonts w:ascii="仿宋_GB2312" w:hAnsi="仿宋_GB2312" w:cs="仿宋_GB2312" w:eastAsia="仿宋_GB2312"/>
                      <w:sz w:val="22"/>
                      <w:color w:val="000000"/>
                    </w:rPr>
                    <w:t>系统应有支持患者入科基本操作功能，并可自动提取患者列表及信息（其基本信息、诊断、入科来源、身高、体重等）。</w:t>
                  </w:r>
                </w:p>
                <w:p>
                  <w:pPr>
                    <w:pStyle w:val="null3"/>
                    <w:ind w:left="420"/>
                    <w:jc w:val="left"/>
                  </w:pPr>
                  <w:r>
                    <w:rPr>
                      <w:rFonts w:ascii="仿宋_GB2312" w:hAnsi="仿宋_GB2312" w:cs="仿宋_GB2312" w:eastAsia="仿宋_GB2312"/>
                      <w:sz w:val="22"/>
                      <w:color w:val="000000"/>
                    </w:rPr>
                    <w:t>3.4</w:t>
                  </w:r>
                  <w:r>
                    <w:rPr>
                      <w:rFonts w:ascii="仿宋_GB2312" w:hAnsi="仿宋_GB2312" w:cs="仿宋_GB2312" w:eastAsia="仿宋_GB2312"/>
                      <w:sz w:val="22"/>
                      <w:color w:val="000000"/>
                    </w:rPr>
                    <w:t>应支持在入科时，可进行患者的监护设备绑定及报警值设置。支持默认报警值设置，同时可针对单个患者进行个性化设置。应提供患者入科小结模版，快速完成患者入科文书记录。</w:t>
                  </w:r>
                </w:p>
                <w:p>
                  <w:pPr>
                    <w:pStyle w:val="null3"/>
                    <w:ind w:left="420"/>
                    <w:jc w:val="left"/>
                  </w:pPr>
                  <w:r>
                    <w:rPr>
                      <w:rFonts w:ascii="仿宋_GB2312" w:hAnsi="仿宋_GB2312" w:cs="仿宋_GB2312" w:eastAsia="仿宋_GB2312"/>
                      <w:sz w:val="22"/>
                      <w:color w:val="000000"/>
                    </w:rPr>
                    <w:t>3.5</w:t>
                  </w:r>
                  <w:r>
                    <w:rPr>
                      <w:rFonts w:ascii="仿宋_GB2312" w:hAnsi="仿宋_GB2312" w:cs="仿宋_GB2312" w:eastAsia="仿宋_GB2312"/>
                      <w:sz w:val="22"/>
                      <w:color w:val="000000"/>
                    </w:rPr>
                    <w:t>系统应支持在患者入科界面登记患者带入的导管信息、皮肤状况，并同步至患者管路管理、皮肤管理界面，以人体图的方式展示。</w:t>
                  </w:r>
                </w:p>
                <w:p>
                  <w:pPr>
                    <w:pStyle w:val="null3"/>
                    <w:ind w:left="420"/>
                    <w:jc w:val="left"/>
                  </w:pPr>
                  <w:r>
                    <w:rPr>
                      <w:rFonts w:ascii="仿宋_GB2312" w:hAnsi="仿宋_GB2312" w:cs="仿宋_GB2312" w:eastAsia="仿宋_GB2312"/>
                      <w:sz w:val="22"/>
                      <w:color w:val="000000"/>
                    </w:rPr>
                    <w:t>3.6</w:t>
                  </w:r>
                  <w:r>
                    <w:rPr>
                      <w:rFonts w:ascii="仿宋_GB2312" w:hAnsi="仿宋_GB2312" w:cs="仿宋_GB2312" w:eastAsia="仿宋_GB2312"/>
                      <w:sz w:val="22"/>
                      <w:color w:val="000000"/>
                    </w:rPr>
                    <w:t>系统应在紧急特殊情况下提供患者紧急入科功能，再无患者住院号基本信息的情况下绑定监护设备并自动采集数据。同正常入科患者一般进行日常记录和操作。</w:t>
                  </w:r>
                </w:p>
                <w:p>
                  <w:pPr>
                    <w:pStyle w:val="null3"/>
                    <w:ind w:left="420"/>
                    <w:jc w:val="left"/>
                  </w:pPr>
                  <w:r>
                    <w:rPr>
                      <w:rFonts w:ascii="仿宋_GB2312" w:hAnsi="仿宋_GB2312" w:cs="仿宋_GB2312" w:eastAsia="仿宋_GB2312"/>
                      <w:sz w:val="22"/>
                      <w:color w:val="000000"/>
                    </w:rPr>
                    <w:t>3.7</w:t>
                  </w:r>
                  <w:r>
                    <w:rPr>
                      <w:rFonts w:ascii="仿宋_GB2312" w:hAnsi="仿宋_GB2312" w:cs="仿宋_GB2312" w:eastAsia="仿宋_GB2312"/>
                      <w:sz w:val="22"/>
                      <w:color w:val="000000"/>
                    </w:rPr>
                    <w:t>系统应并提供手工录入住院号搜索入科患者的功能，以免新入患者的信息遗漏。</w:t>
                  </w:r>
                </w:p>
                <w:p>
                  <w:pPr>
                    <w:pStyle w:val="null3"/>
                    <w:ind w:left="420"/>
                    <w:jc w:val="left"/>
                  </w:pPr>
                  <w:r>
                    <w:rPr>
                      <w:rFonts w:ascii="仿宋_GB2312" w:hAnsi="仿宋_GB2312" w:cs="仿宋_GB2312" w:eastAsia="仿宋_GB2312"/>
                      <w:sz w:val="22"/>
                      <w:color w:val="000000"/>
                    </w:rPr>
                    <w:t>3.8</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系统需提供患者入</w:t>
                  </w:r>
                  <w:r>
                    <w:rPr>
                      <w:rFonts w:ascii="仿宋_GB2312" w:hAnsi="仿宋_GB2312" w:cs="仿宋_GB2312" w:eastAsia="仿宋_GB2312"/>
                      <w:sz w:val="22"/>
                      <w:color w:val="000000"/>
                    </w:rPr>
                    <w:t>ICU</w:t>
                  </w:r>
                  <w:r>
                    <w:rPr>
                      <w:rFonts w:ascii="仿宋_GB2312" w:hAnsi="仿宋_GB2312" w:cs="仿宋_GB2312" w:eastAsia="仿宋_GB2312"/>
                      <w:sz w:val="22"/>
                      <w:color w:val="000000"/>
                    </w:rPr>
                    <w:t>标准审查功能。</w:t>
                  </w:r>
                </w:p>
                <w:p>
                  <w:pPr>
                    <w:pStyle w:val="null3"/>
                    <w:ind w:left="420"/>
                    <w:jc w:val="left"/>
                  </w:pPr>
                  <w:r>
                    <w:rPr>
                      <w:rFonts w:ascii="仿宋_GB2312" w:hAnsi="仿宋_GB2312" w:cs="仿宋_GB2312" w:eastAsia="仿宋_GB2312"/>
                      <w:sz w:val="22"/>
                      <w:color w:val="000000"/>
                    </w:rPr>
                    <w:t>3.9</w:t>
                  </w:r>
                  <w:r>
                    <w:rPr>
                      <w:rFonts w:ascii="仿宋_GB2312" w:hAnsi="仿宋_GB2312" w:cs="仿宋_GB2312" w:eastAsia="仿宋_GB2312"/>
                      <w:sz w:val="22"/>
                      <w:color w:val="000000"/>
                    </w:rPr>
                    <w:t>系统应提供患者出科功能，并记录患者出科转归情况，应提供患者出科转归审核功能。</w:t>
                  </w:r>
                </w:p>
                <w:p>
                  <w:pPr>
                    <w:pStyle w:val="null3"/>
                    <w:ind w:left="420"/>
                    <w:jc w:val="left"/>
                  </w:pPr>
                  <w:r>
                    <w:rPr>
                      <w:rFonts w:ascii="仿宋_GB2312" w:hAnsi="仿宋_GB2312" w:cs="仿宋_GB2312" w:eastAsia="仿宋_GB2312"/>
                      <w:sz w:val="22"/>
                      <w:color w:val="000000"/>
                    </w:rPr>
                    <w:t>3.10</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系统需提供患者出</w:t>
                  </w:r>
                  <w:r>
                    <w:rPr>
                      <w:rFonts w:ascii="仿宋_GB2312" w:hAnsi="仿宋_GB2312" w:cs="仿宋_GB2312" w:eastAsia="仿宋_GB2312"/>
                      <w:sz w:val="22"/>
                      <w:color w:val="000000"/>
                    </w:rPr>
                    <w:t>ICU</w:t>
                  </w:r>
                  <w:r>
                    <w:rPr>
                      <w:rFonts w:ascii="仿宋_GB2312" w:hAnsi="仿宋_GB2312" w:cs="仿宋_GB2312" w:eastAsia="仿宋_GB2312"/>
                      <w:sz w:val="22"/>
                      <w:color w:val="000000"/>
                    </w:rPr>
                    <w:t>标准审查功能。</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设备列表</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4.1</w:t>
                  </w:r>
                  <w:r>
                    <w:rPr>
                      <w:rFonts w:ascii="仿宋_GB2312" w:hAnsi="仿宋_GB2312" w:cs="仿宋_GB2312" w:eastAsia="仿宋_GB2312"/>
                      <w:sz w:val="22"/>
                      <w:color w:val="000000"/>
                    </w:rPr>
                    <w:t>系统应支持整体查看所有在科患者设备使用情况。</w:t>
                  </w:r>
                </w:p>
                <w:p>
                  <w:pPr>
                    <w:pStyle w:val="null3"/>
                    <w:ind w:left="420"/>
                    <w:jc w:val="left"/>
                  </w:pPr>
                  <w:r>
                    <w:rPr>
                      <w:rFonts w:ascii="仿宋_GB2312" w:hAnsi="仿宋_GB2312" w:cs="仿宋_GB2312" w:eastAsia="仿宋_GB2312"/>
                      <w:sz w:val="22"/>
                      <w:color w:val="000000"/>
                    </w:rPr>
                    <w:t>4.2</w:t>
                  </w:r>
                  <w:r>
                    <w:rPr>
                      <w:rFonts w:ascii="仿宋_GB2312" w:hAnsi="仿宋_GB2312" w:cs="仿宋_GB2312" w:eastAsia="仿宋_GB2312"/>
                      <w:sz w:val="22"/>
                      <w:color w:val="000000"/>
                    </w:rPr>
                    <w:t>应支持患者的设备绑定和解绑操作，可设置设备采集的相关参数。可对整体设备进行参数配置操作。</w:t>
                  </w:r>
                </w:p>
                <w:p>
                  <w:pPr>
                    <w:pStyle w:val="null3"/>
                    <w:ind w:left="420"/>
                    <w:jc w:val="left"/>
                  </w:pPr>
                  <w:r>
                    <w:rPr>
                      <w:rFonts w:ascii="仿宋_GB2312" w:hAnsi="仿宋_GB2312" w:cs="仿宋_GB2312" w:eastAsia="仿宋_GB2312"/>
                      <w:sz w:val="22"/>
                      <w:color w:val="000000"/>
                    </w:rPr>
                    <w:t>4.3</w:t>
                  </w:r>
                  <w:r>
                    <w:rPr>
                      <w:rFonts w:ascii="仿宋_GB2312" w:hAnsi="仿宋_GB2312" w:cs="仿宋_GB2312" w:eastAsia="仿宋_GB2312"/>
                      <w:sz w:val="22"/>
                      <w:color w:val="000000"/>
                    </w:rPr>
                    <w:t>应支持自动统计科室当前已使用的设备数量和未使用的设备数量。</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已出科患者查询</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5.1</w:t>
                  </w:r>
                  <w:r>
                    <w:rPr>
                      <w:rFonts w:ascii="仿宋_GB2312" w:hAnsi="仿宋_GB2312" w:cs="仿宋_GB2312" w:eastAsia="仿宋_GB2312"/>
                      <w:sz w:val="22"/>
                      <w:color w:val="000000"/>
                    </w:rPr>
                    <w:t>系统应支持所有已出科患者在科病情及护理过程的回顾。</w:t>
                  </w:r>
                </w:p>
                <w:p>
                  <w:pPr>
                    <w:pStyle w:val="null3"/>
                    <w:ind w:left="420"/>
                    <w:jc w:val="left"/>
                  </w:pPr>
                  <w:r>
                    <w:rPr>
                      <w:rFonts w:ascii="仿宋_GB2312" w:hAnsi="仿宋_GB2312" w:cs="仿宋_GB2312" w:eastAsia="仿宋_GB2312"/>
                      <w:sz w:val="22"/>
                      <w:color w:val="000000"/>
                    </w:rPr>
                    <w:t>5.2</w:t>
                  </w:r>
                  <w:r>
                    <w:rPr>
                      <w:rFonts w:ascii="仿宋_GB2312" w:hAnsi="仿宋_GB2312" w:cs="仿宋_GB2312" w:eastAsia="仿宋_GB2312"/>
                      <w:sz w:val="22"/>
                      <w:color w:val="000000"/>
                    </w:rPr>
                    <w:t>系统应支持根据多种条件快速定位指定的已出科患者信息，并支持导出数据的功能。</w:t>
                  </w:r>
                </w:p>
                <w:p>
                  <w:pPr>
                    <w:pStyle w:val="null3"/>
                    <w:ind w:left="420"/>
                    <w:jc w:val="left"/>
                  </w:pPr>
                  <w:r>
                    <w:rPr>
                      <w:rFonts w:ascii="仿宋_GB2312" w:hAnsi="仿宋_GB2312" w:cs="仿宋_GB2312" w:eastAsia="仿宋_GB2312"/>
                      <w:sz w:val="22"/>
                      <w:color w:val="000000"/>
                    </w:rPr>
                    <w:t>5.3</w:t>
                  </w:r>
                  <w:r>
                    <w:rPr>
                      <w:rFonts w:ascii="仿宋_GB2312" w:hAnsi="仿宋_GB2312" w:cs="仿宋_GB2312" w:eastAsia="仿宋_GB2312"/>
                      <w:sz w:val="22"/>
                      <w:color w:val="000000"/>
                    </w:rPr>
                    <w:t>系统可对已出科患者取消出科，返回科室。</w:t>
                  </w:r>
                </w:p>
                <w:p>
                  <w:pPr>
                    <w:pStyle w:val="null3"/>
                    <w:ind w:left="420"/>
                    <w:jc w:val="left"/>
                  </w:pPr>
                  <w:r>
                    <w:rPr>
                      <w:rFonts w:ascii="仿宋_GB2312" w:hAnsi="仿宋_GB2312" w:cs="仿宋_GB2312" w:eastAsia="仿宋_GB2312"/>
                      <w:sz w:val="22"/>
                      <w:color w:val="000000"/>
                    </w:rPr>
                    <w:t>5.4</w:t>
                  </w:r>
                  <w:r>
                    <w:rPr>
                      <w:rFonts w:ascii="仿宋_GB2312" w:hAnsi="仿宋_GB2312" w:cs="仿宋_GB2312" w:eastAsia="仿宋_GB2312"/>
                      <w:sz w:val="22"/>
                      <w:color w:val="000000"/>
                    </w:rPr>
                    <w:t>系统应支持对已出科患者病历资料的有权限修改。</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患者信息（</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基本信息</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系统应支持患者基本信息一览及信息登记，包括患者身份信息、流转信息、过敏史、既往史、身高、体重等内容。</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系统应支持患者诊断的自动提取；支持病历书写需要的手工记录诊断。</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系统应支持患者手术信息的自动提取；支持手工记录修改患者的手术信息。</w:t>
                  </w:r>
                </w:p>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系统可查看患者入科后流转情况。</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检验检查</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rPr>
                    <w:t>系统集成患者在科期间的检验检查报告，支持每一个检验项目下的每一个指标的查看。</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rPr>
                    <w:t>系统应支持检验检查报告的各类指标的趋势分析，医护人员可根据患者的病情情况自行选择相应指标进行综合分析。</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设备绑定</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支持在科患者进行绑定解绑设备操作。可对设备进行参数配置操作，如初始采集时间，频率；默认采集时间，频率等。</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需提供设备绑定参数的提醒值范围的设置。</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病情总览</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4.1</w:t>
                  </w:r>
                  <w:r>
                    <w:rPr>
                      <w:rFonts w:ascii="仿宋_GB2312" w:hAnsi="仿宋_GB2312" w:cs="仿宋_GB2312" w:eastAsia="仿宋_GB2312"/>
                      <w:sz w:val="22"/>
                      <w:color w:val="000000"/>
                    </w:rPr>
                    <w:t>应能动态显示患者当前的概要信息，支持快速查看当日患者动态的病情综合变化情况，并支持从多角度观察患者生理状态发展的最新现状。</w:t>
                  </w:r>
                </w:p>
                <w:p>
                  <w:pPr>
                    <w:pStyle w:val="null3"/>
                    <w:ind w:left="420"/>
                    <w:jc w:val="left"/>
                  </w:pPr>
                  <w:r>
                    <w:rPr>
                      <w:rFonts w:ascii="仿宋_GB2312" w:hAnsi="仿宋_GB2312" w:cs="仿宋_GB2312" w:eastAsia="仿宋_GB2312"/>
                      <w:sz w:val="22"/>
                      <w:color w:val="000000"/>
                    </w:rPr>
                    <w:t>4.2</w:t>
                  </w:r>
                  <w:r>
                    <w:rPr>
                      <w:rFonts w:ascii="仿宋_GB2312" w:hAnsi="仿宋_GB2312" w:cs="仿宋_GB2312" w:eastAsia="仿宋_GB2312"/>
                      <w:sz w:val="22"/>
                      <w:color w:val="000000"/>
                    </w:rPr>
                    <w:t>系统能够在同一时间轴下显示生命体征、神志、出入量等信息，应能够动态显示生命体征趋势，可选择单参数查看数据。同时显示每小时神志的变化情况。</w:t>
                  </w:r>
                </w:p>
                <w:p>
                  <w:pPr>
                    <w:pStyle w:val="null3"/>
                    <w:ind w:left="420"/>
                    <w:jc w:val="left"/>
                  </w:pPr>
                  <w:r>
                    <w:rPr>
                      <w:rFonts w:ascii="仿宋_GB2312" w:hAnsi="仿宋_GB2312" w:cs="仿宋_GB2312" w:eastAsia="仿宋_GB2312"/>
                      <w:sz w:val="22"/>
                      <w:color w:val="000000"/>
                    </w:rPr>
                    <w:t>4.3</w:t>
                  </w:r>
                  <w:r>
                    <w:rPr>
                      <w:rFonts w:ascii="仿宋_GB2312" w:hAnsi="仿宋_GB2312" w:cs="仿宋_GB2312" w:eastAsia="仿宋_GB2312"/>
                      <w:sz w:val="22"/>
                      <w:color w:val="000000"/>
                    </w:rPr>
                    <w:t>系统应能够自动显示患者在血气、血糖、酸碱平衡、检查、检验等方面的动态变化数值，并提示患者最新病情情况。</w:t>
                  </w:r>
                </w:p>
                <w:p>
                  <w:pPr>
                    <w:pStyle w:val="null3"/>
                    <w:ind w:left="420"/>
                    <w:jc w:val="left"/>
                  </w:pPr>
                  <w:r>
                    <w:rPr>
                      <w:rFonts w:ascii="仿宋_GB2312" w:hAnsi="仿宋_GB2312" w:cs="仿宋_GB2312" w:eastAsia="仿宋_GB2312"/>
                      <w:sz w:val="22"/>
                      <w:color w:val="000000"/>
                    </w:rPr>
                    <w:t>4.4</w:t>
                  </w:r>
                  <w:r>
                    <w:rPr>
                      <w:rFonts w:ascii="仿宋_GB2312" w:hAnsi="仿宋_GB2312" w:cs="仿宋_GB2312" w:eastAsia="仿宋_GB2312"/>
                      <w:sz w:val="22"/>
                      <w:color w:val="000000"/>
                    </w:rPr>
                    <w:t>系统可提供患者已存在的管路或皮肤信息，在知识库的支撑下按照解剖学的要求标识在人体模型上并有提示信息。</w:t>
                  </w:r>
                </w:p>
                <w:p>
                  <w:pPr>
                    <w:pStyle w:val="null3"/>
                    <w:ind w:left="420"/>
                    <w:jc w:val="left"/>
                  </w:pPr>
                  <w:r>
                    <w:rPr>
                      <w:rFonts w:ascii="仿宋_GB2312" w:hAnsi="仿宋_GB2312" w:cs="仿宋_GB2312" w:eastAsia="仿宋_GB2312"/>
                      <w:sz w:val="22"/>
                      <w:color w:val="000000"/>
                    </w:rPr>
                    <w:t>4.5</w:t>
                  </w:r>
                  <w:r>
                    <w:rPr>
                      <w:rFonts w:ascii="仿宋_GB2312" w:hAnsi="仿宋_GB2312" w:cs="仿宋_GB2312" w:eastAsia="仿宋_GB2312"/>
                      <w:sz w:val="22"/>
                      <w:color w:val="000000"/>
                    </w:rPr>
                    <w:t>系统应能够提供显示患者近期的重要评分，应支持多种评分显示的自定义选择。</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临床护理（</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体征监测</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应能够自动采集监护仪患者体征信息，包括体温、心率、呼吸、血氧、脉搏、有创血压、无创血压等，并显示趋势图。</w:t>
                  </w:r>
                </w:p>
                <w:p>
                  <w:pPr>
                    <w:pStyle w:val="null3"/>
                    <w:ind w:left="42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应能够自定义设置设备采集频率及显示间隔。</w:t>
                  </w:r>
                </w:p>
                <w:p>
                  <w:pPr>
                    <w:pStyle w:val="null3"/>
                    <w:ind w:left="42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应能够手工录入体征数据并自动在曲线图中显示。</w:t>
                  </w:r>
                </w:p>
                <w:p>
                  <w:pPr>
                    <w:pStyle w:val="null3"/>
                    <w:ind w:left="42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系统需提供默认的常规患者生命体征报警值，同时需支持自定义修改。</w:t>
                  </w:r>
                </w:p>
                <w:p>
                  <w:pPr>
                    <w:pStyle w:val="null3"/>
                    <w:ind w:left="420"/>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对于超出报警值范围的体征，系统需给出报警提示信息并用特殊颜色标记，，支持采集体征的手动修正。</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呼吸监测</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应能够自动采集呼吸机参数，包括呼吸频率、潮气量、吸气时间、氧浓度、呼吸末正压、压力水平等。</w:t>
                  </w:r>
                </w:p>
                <w:p>
                  <w:pPr>
                    <w:pStyle w:val="null3"/>
                    <w:ind w:left="420"/>
                    <w:jc w:val="left"/>
                  </w:pPr>
                  <w:r>
                    <w:rPr>
                      <w:rFonts w:ascii="仿宋_GB2312" w:hAnsi="仿宋_GB2312" w:cs="仿宋_GB2312" w:eastAsia="仿宋_GB2312"/>
                      <w:sz w:val="22"/>
                      <w:color w:val="000000"/>
                    </w:rPr>
                    <w:t>2.2</w:t>
                  </w:r>
                  <w:r>
                    <w:rPr>
                      <w:rFonts w:ascii="仿宋_GB2312" w:hAnsi="仿宋_GB2312" w:cs="仿宋_GB2312" w:eastAsia="仿宋_GB2312"/>
                      <w:sz w:val="22"/>
                      <w:color w:val="000000"/>
                    </w:rPr>
                    <w:t>应能够自定义设置设备采集频率及显示间隔。</w:t>
                  </w:r>
                </w:p>
                <w:p>
                  <w:pPr>
                    <w:pStyle w:val="null3"/>
                    <w:ind w:left="420"/>
                    <w:jc w:val="left"/>
                  </w:pPr>
                  <w:r>
                    <w:rPr>
                      <w:rFonts w:ascii="仿宋_GB2312" w:hAnsi="仿宋_GB2312" w:cs="仿宋_GB2312" w:eastAsia="仿宋_GB2312"/>
                      <w:sz w:val="22"/>
                      <w:color w:val="000000"/>
                    </w:rPr>
                    <w:t>2.3</w:t>
                  </w:r>
                  <w:r>
                    <w:rPr>
                      <w:rFonts w:ascii="仿宋_GB2312" w:hAnsi="仿宋_GB2312" w:cs="仿宋_GB2312" w:eastAsia="仿宋_GB2312"/>
                      <w:sz w:val="22"/>
                      <w:color w:val="000000"/>
                    </w:rPr>
                    <w:t>应能够手工录入体征数据并自动在曲线图中显示。</w:t>
                  </w:r>
                </w:p>
                <w:p>
                  <w:pPr>
                    <w:pStyle w:val="null3"/>
                    <w:ind w:left="420"/>
                    <w:jc w:val="left"/>
                  </w:pPr>
                  <w:r>
                    <w:rPr>
                      <w:rFonts w:ascii="仿宋_GB2312" w:hAnsi="仿宋_GB2312" w:cs="仿宋_GB2312" w:eastAsia="仿宋_GB2312"/>
                      <w:sz w:val="22"/>
                      <w:color w:val="000000"/>
                    </w:rPr>
                    <w:t>2.4</w:t>
                  </w:r>
                  <w:r>
                    <w:rPr>
                      <w:rFonts w:ascii="仿宋_GB2312" w:hAnsi="仿宋_GB2312" w:cs="仿宋_GB2312" w:eastAsia="仿宋_GB2312"/>
                      <w:sz w:val="22"/>
                      <w:color w:val="000000"/>
                    </w:rPr>
                    <w:t>系统需提供默认的常规患者生命体征报警值，同时需支持自定义修改。</w:t>
                  </w:r>
                </w:p>
                <w:p>
                  <w:pPr>
                    <w:pStyle w:val="null3"/>
                    <w:ind w:left="420"/>
                    <w:jc w:val="left"/>
                  </w:pPr>
                  <w:r>
                    <w:rPr>
                      <w:rFonts w:ascii="仿宋_GB2312" w:hAnsi="仿宋_GB2312" w:cs="仿宋_GB2312" w:eastAsia="仿宋_GB2312"/>
                      <w:sz w:val="22"/>
                      <w:color w:val="000000"/>
                    </w:rPr>
                    <w:t>2.5</w:t>
                  </w:r>
                  <w:r>
                    <w:rPr>
                      <w:rFonts w:ascii="仿宋_GB2312" w:hAnsi="仿宋_GB2312" w:cs="仿宋_GB2312" w:eastAsia="仿宋_GB2312"/>
                      <w:sz w:val="22"/>
                      <w:color w:val="000000"/>
                    </w:rPr>
                    <w:t>对于超出报警值范围的体征，系统需给出报警提示信息并用特殊颜色标记，支持采集体征的手动修正。</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出入量监测</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3.1</w:t>
                  </w:r>
                  <w:r>
                    <w:rPr>
                      <w:rFonts w:ascii="仿宋_GB2312" w:hAnsi="仿宋_GB2312" w:cs="仿宋_GB2312" w:eastAsia="仿宋_GB2312"/>
                      <w:sz w:val="22"/>
                      <w:color w:val="000000"/>
                    </w:rPr>
                    <w:t>应能自动获取来自医嘱的入量，并自动计算。</w:t>
                  </w:r>
                </w:p>
                <w:p>
                  <w:pPr>
                    <w:pStyle w:val="null3"/>
                    <w:ind w:left="420"/>
                    <w:jc w:val="left"/>
                  </w:pPr>
                  <w:r>
                    <w:rPr>
                      <w:rFonts w:ascii="仿宋_GB2312" w:hAnsi="仿宋_GB2312" w:cs="仿宋_GB2312" w:eastAsia="仿宋_GB2312"/>
                      <w:sz w:val="22"/>
                      <w:color w:val="000000"/>
                    </w:rPr>
                    <w:t>3.2</w:t>
                  </w:r>
                  <w:r>
                    <w:rPr>
                      <w:rFonts w:ascii="仿宋_GB2312" w:hAnsi="仿宋_GB2312" w:cs="仿宋_GB2312" w:eastAsia="仿宋_GB2312"/>
                      <w:sz w:val="22"/>
                      <w:color w:val="000000"/>
                    </w:rPr>
                    <w:t>应能自动获取引流管的出量，并自动计算。</w:t>
                  </w:r>
                </w:p>
                <w:p>
                  <w:pPr>
                    <w:pStyle w:val="null3"/>
                    <w:ind w:left="420"/>
                    <w:jc w:val="left"/>
                  </w:pPr>
                  <w:r>
                    <w:rPr>
                      <w:rFonts w:ascii="仿宋_GB2312" w:hAnsi="仿宋_GB2312" w:cs="仿宋_GB2312" w:eastAsia="仿宋_GB2312"/>
                      <w:sz w:val="22"/>
                      <w:color w:val="000000"/>
                    </w:rPr>
                    <w:t>3.3</w:t>
                  </w:r>
                  <w:r>
                    <w:rPr>
                      <w:rFonts w:ascii="仿宋_GB2312" w:hAnsi="仿宋_GB2312" w:cs="仿宋_GB2312" w:eastAsia="仿宋_GB2312"/>
                      <w:sz w:val="22"/>
                      <w:color w:val="000000"/>
                    </w:rPr>
                    <w:t>应能手动记录患者出入量情况。</w:t>
                  </w:r>
                </w:p>
                <w:p>
                  <w:pPr>
                    <w:pStyle w:val="null3"/>
                    <w:ind w:left="420"/>
                    <w:jc w:val="left"/>
                  </w:pPr>
                  <w:r>
                    <w:rPr>
                      <w:rFonts w:ascii="仿宋_GB2312" w:hAnsi="仿宋_GB2312" w:cs="仿宋_GB2312" w:eastAsia="仿宋_GB2312"/>
                      <w:sz w:val="22"/>
                      <w:color w:val="000000"/>
                    </w:rPr>
                    <w:t>3.4</w:t>
                  </w:r>
                  <w:r>
                    <w:rPr>
                      <w:rFonts w:ascii="仿宋_GB2312" w:hAnsi="仿宋_GB2312" w:cs="仿宋_GB2312" w:eastAsia="仿宋_GB2312"/>
                      <w:sz w:val="22"/>
                      <w:color w:val="000000"/>
                    </w:rPr>
                    <w:t>应能够提供出入量的平衡变化及数据对比、总结，应根据临床业务提供晶体、胶体、肠胃营养的总结。</w:t>
                  </w:r>
                </w:p>
                <w:p>
                  <w:pPr>
                    <w:pStyle w:val="null3"/>
                    <w:ind w:left="420"/>
                    <w:jc w:val="left"/>
                  </w:pPr>
                  <w:r>
                    <w:rPr>
                      <w:rFonts w:ascii="仿宋_GB2312" w:hAnsi="仿宋_GB2312" w:cs="仿宋_GB2312" w:eastAsia="仿宋_GB2312"/>
                      <w:sz w:val="22"/>
                      <w:color w:val="000000"/>
                    </w:rPr>
                    <w:t>3.5</w:t>
                  </w:r>
                  <w:r>
                    <w:rPr>
                      <w:rFonts w:ascii="仿宋_GB2312" w:hAnsi="仿宋_GB2312" w:cs="仿宋_GB2312" w:eastAsia="仿宋_GB2312"/>
                      <w:sz w:val="22"/>
                      <w:color w:val="000000"/>
                    </w:rPr>
                    <w:t>应能够提供图形化的出入量趋势图，支持任意时间段出入量及平衡的自动计算。</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神志瞳孔</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4.1</w:t>
                  </w:r>
                  <w:r>
                    <w:rPr>
                      <w:rFonts w:ascii="仿宋_GB2312" w:hAnsi="仿宋_GB2312" w:cs="仿宋_GB2312" w:eastAsia="仿宋_GB2312"/>
                      <w:sz w:val="22"/>
                      <w:color w:val="000000"/>
                    </w:rPr>
                    <w:t>提供患者日常体征或观察项目的记录，至少包含包括神志、瞳孔大小、对光反射等。</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特殊治疗</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5.1</w:t>
                  </w:r>
                  <w:r>
                    <w:rPr>
                      <w:rFonts w:ascii="仿宋_GB2312" w:hAnsi="仿宋_GB2312" w:cs="仿宋_GB2312" w:eastAsia="仿宋_GB2312"/>
                      <w:sz w:val="22"/>
                      <w:color w:val="000000"/>
                    </w:rPr>
                    <w:t>应提供</w:t>
                  </w:r>
                  <w:r>
                    <w:rPr>
                      <w:rFonts w:ascii="仿宋_GB2312" w:hAnsi="仿宋_GB2312" w:cs="仿宋_GB2312" w:eastAsia="仿宋_GB2312"/>
                      <w:sz w:val="22"/>
                      <w:color w:val="000000"/>
                    </w:rPr>
                    <w:t>CRRT</w:t>
                  </w:r>
                  <w:r>
                    <w:rPr>
                      <w:rFonts w:ascii="仿宋_GB2312" w:hAnsi="仿宋_GB2312" w:cs="仿宋_GB2312" w:eastAsia="仿宋_GB2312"/>
                      <w:sz w:val="22"/>
                      <w:color w:val="000000"/>
                    </w:rPr>
                    <w:t>治疗数据的监测，数据支持配置。</w:t>
                  </w:r>
                </w:p>
                <w:p>
                  <w:pPr>
                    <w:pStyle w:val="null3"/>
                    <w:ind w:left="420"/>
                    <w:jc w:val="left"/>
                  </w:pPr>
                  <w:r>
                    <w:rPr>
                      <w:rFonts w:ascii="仿宋_GB2312" w:hAnsi="仿宋_GB2312" w:cs="仿宋_GB2312" w:eastAsia="仿宋_GB2312"/>
                      <w:sz w:val="22"/>
                      <w:color w:val="000000"/>
                    </w:rPr>
                    <w:t>5.2</w:t>
                  </w:r>
                  <w:r>
                    <w:rPr>
                      <w:rFonts w:ascii="仿宋_GB2312" w:hAnsi="仿宋_GB2312" w:cs="仿宋_GB2312" w:eastAsia="仿宋_GB2312"/>
                      <w:sz w:val="22"/>
                      <w:color w:val="000000"/>
                    </w:rPr>
                    <w:t>应提供</w:t>
                  </w:r>
                  <w:r>
                    <w:rPr>
                      <w:rFonts w:ascii="仿宋_GB2312" w:hAnsi="仿宋_GB2312" w:cs="仿宋_GB2312" w:eastAsia="仿宋_GB2312"/>
                      <w:sz w:val="22"/>
                      <w:color w:val="000000"/>
                    </w:rPr>
                    <w:t>PICCO</w:t>
                  </w:r>
                  <w:r>
                    <w:rPr>
                      <w:rFonts w:ascii="仿宋_GB2312" w:hAnsi="仿宋_GB2312" w:cs="仿宋_GB2312" w:eastAsia="仿宋_GB2312"/>
                      <w:sz w:val="22"/>
                      <w:color w:val="000000"/>
                    </w:rPr>
                    <w:t>治疗数据的监测，数据支持配置。</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基础护理</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6.1</w:t>
                  </w:r>
                  <w:r>
                    <w:rPr>
                      <w:rFonts w:ascii="仿宋_GB2312" w:hAnsi="仿宋_GB2312" w:cs="仿宋_GB2312" w:eastAsia="仿宋_GB2312"/>
                      <w:sz w:val="22"/>
                      <w:color w:val="000000"/>
                    </w:rPr>
                    <w:t>系统需支持基础护理的结构化配置与录入。</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护理评分</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7.1</w:t>
                  </w:r>
                  <w:r>
                    <w:rPr>
                      <w:rFonts w:ascii="仿宋_GB2312" w:hAnsi="仿宋_GB2312" w:cs="仿宋_GB2312" w:eastAsia="仿宋_GB2312"/>
                      <w:sz w:val="22"/>
                      <w:color w:val="000000"/>
                    </w:rPr>
                    <w:t>应提供重症医学相关的医学评分，至少包含</w:t>
                  </w:r>
                  <w:r>
                    <w:rPr>
                      <w:rFonts w:ascii="仿宋_GB2312" w:hAnsi="仿宋_GB2312" w:cs="仿宋_GB2312" w:eastAsia="仿宋_GB2312"/>
                      <w:sz w:val="22"/>
                      <w:color w:val="000000"/>
                    </w:rPr>
                    <w:t>TISS-28</w:t>
                  </w:r>
                  <w:r>
                    <w:rPr>
                      <w:rFonts w:ascii="仿宋_GB2312" w:hAnsi="仿宋_GB2312" w:cs="仿宋_GB2312" w:eastAsia="仿宋_GB2312"/>
                      <w:sz w:val="22"/>
                      <w:color w:val="000000"/>
                    </w:rPr>
                    <w:t>、皮肤、镇静、</w:t>
                  </w:r>
                  <w:r>
                    <w:rPr>
                      <w:rFonts w:ascii="仿宋_GB2312" w:hAnsi="仿宋_GB2312" w:cs="仿宋_GB2312" w:eastAsia="仿宋_GB2312"/>
                      <w:sz w:val="22"/>
                      <w:color w:val="000000"/>
                    </w:rPr>
                    <w:t>GCS</w:t>
                  </w:r>
                  <w:r>
                    <w:rPr>
                      <w:rFonts w:ascii="仿宋_GB2312" w:hAnsi="仿宋_GB2312" w:cs="仿宋_GB2312" w:eastAsia="仿宋_GB2312"/>
                      <w:sz w:val="22"/>
                      <w:color w:val="000000"/>
                    </w:rPr>
                    <w:t>、</w:t>
                  </w:r>
                  <w:r>
                    <w:rPr>
                      <w:rFonts w:ascii="仿宋_GB2312" w:hAnsi="仿宋_GB2312" w:cs="仿宋_GB2312" w:eastAsia="仿宋_GB2312"/>
                      <w:sz w:val="22"/>
                      <w:color w:val="000000"/>
                    </w:rPr>
                    <w:t>CPOT</w:t>
                  </w:r>
                  <w:r>
                    <w:rPr>
                      <w:rFonts w:ascii="仿宋_GB2312" w:hAnsi="仿宋_GB2312" w:cs="仿宋_GB2312" w:eastAsia="仿宋_GB2312"/>
                      <w:sz w:val="22"/>
                      <w:color w:val="000000"/>
                    </w:rPr>
                    <w:t>、</w:t>
                  </w:r>
                  <w:r>
                    <w:rPr>
                      <w:rFonts w:ascii="仿宋_GB2312" w:hAnsi="仿宋_GB2312" w:cs="仿宋_GB2312" w:eastAsia="仿宋_GB2312"/>
                      <w:sz w:val="22"/>
                      <w:color w:val="000000"/>
                    </w:rPr>
                    <w:t>MEWS</w:t>
                  </w:r>
                  <w:r>
                    <w:rPr>
                      <w:rFonts w:ascii="仿宋_GB2312" w:hAnsi="仿宋_GB2312" w:cs="仿宋_GB2312" w:eastAsia="仿宋_GB2312"/>
                      <w:sz w:val="22"/>
                      <w:color w:val="000000"/>
                    </w:rPr>
                    <w:t>、肌力评分、肢体活动度、</w:t>
                  </w:r>
                  <w:r>
                    <w:rPr>
                      <w:rFonts w:ascii="仿宋_GB2312" w:hAnsi="仿宋_GB2312" w:cs="仿宋_GB2312" w:eastAsia="仿宋_GB2312"/>
                      <w:sz w:val="22"/>
                      <w:color w:val="000000"/>
                    </w:rPr>
                    <w:t>DVT</w:t>
                  </w:r>
                  <w:r>
                    <w:rPr>
                      <w:rFonts w:ascii="仿宋_GB2312" w:hAnsi="仿宋_GB2312" w:cs="仿宋_GB2312" w:eastAsia="仿宋_GB2312"/>
                      <w:sz w:val="22"/>
                      <w:color w:val="000000"/>
                    </w:rPr>
                    <w:t>、成人早期预警评估、跌倒评估、</w:t>
                  </w:r>
                  <w:r>
                    <w:rPr>
                      <w:rFonts w:ascii="仿宋_GB2312" w:hAnsi="仿宋_GB2312" w:cs="仿宋_GB2312" w:eastAsia="仿宋_GB2312"/>
                      <w:sz w:val="22"/>
                      <w:color w:val="000000"/>
                    </w:rPr>
                    <w:t>Norton</w:t>
                  </w:r>
                  <w:r>
                    <w:rPr>
                      <w:rFonts w:ascii="仿宋_GB2312" w:hAnsi="仿宋_GB2312" w:cs="仿宋_GB2312" w:eastAsia="仿宋_GB2312"/>
                      <w:sz w:val="22"/>
                      <w:color w:val="000000"/>
                    </w:rPr>
                    <w:t>评估、压疮评估、</w:t>
                  </w:r>
                  <w:r>
                    <w:rPr>
                      <w:rFonts w:ascii="仿宋_GB2312" w:hAnsi="仿宋_GB2312" w:cs="仿宋_GB2312" w:eastAsia="仿宋_GB2312"/>
                      <w:sz w:val="22"/>
                      <w:color w:val="000000"/>
                    </w:rPr>
                    <w:t>CPIS</w:t>
                  </w:r>
                  <w:r>
                    <w:rPr>
                      <w:rFonts w:ascii="仿宋_GB2312" w:hAnsi="仿宋_GB2312" w:cs="仿宋_GB2312" w:eastAsia="仿宋_GB2312"/>
                      <w:sz w:val="22"/>
                      <w:color w:val="000000"/>
                    </w:rPr>
                    <w:t>、</w:t>
                  </w:r>
                  <w:r>
                    <w:rPr>
                      <w:rFonts w:ascii="仿宋_GB2312" w:hAnsi="仿宋_GB2312" w:cs="仿宋_GB2312" w:eastAsia="仿宋_GB2312"/>
                      <w:sz w:val="22"/>
                      <w:color w:val="000000"/>
                    </w:rPr>
                    <w:t>Waterlow</w:t>
                  </w:r>
                  <w:r>
                    <w:rPr>
                      <w:rFonts w:ascii="仿宋_GB2312" w:hAnsi="仿宋_GB2312" w:cs="仿宋_GB2312" w:eastAsia="仿宋_GB2312"/>
                      <w:sz w:val="22"/>
                      <w:color w:val="000000"/>
                    </w:rPr>
                    <w:t>评分、</w:t>
                  </w:r>
                  <w:r>
                    <w:rPr>
                      <w:rFonts w:ascii="仿宋_GB2312" w:hAnsi="仿宋_GB2312" w:cs="仿宋_GB2312" w:eastAsia="仿宋_GB2312"/>
                      <w:sz w:val="22"/>
                      <w:color w:val="000000"/>
                    </w:rPr>
                    <w:t>Barthel</w:t>
                  </w:r>
                  <w:r>
                    <w:rPr>
                      <w:rFonts w:ascii="仿宋_GB2312" w:hAnsi="仿宋_GB2312" w:cs="仿宋_GB2312" w:eastAsia="仿宋_GB2312"/>
                      <w:sz w:val="22"/>
                      <w:color w:val="000000"/>
                    </w:rPr>
                    <w:t>指数评估、</w:t>
                  </w:r>
                  <w:r>
                    <w:rPr>
                      <w:rFonts w:ascii="仿宋_GB2312" w:hAnsi="仿宋_GB2312" w:cs="仿宋_GB2312" w:eastAsia="仿宋_GB2312"/>
                      <w:sz w:val="22"/>
                      <w:color w:val="000000"/>
                    </w:rPr>
                    <w:t>VTE</w:t>
                  </w:r>
                  <w:r>
                    <w:rPr>
                      <w:rFonts w:ascii="仿宋_GB2312" w:hAnsi="仿宋_GB2312" w:cs="仿宋_GB2312" w:eastAsia="仿宋_GB2312"/>
                      <w:sz w:val="22"/>
                      <w:color w:val="000000"/>
                    </w:rPr>
                    <w:t>评估、</w:t>
                  </w:r>
                  <w:r>
                    <w:rPr>
                      <w:rFonts w:ascii="仿宋_GB2312" w:hAnsi="仿宋_GB2312" w:cs="仿宋_GB2312" w:eastAsia="仿宋_GB2312"/>
                      <w:sz w:val="22"/>
                      <w:color w:val="000000"/>
                    </w:rPr>
                    <w:t>ADL</w:t>
                  </w:r>
                  <w:r>
                    <w:rPr>
                      <w:rFonts w:ascii="仿宋_GB2312" w:hAnsi="仿宋_GB2312" w:cs="仿宋_GB2312" w:eastAsia="仿宋_GB2312"/>
                      <w:sz w:val="22"/>
                      <w:color w:val="000000"/>
                    </w:rPr>
                    <w:t>评估等。</w:t>
                  </w:r>
                </w:p>
                <w:p>
                  <w:pPr>
                    <w:pStyle w:val="null3"/>
                    <w:ind w:left="420"/>
                    <w:jc w:val="left"/>
                  </w:pPr>
                  <w:r>
                    <w:rPr>
                      <w:rFonts w:ascii="仿宋_GB2312" w:hAnsi="仿宋_GB2312" w:cs="仿宋_GB2312" w:eastAsia="仿宋_GB2312"/>
                      <w:sz w:val="22"/>
                      <w:color w:val="000000"/>
                    </w:rPr>
                    <w:t>7.2</w:t>
                  </w:r>
                  <w:r>
                    <w:rPr>
                      <w:rFonts w:ascii="仿宋_GB2312" w:hAnsi="仿宋_GB2312" w:cs="仿宋_GB2312" w:eastAsia="仿宋_GB2312"/>
                      <w:sz w:val="22"/>
                      <w:color w:val="000000"/>
                    </w:rPr>
                    <w:t>支持按专科分类对评分进行分组。</w:t>
                  </w:r>
                </w:p>
                <w:p>
                  <w:pPr>
                    <w:pStyle w:val="null3"/>
                    <w:ind w:left="420"/>
                    <w:jc w:val="left"/>
                  </w:pPr>
                  <w:r>
                    <w:rPr>
                      <w:rFonts w:ascii="仿宋_GB2312" w:hAnsi="仿宋_GB2312" w:cs="仿宋_GB2312" w:eastAsia="仿宋_GB2312"/>
                      <w:sz w:val="22"/>
                      <w:color w:val="000000"/>
                    </w:rPr>
                    <w:t>7.3</w:t>
                  </w:r>
                  <w:r>
                    <w:rPr>
                      <w:rFonts w:ascii="仿宋_GB2312" w:hAnsi="仿宋_GB2312" w:cs="仿宋_GB2312" w:eastAsia="仿宋_GB2312"/>
                      <w:sz w:val="22"/>
                      <w:color w:val="000000"/>
                    </w:rPr>
                    <w:t>应能够从</w:t>
                  </w:r>
                  <w:r>
                    <w:rPr>
                      <w:rFonts w:ascii="仿宋_GB2312" w:hAnsi="仿宋_GB2312" w:cs="仿宋_GB2312" w:eastAsia="仿宋_GB2312"/>
                      <w:sz w:val="22"/>
                      <w:color w:val="000000"/>
                    </w:rPr>
                    <w:t>HIS</w:t>
                  </w:r>
                  <w:r>
                    <w:rPr>
                      <w:rFonts w:ascii="仿宋_GB2312" w:hAnsi="仿宋_GB2312" w:cs="仿宋_GB2312" w:eastAsia="仿宋_GB2312"/>
                      <w:sz w:val="22"/>
                      <w:color w:val="000000"/>
                    </w:rPr>
                    <w:t>、</w:t>
                  </w:r>
                  <w:r>
                    <w:rPr>
                      <w:rFonts w:ascii="仿宋_GB2312" w:hAnsi="仿宋_GB2312" w:cs="仿宋_GB2312" w:eastAsia="仿宋_GB2312"/>
                      <w:sz w:val="22"/>
                      <w:color w:val="000000"/>
                    </w:rPr>
                    <w:t>LIS</w:t>
                  </w:r>
                  <w:r>
                    <w:rPr>
                      <w:rFonts w:ascii="仿宋_GB2312" w:hAnsi="仿宋_GB2312" w:cs="仿宋_GB2312" w:eastAsia="仿宋_GB2312"/>
                      <w:sz w:val="22"/>
                      <w:color w:val="000000"/>
                    </w:rPr>
                    <w:t>等系统中获取部分评分项目所需要的相关数据，如患者年龄、体重、检验结果数据等。</w:t>
                  </w:r>
                </w:p>
                <w:p>
                  <w:pPr>
                    <w:pStyle w:val="null3"/>
                    <w:ind w:left="420"/>
                    <w:jc w:val="left"/>
                  </w:pPr>
                  <w:r>
                    <w:rPr>
                      <w:rFonts w:ascii="仿宋_GB2312" w:hAnsi="仿宋_GB2312" w:cs="仿宋_GB2312" w:eastAsia="仿宋_GB2312"/>
                      <w:sz w:val="22"/>
                      <w:color w:val="000000"/>
                    </w:rPr>
                    <w:t>7.4</w:t>
                  </w:r>
                  <w:r>
                    <w:rPr>
                      <w:rFonts w:ascii="仿宋_GB2312" w:hAnsi="仿宋_GB2312" w:cs="仿宋_GB2312" w:eastAsia="仿宋_GB2312"/>
                      <w:sz w:val="22"/>
                      <w:color w:val="000000"/>
                    </w:rPr>
                    <w:t>应提供历史数据的查询和分析能力，并能够自动生成曲线图。</w:t>
                  </w:r>
                </w:p>
                <w:p>
                  <w:pPr>
                    <w:pStyle w:val="null3"/>
                    <w:ind w:left="420"/>
                    <w:jc w:val="left"/>
                  </w:pPr>
                  <w:r>
                    <w:rPr>
                      <w:rFonts w:ascii="仿宋_GB2312" w:hAnsi="仿宋_GB2312" w:cs="仿宋_GB2312" w:eastAsia="仿宋_GB2312"/>
                      <w:sz w:val="22"/>
                      <w:color w:val="000000"/>
                    </w:rPr>
                    <w:t>7.5</w:t>
                  </w:r>
                  <w:r>
                    <w:rPr>
                      <w:rFonts w:ascii="仿宋_GB2312" w:hAnsi="仿宋_GB2312" w:cs="仿宋_GB2312" w:eastAsia="仿宋_GB2312"/>
                      <w:sz w:val="22"/>
                      <w:color w:val="000000"/>
                    </w:rPr>
                    <w:t>系统应支持医护之间的患者评估评分结果查询。</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皮肤管理</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8.1</w:t>
                  </w:r>
                  <w:r>
                    <w:rPr>
                      <w:rFonts w:ascii="仿宋_GB2312" w:hAnsi="仿宋_GB2312" w:cs="仿宋_GB2312" w:eastAsia="仿宋_GB2312"/>
                      <w:sz w:val="22"/>
                      <w:color w:val="000000"/>
                    </w:rPr>
                    <w:t>▲</w:t>
                  </w:r>
                  <w:r>
                    <w:rPr>
                      <w:rFonts w:ascii="仿宋_GB2312" w:hAnsi="仿宋_GB2312" w:cs="仿宋_GB2312" w:eastAsia="仿宋_GB2312"/>
                      <w:sz w:val="22"/>
                      <w:color w:val="000000"/>
                    </w:rPr>
                    <w:t>应提供规范全面的皮肤部位与名称的人体模型图，并支持在对应部位直接操作的方式进行皮肤相关信息、操作的知识库体系。</w:t>
                  </w:r>
                </w:p>
                <w:p>
                  <w:pPr>
                    <w:pStyle w:val="null3"/>
                    <w:ind w:left="420"/>
                    <w:jc w:val="left"/>
                  </w:pPr>
                  <w:r>
                    <w:rPr>
                      <w:rFonts w:ascii="仿宋_GB2312" w:hAnsi="仿宋_GB2312" w:cs="仿宋_GB2312" w:eastAsia="仿宋_GB2312"/>
                      <w:sz w:val="22"/>
                      <w:color w:val="000000"/>
                    </w:rPr>
                    <w:t>8.2</w:t>
                  </w:r>
                  <w:r>
                    <w:rPr>
                      <w:rFonts w:ascii="仿宋_GB2312" w:hAnsi="仿宋_GB2312" w:cs="仿宋_GB2312" w:eastAsia="仿宋_GB2312"/>
                      <w:sz w:val="22"/>
                      <w:color w:val="000000"/>
                    </w:rPr>
                    <w:t>▲</w:t>
                  </w:r>
                  <w:r>
                    <w:rPr>
                      <w:rFonts w:ascii="仿宋_GB2312" w:hAnsi="仿宋_GB2312" w:cs="仿宋_GB2312" w:eastAsia="仿宋_GB2312"/>
                      <w:sz w:val="22"/>
                      <w:color w:val="000000"/>
                    </w:rPr>
                    <w:t>皮肤相关信息必须在合理的人体模型上标出，并有提示信息，皮肤位置信息和命名要符合人体解剖学的要求。</w:t>
                  </w:r>
                </w:p>
                <w:p>
                  <w:pPr>
                    <w:pStyle w:val="null3"/>
                    <w:ind w:left="420"/>
                    <w:jc w:val="left"/>
                  </w:pPr>
                  <w:r>
                    <w:rPr>
                      <w:rFonts w:ascii="仿宋_GB2312" w:hAnsi="仿宋_GB2312" w:cs="仿宋_GB2312" w:eastAsia="仿宋_GB2312"/>
                      <w:sz w:val="22"/>
                      <w:color w:val="000000"/>
                    </w:rPr>
                    <w:t>8.3</w:t>
                  </w:r>
                  <w:r>
                    <w:rPr>
                      <w:rFonts w:ascii="仿宋_GB2312" w:hAnsi="仿宋_GB2312" w:cs="仿宋_GB2312" w:eastAsia="仿宋_GB2312"/>
                      <w:sz w:val="22"/>
                      <w:color w:val="000000"/>
                    </w:rPr>
                    <w:t>▲</w:t>
                  </w:r>
                  <w:r>
                    <w:rPr>
                      <w:rFonts w:ascii="仿宋_GB2312" w:hAnsi="仿宋_GB2312" w:cs="仿宋_GB2312" w:eastAsia="仿宋_GB2312"/>
                      <w:sz w:val="22"/>
                      <w:color w:val="000000"/>
                    </w:rPr>
                    <w:t>针对不同的业务需求，应至少提供两种的患者皮肤状况一览方式，如人体图方式，列表方式等。</w:t>
                  </w:r>
                </w:p>
                <w:p>
                  <w:pPr>
                    <w:pStyle w:val="null3"/>
                    <w:ind w:left="420"/>
                    <w:jc w:val="left"/>
                  </w:pPr>
                  <w:r>
                    <w:rPr>
                      <w:rFonts w:ascii="仿宋_GB2312" w:hAnsi="仿宋_GB2312" w:cs="仿宋_GB2312" w:eastAsia="仿宋_GB2312"/>
                      <w:sz w:val="22"/>
                      <w:color w:val="000000"/>
                    </w:rPr>
                    <w:t>8.4</w:t>
                  </w:r>
                  <w:r>
                    <w:rPr>
                      <w:rFonts w:ascii="仿宋_GB2312" w:hAnsi="仿宋_GB2312" w:cs="仿宋_GB2312" w:eastAsia="仿宋_GB2312"/>
                      <w:sz w:val="22"/>
                      <w:color w:val="000000"/>
                    </w:rPr>
                    <w:t>皮肤记录和表达的内容要符合医院的要求，要对皮肤的名称、位置、状态、分期、颜色、气味、面积、皮肤状况、渗出量、措施</w:t>
                  </w:r>
                  <w:r>
                    <w:rPr>
                      <w:rFonts w:ascii="仿宋_GB2312" w:hAnsi="仿宋_GB2312" w:cs="仿宋_GB2312" w:eastAsia="仿宋_GB2312"/>
                      <w:sz w:val="22"/>
                      <w:color w:val="000000"/>
                    </w:rPr>
                    <w:t>用药等信息，进行详细记录。</w:t>
                  </w:r>
                </w:p>
                <w:p>
                  <w:pPr>
                    <w:pStyle w:val="null3"/>
                    <w:ind w:left="420"/>
                    <w:jc w:val="left"/>
                  </w:pPr>
                  <w:r>
                    <w:rPr>
                      <w:rFonts w:ascii="仿宋_GB2312" w:hAnsi="仿宋_GB2312" w:cs="仿宋_GB2312" w:eastAsia="仿宋_GB2312"/>
                      <w:sz w:val="22"/>
                      <w:color w:val="000000"/>
                    </w:rPr>
                    <w:t>8.5</w:t>
                  </w:r>
                  <w:r>
                    <w:rPr>
                      <w:rFonts w:ascii="仿宋_GB2312" w:hAnsi="仿宋_GB2312" w:cs="仿宋_GB2312" w:eastAsia="仿宋_GB2312"/>
                      <w:sz w:val="22"/>
                      <w:color w:val="000000"/>
                    </w:rPr>
                    <w:t>应能够清晰标识压疮分期及护理信息，并支持多种格式的图片上传及查看功能。</w:t>
                  </w:r>
                </w:p>
                <w:p>
                  <w:pPr>
                    <w:pStyle w:val="null3"/>
                    <w:ind w:left="420"/>
                    <w:jc w:val="left"/>
                  </w:pPr>
                  <w:r>
                    <w:rPr>
                      <w:rFonts w:ascii="仿宋_GB2312" w:hAnsi="仿宋_GB2312" w:cs="仿宋_GB2312" w:eastAsia="仿宋_GB2312"/>
                      <w:sz w:val="22"/>
                      <w:color w:val="000000"/>
                    </w:rPr>
                    <w:t>8.6</w:t>
                  </w:r>
                  <w:r>
                    <w:rPr>
                      <w:rFonts w:ascii="仿宋_GB2312" w:hAnsi="仿宋_GB2312" w:cs="仿宋_GB2312" w:eastAsia="仿宋_GB2312"/>
                      <w:sz w:val="22"/>
                      <w:color w:val="000000"/>
                    </w:rPr>
                    <w:t>提供皮肤相关的质控统计数据。</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管路管理</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9.1</w:t>
                  </w:r>
                  <w:r>
                    <w:rPr>
                      <w:rFonts w:ascii="仿宋_GB2312" w:hAnsi="仿宋_GB2312" w:cs="仿宋_GB2312" w:eastAsia="仿宋_GB2312"/>
                      <w:sz w:val="22"/>
                      <w:color w:val="000000"/>
                    </w:rPr>
                    <w:t>▲</w:t>
                  </w:r>
                  <w:r>
                    <w:rPr>
                      <w:rFonts w:ascii="仿宋_GB2312" w:hAnsi="仿宋_GB2312" w:cs="仿宋_GB2312" w:eastAsia="仿宋_GB2312"/>
                      <w:sz w:val="22"/>
                      <w:color w:val="000000"/>
                    </w:rPr>
                    <w:t>应提供规范全面的具备管路部位与名称的人体模型图，并支持在对应部位直接操作的方式进行管路相关信息、操作的知识库体系。</w:t>
                  </w:r>
                </w:p>
                <w:p>
                  <w:pPr>
                    <w:pStyle w:val="null3"/>
                    <w:ind w:left="420"/>
                    <w:jc w:val="left"/>
                  </w:pPr>
                  <w:r>
                    <w:rPr>
                      <w:rFonts w:ascii="仿宋_GB2312" w:hAnsi="仿宋_GB2312" w:cs="仿宋_GB2312" w:eastAsia="仿宋_GB2312"/>
                      <w:sz w:val="22"/>
                      <w:color w:val="000000"/>
                    </w:rPr>
                    <w:t>9.2</w:t>
                  </w:r>
                  <w:r>
                    <w:rPr>
                      <w:rFonts w:ascii="仿宋_GB2312" w:hAnsi="仿宋_GB2312" w:cs="仿宋_GB2312" w:eastAsia="仿宋_GB2312"/>
                      <w:sz w:val="22"/>
                      <w:color w:val="000000"/>
                    </w:rPr>
                    <w:t>▲</w:t>
                  </w:r>
                  <w:r>
                    <w:rPr>
                      <w:rFonts w:ascii="仿宋_GB2312" w:hAnsi="仿宋_GB2312" w:cs="仿宋_GB2312" w:eastAsia="仿宋_GB2312"/>
                      <w:sz w:val="22"/>
                      <w:color w:val="000000"/>
                    </w:rPr>
                    <w:t>管路的信息必须在合理的人体模型上标出，并有提示信息，管路位置信息和命名要符合人体解剖学的要求。</w:t>
                  </w:r>
                </w:p>
                <w:p>
                  <w:pPr>
                    <w:pStyle w:val="null3"/>
                    <w:ind w:left="420"/>
                    <w:jc w:val="left"/>
                  </w:pPr>
                  <w:r>
                    <w:rPr>
                      <w:rFonts w:ascii="仿宋_GB2312" w:hAnsi="仿宋_GB2312" w:cs="仿宋_GB2312" w:eastAsia="仿宋_GB2312"/>
                      <w:sz w:val="22"/>
                      <w:color w:val="000000"/>
                    </w:rPr>
                    <w:t>9.3</w:t>
                  </w:r>
                  <w:r>
                    <w:rPr>
                      <w:rFonts w:ascii="仿宋_GB2312" w:hAnsi="仿宋_GB2312" w:cs="仿宋_GB2312" w:eastAsia="仿宋_GB2312"/>
                      <w:sz w:val="22"/>
                      <w:color w:val="000000"/>
                    </w:rPr>
                    <w:t>▲</w:t>
                  </w:r>
                  <w:r>
                    <w:rPr>
                      <w:rFonts w:ascii="仿宋_GB2312" w:hAnsi="仿宋_GB2312" w:cs="仿宋_GB2312" w:eastAsia="仿宋_GB2312"/>
                      <w:sz w:val="22"/>
                      <w:color w:val="000000"/>
                    </w:rPr>
                    <w:t>针对不同的业务需求，至少提供两种的患者导管一览方式，如人体图方式，列表方式等。</w:t>
                  </w:r>
                </w:p>
                <w:p>
                  <w:pPr>
                    <w:pStyle w:val="null3"/>
                    <w:ind w:left="420"/>
                    <w:jc w:val="left"/>
                  </w:pPr>
                  <w:r>
                    <w:rPr>
                      <w:rFonts w:ascii="仿宋_GB2312" w:hAnsi="仿宋_GB2312" w:cs="仿宋_GB2312" w:eastAsia="仿宋_GB2312"/>
                      <w:sz w:val="22"/>
                      <w:color w:val="000000"/>
                    </w:rPr>
                    <w:t>9.4</w:t>
                  </w:r>
                  <w:r>
                    <w:rPr>
                      <w:rFonts w:ascii="仿宋_GB2312" w:hAnsi="仿宋_GB2312" w:cs="仿宋_GB2312" w:eastAsia="仿宋_GB2312"/>
                      <w:sz w:val="22"/>
                      <w:color w:val="000000"/>
                    </w:rPr>
                    <w:t>管路记录和表达的内容要符合医院的要求，应支持对管路的名称、材料、规格、留置时间、留置深度、刻度、有效期、通畅度、色、质、量、味、用药、管路周围皮肤状态等信息，进行详细记录。</w:t>
                  </w:r>
                </w:p>
                <w:p>
                  <w:pPr>
                    <w:pStyle w:val="null3"/>
                    <w:ind w:left="420"/>
                    <w:jc w:val="left"/>
                  </w:pPr>
                  <w:r>
                    <w:rPr>
                      <w:rFonts w:ascii="仿宋_GB2312" w:hAnsi="仿宋_GB2312" w:cs="仿宋_GB2312" w:eastAsia="仿宋_GB2312"/>
                      <w:sz w:val="22"/>
                      <w:color w:val="000000"/>
                    </w:rPr>
                    <w:t>9.5</w:t>
                  </w:r>
                  <w:r>
                    <w:rPr>
                      <w:rFonts w:ascii="仿宋_GB2312" w:hAnsi="仿宋_GB2312" w:cs="仿宋_GB2312" w:eastAsia="仿宋_GB2312"/>
                      <w:sz w:val="22"/>
                      <w:color w:val="000000"/>
                    </w:rPr>
                    <w:t>系统应支持常规的导管更换，导管新增，导管拔除等日常操作。删除导管等特殊操作需提供权限设置。</w:t>
                  </w:r>
                </w:p>
                <w:p>
                  <w:pPr>
                    <w:pStyle w:val="null3"/>
                    <w:ind w:left="420"/>
                    <w:jc w:val="left"/>
                  </w:pPr>
                  <w:r>
                    <w:rPr>
                      <w:rFonts w:ascii="仿宋_GB2312" w:hAnsi="仿宋_GB2312" w:cs="仿宋_GB2312" w:eastAsia="仿宋_GB2312"/>
                      <w:sz w:val="22"/>
                      <w:color w:val="000000"/>
                    </w:rPr>
                    <w:t>9.6</w:t>
                  </w:r>
                  <w:r>
                    <w:rPr>
                      <w:rFonts w:ascii="仿宋_GB2312" w:hAnsi="仿宋_GB2312" w:cs="仿宋_GB2312" w:eastAsia="仿宋_GB2312"/>
                      <w:sz w:val="22"/>
                      <w:color w:val="000000"/>
                    </w:rPr>
                    <w:t>应能够对管路的护理过程进行事件和参数的记录，提供导管质控数据的自动统计。</w:t>
                  </w:r>
                </w:p>
                <w:p>
                  <w:pPr>
                    <w:pStyle w:val="null3"/>
                    <w:ind w:left="420"/>
                    <w:jc w:val="left"/>
                  </w:pPr>
                  <w:r>
                    <w:rPr>
                      <w:rFonts w:ascii="仿宋_GB2312" w:hAnsi="仿宋_GB2312" w:cs="仿宋_GB2312" w:eastAsia="仿宋_GB2312"/>
                      <w:sz w:val="22"/>
                      <w:color w:val="000000"/>
                    </w:rPr>
                    <w:t>9.7</w:t>
                  </w:r>
                  <w:r>
                    <w:rPr>
                      <w:rFonts w:ascii="仿宋_GB2312" w:hAnsi="仿宋_GB2312" w:cs="仿宋_GB2312" w:eastAsia="仿宋_GB2312"/>
                      <w:sz w:val="22"/>
                      <w:color w:val="000000"/>
                    </w:rPr>
                    <w:t>提供管路知识库，如导管有效期，危险度，护理措施等。</w:t>
                  </w:r>
                </w:p>
              </w:tc>
            </w:tr>
            <w:tr>
              <w:tc>
                <w:tcPr>
                  <w:tcW w:type="dxa" w:w="288"/>
                  <w:vMerge/>
                  <w:tcBorders>
                    <w:top w:val="none" w:color="000000" w:sz="4"/>
                    <w:left w:val="singl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口腔管理</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10.1</w:t>
                  </w:r>
                  <w:r>
                    <w:rPr>
                      <w:rFonts w:ascii="仿宋_GB2312" w:hAnsi="仿宋_GB2312" w:cs="仿宋_GB2312" w:eastAsia="仿宋_GB2312"/>
                      <w:sz w:val="22"/>
                      <w:color w:val="000000"/>
                    </w:rPr>
                    <w:t>系统应提供规范全面的提供符合人体解剖要求的口腔管理知识库体系。</w:t>
                  </w:r>
                </w:p>
                <w:p>
                  <w:pPr>
                    <w:pStyle w:val="null3"/>
                    <w:ind w:left="420"/>
                    <w:jc w:val="left"/>
                  </w:pPr>
                  <w:r>
                    <w:rPr>
                      <w:rFonts w:ascii="仿宋_GB2312" w:hAnsi="仿宋_GB2312" w:cs="仿宋_GB2312" w:eastAsia="仿宋_GB2312"/>
                      <w:sz w:val="22"/>
                      <w:color w:val="000000"/>
                    </w:rPr>
                    <w:t>10.2</w:t>
                  </w:r>
                  <w:r>
                    <w:rPr>
                      <w:rFonts w:ascii="仿宋_GB2312" w:hAnsi="仿宋_GB2312" w:cs="仿宋_GB2312" w:eastAsia="仿宋_GB2312"/>
                      <w:sz w:val="22"/>
                      <w:color w:val="000000"/>
                    </w:rPr>
                    <w:t>系统应支持对部位直接操作的方式进行口腔相关信息的部位标注，描述记录。</w:t>
                  </w:r>
                </w:p>
                <w:p>
                  <w:pPr>
                    <w:pStyle w:val="null3"/>
                    <w:ind w:left="420"/>
                    <w:jc w:val="left"/>
                  </w:pPr>
                  <w:r>
                    <w:rPr>
                      <w:rFonts w:ascii="仿宋_GB2312" w:hAnsi="仿宋_GB2312" w:cs="仿宋_GB2312" w:eastAsia="仿宋_GB2312"/>
                      <w:sz w:val="22"/>
                      <w:color w:val="000000"/>
                    </w:rPr>
                    <w:t>10.3</w:t>
                  </w:r>
                  <w:r>
                    <w:rPr>
                      <w:rFonts w:ascii="仿宋_GB2312" w:hAnsi="仿宋_GB2312" w:cs="仿宋_GB2312" w:eastAsia="仿宋_GB2312"/>
                      <w:sz w:val="22"/>
                      <w:color w:val="000000"/>
                    </w:rPr>
                    <w:t>系统应能支持口腔清洁度等口腔状况记录，支持口腔的护理记录。</w:t>
                  </w:r>
                </w:p>
                <w:p>
                  <w:pPr>
                    <w:pStyle w:val="null3"/>
                    <w:ind w:left="420"/>
                    <w:jc w:val="left"/>
                  </w:pPr>
                  <w:r>
                    <w:rPr>
                      <w:rFonts w:ascii="仿宋_GB2312" w:hAnsi="仿宋_GB2312" w:cs="仿宋_GB2312" w:eastAsia="仿宋_GB2312"/>
                      <w:sz w:val="22"/>
                      <w:color w:val="000000"/>
                    </w:rPr>
                    <w:t>10.4</w:t>
                  </w:r>
                  <w:r>
                    <w:rPr>
                      <w:rFonts w:ascii="仿宋_GB2312" w:hAnsi="仿宋_GB2312" w:cs="仿宋_GB2312" w:eastAsia="仿宋_GB2312"/>
                      <w:sz w:val="22"/>
                      <w:color w:val="000000"/>
                    </w:rPr>
                    <w:t>系统应能按照医学规范记录口腔酸碱度，支持记录修改删除。</w:t>
                  </w:r>
                </w:p>
                <w:p>
                  <w:pPr>
                    <w:pStyle w:val="null3"/>
                    <w:ind w:left="420"/>
                    <w:jc w:val="left"/>
                  </w:pPr>
                  <w:r>
                    <w:rPr>
                      <w:rFonts w:ascii="仿宋_GB2312" w:hAnsi="仿宋_GB2312" w:cs="仿宋_GB2312" w:eastAsia="仿宋_GB2312"/>
                      <w:sz w:val="22"/>
                      <w:color w:val="000000"/>
                    </w:rPr>
                    <w:t>10.5</w:t>
                  </w:r>
                  <w:r>
                    <w:rPr>
                      <w:rFonts w:ascii="仿宋_GB2312" w:hAnsi="仿宋_GB2312" w:cs="仿宋_GB2312" w:eastAsia="仿宋_GB2312"/>
                      <w:sz w:val="22"/>
                      <w:color w:val="000000"/>
                    </w:rPr>
                    <w:t>系统应能根据操作记录自动生成规范的护理描述，并支持记录的修改与删除。</w:t>
                  </w:r>
                </w:p>
              </w:tc>
            </w:tr>
            <w:tr>
              <w:tc>
                <w:tcPr>
                  <w:tcW w:type="dxa" w:w="5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四</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医嘱管理（</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应能够与</w:t>
                  </w:r>
                  <w:r>
                    <w:rPr>
                      <w:rFonts w:ascii="仿宋_GB2312" w:hAnsi="仿宋_GB2312" w:cs="仿宋_GB2312" w:eastAsia="仿宋_GB2312"/>
                      <w:sz w:val="22"/>
                      <w:color w:val="000000"/>
                    </w:rPr>
                    <w:t>HIS</w:t>
                  </w:r>
                  <w:r>
                    <w:rPr>
                      <w:rFonts w:ascii="仿宋_GB2312" w:hAnsi="仿宋_GB2312" w:cs="仿宋_GB2312" w:eastAsia="仿宋_GB2312"/>
                      <w:sz w:val="22"/>
                      <w:color w:val="000000"/>
                    </w:rPr>
                    <w:t>系统对接自动获取医嘱，能够自动接收并根据医嘱频次自动拆分。</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应能提供新医嘱的提醒功能。</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应能够根据医嘱途径以及属性自动将医嘱进行分类并显示（泵入医嘱、静脉输液、口服、吸入、肌肉注射、皮下注射、治疗、检验、检查、手术等类别），便于随时查询需要执行的医嘱。</w:t>
                  </w:r>
                </w:p>
                <w:p>
                  <w:pPr>
                    <w:pStyle w:val="null3"/>
                    <w:ind w:left="42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应能够详细记录医嘱的执行情况（如：进程、状态、事件变化等，并依据医嘱的不同执行状态，自动给出可供执行的操作内容。</w:t>
                  </w:r>
                </w:p>
                <w:p>
                  <w:pPr>
                    <w:pStyle w:val="null3"/>
                    <w:ind w:left="42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应能够处理非药物医嘱，满足医护不同的处理需要，防止护士遗漏。</w:t>
                  </w:r>
                </w:p>
                <w:p>
                  <w:pPr>
                    <w:pStyle w:val="null3"/>
                    <w:ind w:left="42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所有医嘱系统应支持以动态可视图形化的方式进行显示医嘱执行过程，通过动态可视化的操作将所有医嘱执行融入一个界面内，以多种图标显示医嘱的各种执行状态，如如：待执行、开始、暂停、中止、完成、作废、流速</w:t>
                  </w:r>
                  <w:r>
                    <w:rPr>
                      <w:rFonts w:ascii="仿宋_GB2312" w:hAnsi="仿宋_GB2312" w:cs="仿宋_GB2312" w:eastAsia="仿宋_GB2312"/>
                      <w:sz w:val="22"/>
                      <w:color w:val="000000"/>
                    </w:rPr>
                    <w:t>/</w:t>
                  </w:r>
                  <w:r>
                    <w:rPr>
                      <w:rFonts w:ascii="仿宋_GB2312" w:hAnsi="仿宋_GB2312" w:cs="仿宋_GB2312" w:eastAsia="仿宋_GB2312"/>
                      <w:sz w:val="22"/>
                      <w:color w:val="000000"/>
                    </w:rPr>
                    <w:t>滴速调整等。</w:t>
                  </w:r>
                </w:p>
                <w:p>
                  <w:pPr>
                    <w:pStyle w:val="null3"/>
                    <w:ind w:left="42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系统应能协助护士对医嘱进行监控，并作出对应的提醒。如输血医嘱提醒、预计完成时间提醒、过期未执行医嘱提醒等。</w:t>
                  </w:r>
                </w:p>
                <w:p>
                  <w:pPr>
                    <w:pStyle w:val="null3"/>
                    <w:ind w:left="42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对于可以同时执行的医嘱，系统需支持批量执行功能。</w:t>
                  </w:r>
                </w:p>
                <w:p>
                  <w:pPr>
                    <w:pStyle w:val="null3"/>
                    <w:ind w:left="420"/>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系统应支持未完成与未执行的医嘱进行自动交班功能。</w:t>
                  </w:r>
                </w:p>
                <w:p>
                  <w:pPr>
                    <w:pStyle w:val="null3"/>
                    <w:ind w:left="42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应提供历史医嘱执行信息，查询其他班次的医嘱执行状况，并显示医嘱观察事件。</w:t>
                  </w:r>
                </w:p>
                <w:p>
                  <w:pPr>
                    <w:pStyle w:val="null3"/>
                    <w:ind w:left="42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医嘱执行中的每一个过程，系统需支持自动自定义选择生成语句护理记录并写入护理记录单。</w:t>
                  </w:r>
                </w:p>
                <w:p>
                  <w:pPr>
                    <w:pStyle w:val="null3"/>
                    <w:ind w:left="42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应支持抢救模式医嘱快速录入和补录功能。</w:t>
                  </w:r>
                </w:p>
                <w:p>
                  <w:pPr>
                    <w:pStyle w:val="null3"/>
                    <w:ind w:left="42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系统应支持自动保存录入医嘱，并生成模板。录入时可在模版中选择常用医嘱，实现快速记录。</w:t>
                  </w:r>
                </w:p>
              </w:tc>
            </w:tr>
            <w:tr>
              <w:tc>
                <w:tcPr>
                  <w:tcW w:type="dxa" w:w="2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五</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护理任务（</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护理计划</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系统应提供符合护理标准化程序的护理计划制定功能，能够根据护理诊断自动生成目标、措施、行为，并生成护理计划表单。应能够查询患者历史护理计划，并分析达成情况。</w:t>
                  </w:r>
                </w:p>
                <w:p>
                  <w:pPr>
                    <w:pStyle w:val="null3"/>
                    <w:ind w:left="42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应能够自定义维护护理计划相关内容，并支持生成模板。</w:t>
                  </w:r>
                </w:p>
              </w:tc>
            </w:tr>
            <w:tr>
              <w:tc>
                <w:tcPr>
                  <w:tcW w:type="dxa" w:w="288"/>
                  <w:vMerge/>
                  <w:tcBorders>
                    <w:top w:val="none" w:color="000000" w:sz="4"/>
                    <w:left w:val="single" w:color="000000" w:sz="4"/>
                    <w:bottom w:val="non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任务清单</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系统应支持自定义设置护理任务的功能。</w:t>
                  </w:r>
                </w:p>
                <w:p>
                  <w:pPr>
                    <w:pStyle w:val="null3"/>
                    <w:ind w:left="420"/>
                    <w:jc w:val="left"/>
                  </w:pPr>
                  <w:r>
                    <w:rPr>
                      <w:rFonts w:ascii="仿宋_GB2312" w:hAnsi="仿宋_GB2312" w:cs="仿宋_GB2312" w:eastAsia="仿宋_GB2312"/>
                      <w:sz w:val="22"/>
                      <w:color w:val="000000"/>
                    </w:rPr>
                    <w:t>2.2</w:t>
                  </w:r>
                  <w:r>
                    <w:rPr>
                      <w:rFonts w:ascii="仿宋_GB2312" w:hAnsi="仿宋_GB2312" w:cs="仿宋_GB2312" w:eastAsia="仿宋_GB2312"/>
                      <w:sz w:val="22"/>
                      <w:color w:val="000000"/>
                    </w:rPr>
                    <w:t>系统应支持根据科室护理常规业务，自动生成相关任务清单。</w:t>
                  </w:r>
                </w:p>
                <w:p>
                  <w:pPr>
                    <w:pStyle w:val="null3"/>
                    <w:ind w:left="420"/>
                    <w:jc w:val="left"/>
                  </w:pPr>
                  <w:r>
                    <w:rPr>
                      <w:rFonts w:ascii="仿宋_GB2312" w:hAnsi="仿宋_GB2312" w:cs="仿宋_GB2312" w:eastAsia="仿宋_GB2312"/>
                      <w:sz w:val="22"/>
                      <w:color w:val="000000"/>
                    </w:rPr>
                    <w:t>2.3</w:t>
                  </w:r>
                  <w:r>
                    <w:rPr>
                      <w:rFonts w:ascii="仿宋_GB2312" w:hAnsi="仿宋_GB2312" w:cs="仿宋_GB2312" w:eastAsia="仿宋_GB2312"/>
                      <w:sz w:val="22"/>
                      <w:color w:val="000000"/>
                    </w:rPr>
                    <w:t>已设定的任务清单应支持以日历表的形式展示，并提供完成状况的查看。</w:t>
                  </w:r>
                </w:p>
                <w:p>
                  <w:pPr>
                    <w:pStyle w:val="null3"/>
                    <w:ind w:left="420"/>
                    <w:jc w:val="left"/>
                  </w:pPr>
                  <w:r>
                    <w:rPr>
                      <w:rFonts w:ascii="仿宋_GB2312" w:hAnsi="仿宋_GB2312" w:cs="仿宋_GB2312" w:eastAsia="仿宋_GB2312"/>
                      <w:sz w:val="22"/>
                      <w:color w:val="000000"/>
                    </w:rPr>
                    <w:t>2.4</w:t>
                  </w:r>
                  <w:r>
                    <w:rPr>
                      <w:rFonts w:ascii="仿宋_GB2312" w:hAnsi="仿宋_GB2312" w:cs="仿宋_GB2312" w:eastAsia="仿宋_GB2312"/>
                      <w:sz w:val="22"/>
                      <w:color w:val="000000"/>
                    </w:rPr>
                    <w:t>系统应能够根据任务清单内容以消息的形式予以实时提醒。</w:t>
                  </w:r>
                </w:p>
              </w:tc>
            </w:tr>
            <w:tr>
              <w:tc>
                <w:tcPr>
                  <w:tcW w:type="dxa" w:w="5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六</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抢救记录（</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系统应提供一键开启抢救采集模式，采集频率可手动调整。</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系统应提供抢救用药快速记录功能</w:t>
                  </w:r>
                  <w:r>
                    <w:rPr>
                      <w:rFonts w:ascii="仿宋_GB2312" w:hAnsi="仿宋_GB2312" w:cs="仿宋_GB2312" w:eastAsia="仿宋_GB2312"/>
                      <w:sz w:val="22"/>
                      <w:color w:val="000000"/>
                    </w:rPr>
                    <w:t>，包括常规抢救用药及用法。</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系统应提供常用抢救措施记录功能，常用耗材的模板设置，支持快捷记录。</w:t>
                  </w:r>
                </w:p>
                <w:p>
                  <w:pPr>
                    <w:pStyle w:val="null3"/>
                    <w:ind w:left="42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系统应支持抢救环节中护理记录的自动生成功能。</w:t>
                  </w:r>
                </w:p>
                <w:p>
                  <w:pPr>
                    <w:pStyle w:val="null3"/>
                    <w:ind w:left="42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系统可提供抢救口头医嘱，自动汇总并提供审核，生成口头医嘱单。</w:t>
                  </w:r>
                </w:p>
                <w:p>
                  <w:pPr>
                    <w:pStyle w:val="null3"/>
                    <w:ind w:left="42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系统需保存所有患者抢救记录，支持后期的查询，增补，修改。</w:t>
                  </w:r>
                </w:p>
              </w:tc>
            </w:tr>
            <w:tr>
              <w:tc>
                <w:tcPr>
                  <w:tcW w:type="dxa" w:w="5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七</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病情记录（</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应提供常规护理文书记录功能。</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应提供常用观察内容和事件内容模板，且可以自主维护新增、删除、修改各类模板。</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应提供自动生成护理记录的功能，针对采集的体征、医嘱、评估评分等做自动记录功能。</w:t>
                  </w:r>
                </w:p>
                <w:p>
                  <w:pPr>
                    <w:pStyle w:val="null3"/>
                    <w:ind w:left="42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应支持检验数据，医嘱信息，出入量总结的数据快速导入功能。</w:t>
                  </w:r>
                </w:p>
                <w:p>
                  <w:pPr>
                    <w:pStyle w:val="null3"/>
                    <w:ind w:left="42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应支持特殊护理记录的双签名功能。</w:t>
                  </w:r>
                </w:p>
                <w:p>
                  <w:pPr>
                    <w:pStyle w:val="null3"/>
                    <w:ind w:left="42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应支持历史护理记录的查询及增删改功能。</w:t>
                  </w:r>
                </w:p>
              </w:tc>
            </w:tr>
            <w:tr>
              <w:tc>
                <w:tcPr>
                  <w:tcW w:type="dxa" w:w="5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八</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护理交班（</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系统应提供患者交接班信息记录功能。</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系统应采用符合国际规范的交接班模式；自动获取患者当前班次基本情况及患者历史数据；自动化评估患者概况信息，并记录；提供护理人员记录患者建议护理措施等内容。</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系统应支持科室级的交班功能，需包含科室情况及重点患者快速交接。</w:t>
                  </w:r>
                </w:p>
                <w:p>
                  <w:pPr>
                    <w:pStyle w:val="null3"/>
                    <w:ind w:left="42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系统应提供交接班历史记录查询功能，便于医护回顾患者诊疗信息。</w:t>
                  </w:r>
                </w:p>
              </w:tc>
            </w:tr>
            <w:tr>
              <w:tc>
                <w:tcPr>
                  <w:tcW w:type="dxa" w:w="5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九</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病历查询（</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应能够查询患者在科期间的所有文书记录，并支持按时间查询。</w:t>
                  </w:r>
                </w:p>
                <w:p>
                  <w:pPr>
                    <w:pStyle w:val="null3"/>
                    <w:ind w:left="42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提供各类文书的打印功能。</w:t>
                  </w:r>
                </w:p>
                <w:p>
                  <w:pPr>
                    <w:pStyle w:val="null3"/>
                    <w:ind w:left="42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系统应支持各类文书的归档功能，归档后的文书需在授权用户进行解除归档操作后方可更新，防止数据的随意修改，保证文书记录的一致性。</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570"/>
              <w:jc w:val="both"/>
              <w:outlineLvl w:val="1"/>
            </w:pPr>
            <w:r>
              <w:rPr>
                <w:rFonts w:ascii="仿宋_GB2312" w:hAnsi="仿宋_GB2312" w:cs="仿宋_GB2312" w:eastAsia="仿宋_GB2312"/>
                <w:sz w:val="24"/>
                <w:b/>
              </w:rPr>
              <w:t>三、</w:t>
            </w:r>
            <w:r>
              <w:rPr>
                <w:rFonts w:ascii="仿宋_GB2312" w:hAnsi="仿宋_GB2312" w:cs="仿宋_GB2312" w:eastAsia="仿宋_GB2312"/>
                <w:sz w:val="24"/>
                <w:b/>
              </w:rPr>
              <w:t>科室管理工作站</w:t>
            </w:r>
          </w:p>
          <w:tbl>
            <w:tblPr>
              <w:tblBorders>
                <w:top w:val="none" w:color="000000" w:sz="4"/>
                <w:left w:val="none" w:color="000000" w:sz="4"/>
                <w:bottom w:val="none" w:color="000000" w:sz="4"/>
                <w:right w:val="none" w:color="000000" w:sz="4"/>
                <w:insideH w:val="none"/>
                <w:insideV w:val="none"/>
              </w:tblBorders>
            </w:tblPr>
            <w:tblGrid>
              <w:gridCol w:w="288"/>
              <w:gridCol w:w="522"/>
              <w:gridCol w:w="1738"/>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模块</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子模块</w:t>
                  </w:r>
                </w:p>
              </w:tc>
              <w:tc>
                <w:tcPr>
                  <w:tcW w:type="dxa" w:w="173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rPr>
                    <w:t>功能响应</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统计中心（</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自主查询</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系统应能够提供临床数据的自定义查询功能，可根据患者基本信息，诊断信息，体征，医嘱等多个条件查询并支持数据导出。</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质控数据</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系统支持</w:t>
                  </w:r>
                  <w:r>
                    <w:rPr>
                      <w:rFonts w:ascii="仿宋_GB2312" w:hAnsi="仿宋_GB2312" w:cs="仿宋_GB2312" w:eastAsia="仿宋_GB2312"/>
                      <w:sz w:val="22"/>
                      <w:color w:val="000000"/>
                    </w:rPr>
                    <w:t>2024</w:t>
                  </w:r>
                  <w:r>
                    <w:rPr>
                      <w:rFonts w:ascii="仿宋_GB2312" w:hAnsi="仿宋_GB2312" w:cs="仿宋_GB2312" w:eastAsia="仿宋_GB2312"/>
                      <w:sz w:val="22"/>
                      <w:color w:val="000000"/>
                    </w:rPr>
                    <w:t>年度公布的</w:t>
                  </w:r>
                  <w:r>
                    <w:rPr>
                      <w:rFonts w:ascii="仿宋_GB2312" w:hAnsi="仿宋_GB2312" w:cs="仿宋_GB2312" w:eastAsia="仿宋_GB2312"/>
                      <w:sz w:val="22"/>
                      <w:color w:val="000000"/>
                    </w:rPr>
                    <w:t>ICU19</w:t>
                  </w:r>
                  <w:r>
                    <w:rPr>
                      <w:rFonts w:ascii="仿宋_GB2312" w:hAnsi="仿宋_GB2312" w:cs="仿宋_GB2312" w:eastAsia="仿宋_GB2312"/>
                      <w:sz w:val="22"/>
                      <w:color w:val="000000"/>
                    </w:rPr>
                    <w:t>项质控指标的统计功能，具体内容如下：</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床位使用率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医师床位比</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护士床位比</w:t>
                  </w:r>
                </w:p>
                <w:p>
                  <w:pPr>
                    <w:pStyle w:val="null3"/>
                    <w:numPr>
                      <w:ilvl w:val="0"/>
                      <w:numId w:val="1"/>
                    </w:numPr>
                    <w:ind w:left="240"/>
                    <w:jc w:val="left"/>
                  </w:pPr>
                  <w:r>
                    <w:rPr>
                      <w:rFonts w:ascii="仿宋_GB2312" w:hAnsi="仿宋_GB2312" w:cs="仿宋_GB2312" w:eastAsia="仿宋_GB2312"/>
                      <w:sz w:val="22"/>
                      <w:color w:val="000000"/>
                    </w:rPr>
                    <w:t>急性生理与慢性健康评分（</w:t>
                  </w:r>
                  <w:r>
                    <w:rPr>
                      <w:rFonts w:ascii="仿宋_GB2312" w:hAnsi="仿宋_GB2312" w:cs="仿宋_GB2312" w:eastAsia="仿宋_GB2312"/>
                      <w:sz w:val="22"/>
                      <w:color w:val="000000"/>
                    </w:rPr>
                    <w:t>APACHEⅡ</w:t>
                  </w:r>
                  <w:r>
                    <w:rPr>
                      <w:rFonts w:ascii="仿宋_GB2312" w:hAnsi="仿宋_GB2312" w:cs="仿宋_GB2312" w:eastAsia="仿宋_GB2312"/>
                      <w:sz w:val="22"/>
                      <w:color w:val="000000"/>
                    </w:rPr>
                    <w:t>评分）</w:t>
                  </w:r>
                  <w:r>
                    <w:rPr>
                      <w:rFonts w:ascii="仿宋_GB2312" w:hAnsi="仿宋_GB2312" w:cs="仿宋_GB2312" w:eastAsia="仿宋_GB2312"/>
                      <w:sz w:val="22"/>
                      <w:color w:val="000000"/>
                    </w:rPr>
                    <w:t>≥ 15</w:t>
                  </w:r>
                  <w:r>
                    <w:rPr>
                      <w:rFonts w:ascii="仿宋_GB2312" w:hAnsi="仿宋_GB2312" w:cs="仿宋_GB2312" w:eastAsia="仿宋_GB2312"/>
                      <w:sz w:val="22"/>
                      <w:color w:val="000000"/>
                    </w:rPr>
                    <w:t>分患者收治率</w:t>
                  </w:r>
                </w:p>
                <w:p>
                  <w:pPr>
                    <w:pStyle w:val="null3"/>
                    <w:numPr>
                      <w:ilvl w:val="0"/>
                      <w:numId w:val="1"/>
                    </w:numPr>
                    <w:ind w:left="240"/>
                    <w:jc w:val="left"/>
                  </w:pPr>
                  <w:r>
                    <w:rPr>
                      <w:rFonts w:ascii="仿宋_GB2312" w:hAnsi="仿宋_GB2312" w:cs="仿宋_GB2312" w:eastAsia="仿宋_GB2312"/>
                      <w:sz w:val="22"/>
                      <w:color w:val="000000"/>
                    </w:rPr>
                    <w:t>感染性休克患者集束化治疗（</w:t>
                  </w:r>
                  <w:r>
                    <w:rPr>
                      <w:rFonts w:ascii="仿宋_GB2312" w:hAnsi="仿宋_GB2312" w:cs="仿宋_GB2312" w:eastAsia="仿宋_GB2312"/>
                      <w:sz w:val="22"/>
                      <w:color w:val="000000"/>
                    </w:rPr>
                    <w:t>bundle</w:t>
                  </w:r>
                  <w:r>
                    <w:rPr>
                      <w:rFonts w:ascii="仿宋_GB2312" w:hAnsi="仿宋_GB2312" w:cs="仿宋_GB2312" w:eastAsia="仿宋_GB2312"/>
                      <w:sz w:val="22"/>
                      <w:color w:val="000000"/>
                    </w:rPr>
                    <w:t>）完成率</w:t>
                  </w:r>
                </w:p>
                <w:p>
                  <w:pPr>
                    <w:pStyle w:val="null3"/>
                    <w:numPr>
                      <w:ilvl w:val="0"/>
                      <w:numId w:val="1"/>
                    </w:numPr>
                    <w:ind w:left="240"/>
                    <w:jc w:val="left"/>
                  </w:pPr>
                  <w:r>
                    <w:rPr>
                      <w:rFonts w:ascii="仿宋_GB2312" w:hAnsi="仿宋_GB2312" w:cs="仿宋_GB2312" w:eastAsia="仿宋_GB2312"/>
                      <w:sz w:val="22"/>
                      <w:color w:val="000000"/>
                    </w:rPr>
                    <w:t>抗菌药物治疗前病原学送检率</w:t>
                  </w:r>
                </w:p>
                <w:p>
                  <w:pPr>
                    <w:pStyle w:val="null3"/>
                    <w:numPr>
                      <w:ilvl w:val="0"/>
                      <w:numId w:val="1"/>
                    </w:numPr>
                    <w:ind w:left="240"/>
                    <w:jc w:val="left"/>
                  </w:pPr>
                  <w:r>
                    <w:rPr>
                      <w:rFonts w:ascii="仿宋_GB2312" w:hAnsi="仿宋_GB2312" w:cs="仿宋_GB2312" w:eastAsia="仿宋_GB2312"/>
                      <w:sz w:val="22"/>
                      <w:color w:val="000000"/>
                    </w:rPr>
                    <w:t>深静脉血栓（</w:t>
                  </w:r>
                  <w:r>
                    <w:rPr>
                      <w:rFonts w:ascii="仿宋_GB2312" w:hAnsi="仿宋_GB2312" w:cs="仿宋_GB2312" w:eastAsia="仿宋_GB2312"/>
                      <w:sz w:val="22"/>
                      <w:color w:val="000000"/>
                    </w:rPr>
                    <w:t>DVT</w:t>
                  </w:r>
                  <w:r>
                    <w:rPr>
                      <w:rFonts w:ascii="仿宋_GB2312" w:hAnsi="仿宋_GB2312" w:cs="仿宋_GB2312" w:eastAsia="仿宋_GB2312"/>
                      <w:sz w:val="22"/>
                      <w:color w:val="000000"/>
                    </w:rPr>
                    <w:t>）预防率</w:t>
                  </w:r>
                </w:p>
                <w:p>
                  <w:pPr>
                    <w:pStyle w:val="null3"/>
                    <w:numPr>
                      <w:ilvl w:val="0"/>
                      <w:numId w:val="1"/>
                    </w:numPr>
                    <w:ind w:left="240"/>
                    <w:jc w:val="left"/>
                  </w:pPr>
                  <w:r>
                    <w:rPr>
                      <w:rFonts w:ascii="仿宋_GB2312" w:hAnsi="仿宋_GB2312" w:cs="仿宋_GB2312" w:eastAsia="仿宋_GB2312"/>
                      <w:sz w:val="22"/>
                      <w:color w:val="000000"/>
                    </w:rPr>
                    <w:t>中重度急性呼吸窘迫综合征（</w:t>
                  </w:r>
                  <w:r>
                    <w:rPr>
                      <w:rFonts w:ascii="仿宋_GB2312" w:hAnsi="仿宋_GB2312" w:cs="仿宋_GB2312" w:eastAsia="仿宋_GB2312"/>
                      <w:sz w:val="22"/>
                      <w:color w:val="000000"/>
                    </w:rPr>
                    <w:t>ARDS</w:t>
                  </w:r>
                  <w:r>
                    <w:rPr>
                      <w:rFonts w:ascii="仿宋_GB2312" w:hAnsi="仿宋_GB2312" w:cs="仿宋_GB2312" w:eastAsia="仿宋_GB2312"/>
                      <w:sz w:val="22"/>
                      <w:color w:val="000000"/>
                    </w:rPr>
                    <w:t>）患者俯卧位通气实施率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镇痛评估率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镇静评估率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患者标化病死指数</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非计划气管插管拔管率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 xml:space="preserve">气管插管拔管后 </w:t>
                  </w:r>
                  <w:r>
                    <w:rPr>
                      <w:rFonts w:ascii="仿宋_GB2312" w:hAnsi="仿宋_GB2312" w:cs="仿宋_GB2312" w:eastAsia="仿宋_GB2312"/>
                      <w:sz w:val="22"/>
                      <w:color w:val="000000"/>
                    </w:rPr>
                    <w:t xml:space="preserve">48h </w:t>
                  </w:r>
                  <w:r>
                    <w:rPr>
                      <w:rFonts w:ascii="仿宋_GB2312" w:hAnsi="仿宋_GB2312" w:cs="仿宋_GB2312" w:eastAsia="仿宋_GB2312"/>
                      <w:sz w:val="22"/>
                      <w:color w:val="000000"/>
                    </w:rPr>
                    <w:t>再插管率</w:t>
                  </w:r>
                </w:p>
                <w:p>
                  <w:pPr>
                    <w:pStyle w:val="null3"/>
                    <w:numPr>
                      <w:ilvl w:val="0"/>
                      <w:numId w:val="1"/>
                    </w:numPr>
                    <w:ind w:left="240"/>
                    <w:jc w:val="left"/>
                  </w:pPr>
                  <w:r>
                    <w:rPr>
                      <w:rFonts w:ascii="仿宋_GB2312" w:hAnsi="仿宋_GB2312" w:cs="仿宋_GB2312" w:eastAsia="仿宋_GB2312"/>
                      <w:sz w:val="22"/>
                      <w:color w:val="000000"/>
                    </w:rPr>
                    <w:t>非计划转入</w:t>
                  </w:r>
                  <w:r>
                    <w:rPr>
                      <w:rFonts w:ascii="仿宋_GB2312" w:hAnsi="仿宋_GB2312" w:cs="仿宋_GB2312" w:eastAsia="仿宋_GB2312"/>
                      <w:sz w:val="22"/>
                      <w:color w:val="000000"/>
                    </w:rPr>
                    <w:t xml:space="preserve"> ICU </w:t>
                  </w:r>
                  <w:r>
                    <w:rPr>
                      <w:rFonts w:ascii="仿宋_GB2312" w:hAnsi="仿宋_GB2312" w:cs="仿宋_GB2312" w:eastAsia="仿宋_GB2312"/>
                      <w:sz w:val="22"/>
                      <w:color w:val="000000"/>
                    </w:rPr>
                    <w:t>率</w:t>
                  </w:r>
                </w:p>
                <w:p>
                  <w:pPr>
                    <w:pStyle w:val="null3"/>
                    <w:numPr>
                      <w:ilvl w:val="0"/>
                      <w:numId w:val="1"/>
                    </w:numPr>
                    <w:ind w:left="240"/>
                    <w:jc w:val="left"/>
                  </w:pPr>
                  <w:r>
                    <w:rPr>
                      <w:rFonts w:ascii="仿宋_GB2312" w:hAnsi="仿宋_GB2312" w:cs="仿宋_GB2312" w:eastAsia="仿宋_GB2312"/>
                      <w:sz w:val="22"/>
                      <w:color w:val="000000"/>
                    </w:rPr>
                    <w:t>转出</w:t>
                  </w:r>
                  <w:r>
                    <w:rPr>
                      <w:rFonts w:ascii="仿宋_GB2312" w:hAnsi="仿宋_GB2312" w:cs="仿宋_GB2312" w:eastAsia="仿宋_GB2312"/>
                      <w:sz w:val="22"/>
                      <w:color w:val="000000"/>
                    </w:rPr>
                    <w:t xml:space="preserve"> ICU </w:t>
                  </w:r>
                  <w:r>
                    <w:rPr>
                      <w:rFonts w:ascii="仿宋_GB2312" w:hAnsi="仿宋_GB2312" w:cs="仿宋_GB2312" w:eastAsia="仿宋_GB2312"/>
                      <w:sz w:val="22"/>
                      <w:color w:val="000000"/>
                    </w:rPr>
                    <w:t xml:space="preserve">后 </w:t>
                  </w:r>
                  <w:r>
                    <w:rPr>
                      <w:rFonts w:ascii="仿宋_GB2312" w:hAnsi="仿宋_GB2312" w:cs="仿宋_GB2312" w:eastAsia="仿宋_GB2312"/>
                      <w:sz w:val="22"/>
                      <w:color w:val="000000"/>
                    </w:rPr>
                    <w:t xml:space="preserve">48h </w:t>
                  </w:r>
                  <w:r>
                    <w:rPr>
                      <w:rFonts w:ascii="仿宋_GB2312" w:hAnsi="仿宋_GB2312" w:cs="仿宋_GB2312" w:eastAsia="仿宋_GB2312"/>
                      <w:sz w:val="22"/>
                      <w:color w:val="000000"/>
                    </w:rPr>
                    <w:t>内重返率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呼吸机相关肺炎（</w:t>
                  </w:r>
                  <w:r>
                    <w:rPr>
                      <w:rFonts w:ascii="仿宋_GB2312" w:hAnsi="仿宋_GB2312" w:cs="仿宋_GB2312" w:eastAsia="仿宋_GB2312"/>
                      <w:sz w:val="22"/>
                      <w:color w:val="000000"/>
                    </w:rPr>
                    <w:t>VAP</w:t>
                  </w:r>
                  <w:r>
                    <w:rPr>
                      <w:rFonts w:ascii="仿宋_GB2312" w:hAnsi="仿宋_GB2312" w:cs="仿宋_GB2312" w:eastAsia="仿宋_GB2312"/>
                      <w:sz w:val="22"/>
                      <w:color w:val="000000"/>
                    </w:rPr>
                    <w:t>）发病率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血管导管相关血流感染（</w:t>
                  </w:r>
                  <w:r>
                    <w:rPr>
                      <w:rFonts w:ascii="仿宋_GB2312" w:hAnsi="仿宋_GB2312" w:cs="仿宋_GB2312" w:eastAsia="仿宋_GB2312"/>
                      <w:sz w:val="22"/>
                      <w:color w:val="000000"/>
                    </w:rPr>
                    <w:t>CRBSI</w:t>
                  </w:r>
                  <w:r>
                    <w:rPr>
                      <w:rFonts w:ascii="仿宋_GB2312" w:hAnsi="仿宋_GB2312" w:cs="仿宋_GB2312" w:eastAsia="仿宋_GB2312"/>
                      <w:sz w:val="22"/>
                      <w:color w:val="000000"/>
                    </w:rPr>
                    <w:t>）发病率</w:t>
                  </w:r>
                </w:p>
                <w:p>
                  <w:pPr>
                    <w:pStyle w:val="null3"/>
                    <w:numPr>
                      <w:ilvl w:val="0"/>
                      <w:numId w:val="1"/>
                    </w:numPr>
                    <w:ind w:left="240"/>
                    <w:jc w:val="left"/>
                  </w:pPr>
                  <w:r>
                    <w:rPr>
                      <w:rFonts w:ascii="仿宋_GB2312" w:hAnsi="仿宋_GB2312" w:cs="仿宋_GB2312" w:eastAsia="仿宋_GB2312"/>
                      <w:sz w:val="22"/>
                      <w:color w:val="000000"/>
                    </w:rPr>
                    <w:t xml:space="preserve">ICU </w:t>
                  </w:r>
                  <w:r>
                    <w:rPr>
                      <w:rFonts w:ascii="仿宋_GB2312" w:hAnsi="仿宋_GB2312" w:cs="仿宋_GB2312" w:eastAsia="仿宋_GB2312"/>
                      <w:sz w:val="22"/>
                      <w:color w:val="000000"/>
                    </w:rPr>
                    <w:t>急性脑损伤患者意识评估率</w:t>
                  </w:r>
                </w:p>
                <w:p>
                  <w:pPr>
                    <w:pStyle w:val="null3"/>
                    <w:numPr>
                      <w:ilvl w:val="0"/>
                      <w:numId w:val="1"/>
                    </w:numPr>
                    <w:ind w:left="240"/>
                    <w:jc w:val="left"/>
                  </w:pPr>
                  <w:r>
                    <w:rPr>
                      <w:rFonts w:ascii="仿宋_GB2312" w:hAnsi="仿宋_GB2312" w:cs="仿宋_GB2312" w:eastAsia="仿宋_GB2312"/>
                      <w:sz w:val="22"/>
                      <w:color w:val="000000"/>
                    </w:rPr>
                    <w:t xml:space="preserve">48h </w:t>
                  </w:r>
                  <w:r>
                    <w:rPr>
                      <w:rFonts w:ascii="仿宋_GB2312" w:hAnsi="仿宋_GB2312" w:cs="仿宋_GB2312" w:eastAsia="仿宋_GB2312"/>
                      <w:sz w:val="22"/>
                      <w:color w:val="000000"/>
                    </w:rPr>
                    <w:t>内肠内营养（</w:t>
                  </w:r>
                  <w:r>
                    <w:rPr>
                      <w:rFonts w:ascii="仿宋_GB2312" w:hAnsi="仿宋_GB2312" w:cs="仿宋_GB2312" w:eastAsia="仿宋_GB2312"/>
                      <w:sz w:val="22"/>
                      <w:color w:val="000000"/>
                    </w:rPr>
                    <w:t>EN</w:t>
                  </w:r>
                  <w:r>
                    <w:rPr>
                      <w:rFonts w:ascii="仿宋_GB2312" w:hAnsi="仿宋_GB2312" w:cs="仿宋_GB2312" w:eastAsia="仿宋_GB2312"/>
                      <w:sz w:val="22"/>
                      <w:color w:val="000000"/>
                    </w:rPr>
                    <w:t>）启动率。</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科室运营统计</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3.1</w:t>
                  </w:r>
                  <w:r>
                    <w:rPr>
                      <w:rFonts w:ascii="仿宋_GB2312" w:hAnsi="仿宋_GB2312" w:cs="仿宋_GB2312" w:eastAsia="仿宋_GB2312"/>
                      <w:sz w:val="22"/>
                      <w:color w:val="000000"/>
                    </w:rPr>
                    <w:t>系统应提供科室日常所需统计功能。统计内容至少包含科室床位使用率，床位周转率，患者流转统计（患者来源分类统计、患者转归分类统计），科室设备使用率及使用时长统计，患者使用导管分类统计，三管导管每日统计</w:t>
                  </w:r>
                  <w:r>
                    <w:rPr>
                      <w:rFonts w:ascii="仿宋_GB2312" w:hAnsi="仿宋_GB2312" w:cs="仿宋_GB2312" w:eastAsia="仿宋_GB2312"/>
                      <w:sz w:val="22"/>
                      <w:color w:val="000000"/>
                    </w:rPr>
                    <w:t>,</w:t>
                  </w:r>
                  <w:r>
                    <w:rPr>
                      <w:rFonts w:ascii="仿宋_GB2312" w:hAnsi="仿宋_GB2312" w:cs="仿宋_GB2312" w:eastAsia="仿宋_GB2312"/>
                      <w:sz w:val="22"/>
                      <w:color w:val="000000"/>
                    </w:rPr>
                    <w:t>患者皮肤压伤发生例次</w:t>
                  </w:r>
                  <w:r>
                    <w:rPr>
                      <w:rFonts w:ascii="仿宋_GB2312" w:hAnsi="仿宋_GB2312" w:cs="仿宋_GB2312" w:eastAsia="仿宋_GB2312"/>
                      <w:sz w:val="22"/>
                      <w:color w:val="000000"/>
                    </w:rPr>
                    <w:t>/</w:t>
                  </w:r>
                  <w:r>
                    <w:rPr>
                      <w:rFonts w:ascii="仿宋_GB2312" w:hAnsi="仿宋_GB2312" w:cs="仿宋_GB2312" w:eastAsia="仿宋_GB2312"/>
                      <w:sz w:val="22"/>
                      <w:color w:val="000000"/>
                    </w:rPr>
                    <w:t>人次，压伤来源分类统计，压伤分期分类统计、</w:t>
                  </w:r>
                  <w:r>
                    <w:rPr>
                      <w:rFonts w:ascii="仿宋_GB2312" w:hAnsi="仿宋_GB2312" w:cs="仿宋_GB2312" w:eastAsia="仿宋_GB2312"/>
                      <w:sz w:val="22"/>
                    </w:rPr>
                    <w:t>血糖管理统计、抗生素统计等。</w:t>
                  </w:r>
                </w:p>
                <w:p>
                  <w:pPr>
                    <w:pStyle w:val="null3"/>
                    <w:ind w:left="420"/>
                    <w:jc w:val="left"/>
                  </w:pPr>
                  <w:r>
                    <w:rPr>
                      <w:rFonts w:ascii="仿宋_GB2312" w:hAnsi="仿宋_GB2312" w:cs="仿宋_GB2312" w:eastAsia="仿宋_GB2312"/>
                      <w:sz w:val="22"/>
                      <w:color w:val="000000"/>
                    </w:rPr>
                    <w:t>3.2</w:t>
                  </w:r>
                  <w:r>
                    <w:rPr>
                      <w:rFonts w:ascii="仿宋_GB2312" w:hAnsi="仿宋_GB2312" w:cs="仿宋_GB2312" w:eastAsia="仿宋_GB2312"/>
                      <w:sz w:val="22"/>
                    </w:rPr>
                    <w:t>系统应提供各类数据的图形化展示</w:t>
                  </w:r>
                  <w:r>
                    <w:rPr>
                      <w:rFonts w:ascii="仿宋_GB2312" w:hAnsi="仿宋_GB2312" w:cs="仿宋_GB2312" w:eastAsia="仿宋_GB2312"/>
                      <w:sz w:val="22"/>
                      <w:color w:val="000000"/>
                    </w:rPr>
                    <w:t>。</w:t>
                  </w:r>
                </w:p>
                <w:p>
                  <w:pPr>
                    <w:pStyle w:val="null3"/>
                    <w:ind w:left="420"/>
                    <w:jc w:val="left"/>
                  </w:pPr>
                  <w:r>
                    <w:rPr>
                      <w:rFonts w:ascii="仿宋_GB2312" w:hAnsi="仿宋_GB2312" w:cs="仿宋_GB2312" w:eastAsia="仿宋_GB2312"/>
                      <w:sz w:val="22"/>
                      <w:color w:val="000000"/>
                    </w:rPr>
                    <w:t>3.3</w:t>
                  </w:r>
                  <w:r>
                    <w:rPr>
                      <w:rFonts w:ascii="仿宋_GB2312" w:hAnsi="仿宋_GB2312" w:cs="仿宋_GB2312" w:eastAsia="仿宋_GB2312"/>
                      <w:sz w:val="22"/>
                      <w:color w:val="000000"/>
                    </w:rPr>
                    <w:t>系统应提供统计数据的详细信息，数据可追溯到对应患者，并支持导出。</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临床消息（</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当日事项</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系统应提供用户当日工作事项的提醒，包括事项的具体内容及时间。事项完成后提供完成状态显示。</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报警事件</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系统应提供患者当班次报警事件提醒，包括各类体征报警。可根据科室要求设置报警事件。</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设备异常</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系统应提供患者绑定的设备采集状态异常提示。</w:t>
                  </w:r>
                </w:p>
              </w:tc>
            </w:tr>
            <w:tr>
              <w:tc>
                <w:tcPr>
                  <w:tcW w:type="dxa" w:w="2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系统管理（</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报警设置</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系统应提供患者体征报警值的快捷设置，包括报警值上下限值的修改，新增及删除功能。</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特殊事项</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系统应提供患者重要事项发布功能，供医护人员共享参考。</w:t>
                  </w:r>
                </w:p>
                <w:p>
                  <w:pPr>
                    <w:pStyle w:val="null3"/>
                    <w:ind w:left="420"/>
                    <w:jc w:val="left"/>
                  </w:pPr>
                  <w:r>
                    <w:rPr>
                      <w:rFonts w:ascii="仿宋_GB2312" w:hAnsi="仿宋_GB2312" w:cs="仿宋_GB2312" w:eastAsia="仿宋_GB2312"/>
                      <w:sz w:val="22"/>
                      <w:color w:val="000000"/>
                    </w:rPr>
                    <w:t>2.2</w:t>
                  </w:r>
                  <w:r>
                    <w:rPr>
                      <w:rFonts w:ascii="仿宋_GB2312" w:hAnsi="仿宋_GB2312" w:cs="仿宋_GB2312" w:eastAsia="仿宋_GB2312"/>
                      <w:sz w:val="22"/>
                      <w:color w:val="000000"/>
                    </w:rPr>
                    <w:t>系统应提供患者特殊事件记录功能，并支持历史记录查看。</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体征提取</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3.1</w:t>
                  </w:r>
                  <w:r>
                    <w:rPr>
                      <w:rFonts w:ascii="仿宋_GB2312" w:hAnsi="仿宋_GB2312" w:cs="仿宋_GB2312" w:eastAsia="仿宋_GB2312"/>
                      <w:sz w:val="22"/>
                      <w:color w:val="000000"/>
                    </w:rPr>
                    <w:t>系统应提供自定义时间段患者体征数据再提取功能，用于回顾患者密集化的体征数据。</w:t>
                  </w:r>
                </w:p>
                <w:p>
                  <w:pPr>
                    <w:pStyle w:val="null3"/>
                    <w:ind w:left="420"/>
                    <w:jc w:val="left"/>
                  </w:pPr>
                  <w:r>
                    <w:rPr>
                      <w:rFonts w:ascii="仿宋_GB2312" w:hAnsi="仿宋_GB2312" w:cs="仿宋_GB2312" w:eastAsia="仿宋_GB2312"/>
                      <w:sz w:val="22"/>
                      <w:color w:val="000000"/>
                    </w:rPr>
                    <w:t>3.2</w:t>
                  </w:r>
                  <w:r>
                    <w:rPr>
                      <w:rFonts w:ascii="仿宋_GB2312" w:hAnsi="仿宋_GB2312" w:cs="仿宋_GB2312" w:eastAsia="仿宋_GB2312"/>
                      <w:sz w:val="22"/>
                      <w:color w:val="000000"/>
                    </w:rPr>
                    <w:t>系统应支持体征提取时间频率的自定义选择。</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特殊字符</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系统应提供医疗文书所需要的特殊字符的便捷录入功能，并能按科室要求自定义添加。</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系统帮助</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系统需内嵌操作指南，协助用户在使用系统的过程中进行自助查询。</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医学计算器</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系统应能够提供临床医学常用计算公式，支持所需数据的快速计算。</w:t>
                  </w:r>
                </w:p>
              </w:tc>
            </w:tr>
            <w:tr>
              <w:tc>
                <w:tcPr>
                  <w:tcW w:type="dxa" w:w="288"/>
                  <w:vMerge/>
                  <w:tcBorders>
                    <w:top w:val="none" w:color="000000" w:sz="4"/>
                    <w:left w:val="singl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指南文库</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color w:val="000000"/>
                    </w:rPr>
                    <w:t>7.1</w:t>
                  </w:r>
                  <w:r>
                    <w:rPr>
                      <w:rFonts w:ascii="仿宋_GB2312" w:hAnsi="仿宋_GB2312" w:cs="仿宋_GB2312" w:eastAsia="仿宋_GB2312"/>
                      <w:sz w:val="22"/>
                      <w:color w:val="000000"/>
                    </w:rPr>
                    <w:t>系统应提供医学常用指南或文档的管理功能，支持文档、图片的自定义上传。</w:t>
                  </w:r>
                </w:p>
                <w:p>
                  <w:pPr>
                    <w:pStyle w:val="null3"/>
                    <w:ind w:left="420"/>
                    <w:jc w:val="left"/>
                  </w:pPr>
                  <w:r>
                    <w:rPr>
                      <w:rFonts w:ascii="仿宋_GB2312" w:hAnsi="仿宋_GB2312" w:cs="仿宋_GB2312" w:eastAsia="仿宋_GB2312"/>
                      <w:sz w:val="22"/>
                      <w:color w:val="000000"/>
                    </w:rPr>
                    <w:t>7.2</w:t>
                  </w:r>
                  <w:r>
                    <w:rPr>
                      <w:rFonts w:ascii="仿宋_GB2312" w:hAnsi="仿宋_GB2312" w:cs="仿宋_GB2312" w:eastAsia="仿宋_GB2312"/>
                      <w:sz w:val="22"/>
                      <w:color w:val="000000"/>
                    </w:rPr>
                    <w:t>所上传文档需支持分类查询。</w:t>
                  </w:r>
                </w:p>
              </w:tc>
            </w:tr>
            <w:tr>
              <w:tc>
                <w:tcPr>
                  <w:tcW w:type="dxa" w:w="2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四</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配置中心（</w:t>
                  </w:r>
                  <w:r>
                    <w:rPr>
                      <w:rFonts w:ascii="仿宋_GB2312" w:hAnsi="仿宋_GB2312" w:cs="仿宋_GB2312" w:eastAsia="仿宋_GB2312"/>
                      <w:sz w:val="22"/>
                      <w:b/>
                      <w:color w:val="000000"/>
                    </w:rPr>
                    <w:t>7</w:t>
                  </w:r>
                  <w:r>
                    <w:rPr>
                      <w:rFonts w:ascii="仿宋_GB2312" w:hAnsi="仿宋_GB2312" w:cs="仿宋_GB2312" w:eastAsia="仿宋_GB2312"/>
                      <w:sz w:val="22"/>
                      <w:b/>
                      <w:color w:val="000000"/>
                    </w:rPr>
                    <w:t>个床位）</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系统配置</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系统应支持各个模块相关项目的自定义配置。包括医院参数配置，菜单项配置，患者基本信息配置，监测表单配置、导管配置、每日核查项目配置、护理计划配置，护理记录模板配置，报警值配置。</w:t>
                  </w:r>
                </w:p>
              </w:tc>
            </w:tr>
            <w:tr>
              <w:tc>
                <w:tcPr>
                  <w:tcW w:type="dxa" w:w="288"/>
                  <w:vMerge/>
                  <w:tcBorders>
                    <w:top w:val="none" w:color="000000" w:sz="4"/>
                    <w:left w:val="single" w:color="000000" w:sz="4"/>
                    <w:bottom w:val="non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用户管理</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系统应提供用户管理功能，支持系统用户的增、删及用户权限设置功能。</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详⻅“第七章 拟签订采购合同⽂本”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详⻅“第七章 拟签订采购合同⽂本”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合同签订后60天完成建设⼯作。运维保障服务期：⾃验收合格之⽇起3年。质量保修范围和保修期：整个项⽬ ⾃验收合格之⽇起3年（硬件原⼚质保及配套软件免费升级，规则库更新）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合同签订后20天完成建设⼯作。运维保障服务期：⾃验收合格之⽇起3年。质量保修范围和保修期：整个项⽬ ⾃验收合格之⽇起3年（硬件原⼚质保及配套软件免费升级）</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进度款，整体项⽬验收通过、⼄⽅提供发票经财务审核后，达到付款条件起30个工作日内，支付合同总金额的100.0%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进度款，整体项⽬验收通过、⼄⽅提供发票经财务审核后，达到付款条件起30个工作日内，支付合同总金额的100.0%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详⻅拟签订采购合同⽂本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详⻅拟签订采购合同⽂本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⽀付约定（中⼩微企业适⽤）： （1）预付款，合同签订、⼄⽅提供发票经财务审核后，达到付款条件起30个⼯作⽇内，⽀付合同总⾦额的40.0% （2）进度款，经核查硬件设备与技术⼈员均按要求到达现场、⼄⽅提供发票经财务审核后，达到付款条件起30个⼯作⽇内，⽀付合同总⾦额的30.0% （3）进度款，整体项⽬验收通过、⼄⽅提供发票经财务审核后，达到付款条件起30个⼯作⽇内，⽀付合同总⾦额的30.0%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9.汉中市政府采购供应商资格承诺函.docx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9.汉中市政府采购供应商资格承诺函.docx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9.汉中市政府采购供应商资格承诺函.docx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9.汉中市政府采购供应商资格承诺函.docx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1投标⼈合法注册的法⼈或其他组织的营业执照等证明⽂件。 2投标⼈在递交投标⽂件截⽌时间前被“信⽤中国”⽹站（www.creditchina.gov.cn）和中国政府采购⽹（www.ccgp.gov.cn）上被列⼊失信被执⾏⼈、重⼤税收违法失信主体、政府采购严重违法失信⾏为记录名单的，不得参加投标。 3投标⼈应授权合法的⼈员参加投标全过程，其中法定代表⼈（单位负责⼈）直接参加投标的，须出具法定代表⼈（单位负责⼈）⾝份证，并与营业执照上信息⼀致。法定代表⼈（单位负责⼈）授权代表参加投标的，须出具法定代表⼈（单位负责⼈）授权书及授权代表⾝份证、授权代表本单位证明（提供授权代表在本单位养⽼保险缴纳证明）。 4提供盖章的《汉中市政府采购供应商资格承诺函》。</w:t>
            </w:r>
          </w:p>
        </w:tc>
        <w:tc>
          <w:tcPr>
            <w:tcW w:type="dxa" w:w="1661"/>
          </w:tcPr>
          <w:p>
            <w:pPr>
              <w:pStyle w:val="null3"/>
            </w:pPr>
            <w:r>
              <w:rPr>
                <w:rFonts w:ascii="仿宋_GB2312" w:hAnsi="仿宋_GB2312" w:cs="仿宋_GB2312" w:eastAsia="仿宋_GB2312"/>
              </w:rPr>
              <w:t>10.特定资格证明文件.docx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1投标⼈合法注册的法⼈或其他组织的营业执照等证明⽂件。 2投标⼈在递交投标⽂件截⽌时间前被“信⽤中国”⽹站（www.creditchina.gov.cn）和中国政府采购⽹（www.ccgp.gov.cn）上被列⼊失信被执⾏⼈、重⼤税收违法失信主体、政府采购严重违法失信⾏为记录名单的，不得参加投标。 3投标⼈应授权合法的⼈员参加投标全过程，其中法定代表⼈（单位负责⼈）直接参加投标的，须出具法定代表⼈（单位负责⼈）⾝份证，并与营业执照上信息⼀致。法定代表⼈（单位负责⼈）授权代表参加投标的，须出具法定代表⼈（单位负责⼈）授权书及授权代表⾝份证、授权代表本单位证明（提供授权代表在本单位养⽼保险缴纳证明）。 4提供盖章的《汉中市政府采购供应商资格承诺函》。</w:t>
            </w:r>
          </w:p>
        </w:tc>
        <w:tc>
          <w:tcPr>
            <w:tcW w:type="dxa" w:w="1661"/>
          </w:tcPr>
          <w:p>
            <w:pPr>
              <w:pStyle w:val="null3"/>
            </w:pPr>
            <w:r>
              <w:rPr>
                <w:rFonts w:ascii="仿宋_GB2312" w:hAnsi="仿宋_GB2312" w:cs="仿宋_GB2312" w:eastAsia="仿宋_GB2312"/>
              </w:rPr>
              <w:t>10.特定资格证明文件.docx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⼀、评审中出现下列情形之⼀的，评标委员会应当启动异常低价投标审查程序： 1.投标报价低于采购项⽬最⾼限价45%的，即投标报价&lt;采购项⽬最⾼限价×45%； 2.评标委员会基于专业判断，认为供应商报价过低，有可能影响 产品质量或者不能诚信履约的其他情形。 相关法律法规对供应商报价有规定的，从其规定。 ⼆、评标委员会应当要求相关供应商在评审现场合理的时间内对投标价格作出解释，提供项⽬具体成本测算等与报价合理性相关的书⾯说明及必要的证明材料，包括但不限于原材料成本、⼈⼯成本、制造费⽤等，给予相关供应商 的合理时间⼀般不少于30分钟。评标委员会依据专业经验，参考同类项⽬中标（成交）价格、类似产品市场价格⽔平、⾏业⼈⼯费⽤标准、国家有关部⻔指导⾏业协会发布的⾏业平均成本等情况，对报价合理性进⾏判断。 三、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投标⽂件按招标⽂件要求签署、盖章</w:t>
            </w:r>
          </w:p>
        </w:tc>
        <w:tc>
          <w:tcPr>
            <w:tcW w:type="dxa" w:w="1661"/>
          </w:tcPr>
          <w:p>
            <w:pPr>
              <w:pStyle w:val="null3"/>
            </w:pPr>
            <w:r>
              <w:rPr>
                <w:rFonts w:ascii="仿宋_GB2312" w:hAnsi="仿宋_GB2312" w:cs="仿宋_GB2312" w:eastAsia="仿宋_GB2312"/>
              </w:rPr>
              <w:t>14.技术证明材料.docx 开标一览表 12.商务条款偏离表.docx 中小企业声明函 8.投标保证金支付凭证或保函.docx 16.业绩一览表.docx 13.技术偏离表.docx 11.投标分项报价表-1包.docx 10.特定资格证明文件.docx 投标函 残疾人福利性单位声明函 标的清单 投标文件封面 9.汉中市政府采购供应商资格承诺函.docx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投标⼈投标报价没有超出采购预算或最⾼限价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投标保证⾦已按招标⽂件规定提交且⾦额、形式符合招标⽂件要求</w:t>
            </w:r>
          </w:p>
        </w:tc>
        <w:tc>
          <w:tcPr>
            <w:tcW w:type="dxa" w:w="1661"/>
          </w:tcPr>
          <w:p>
            <w:pPr>
              <w:pStyle w:val="null3"/>
            </w:pPr>
            <w:r>
              <w:rPr>
                <w:rFonts w:ascii="仿宋_GB2312" w:hAnsi="仿宋_GB2312" w:cs="仿宋_GB2312" w:eastAsia="仿宋_GB2312"/>
              </w:rPr>
              <w:t>8.投标保证金支付凭证或保函.docx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投标内容满⾜招标⽂件中商务要求和技术实质性要求、不存在漏项或数量与要求不符</w:t>
            </w:r>
          </w:p>
        </w:tc>
        <w:tc>
          <w:tcPr>
            <w:tcW w:type="dxa" w:w="1661"/>
          </w:tcPr>
          <w:p>
            <w:pPr>
              <w:pStyle w:val="null3"/>
            </w:pPr>
            <w:r>
              <w:rPr>
                <w:rFonts w:ascii="仿宋_GB2312" w:hAnsi="仿宋_GB2312" w:cs="仿宋_GB2312" w:eastAsia="仿宋_GB2312"/>
              </w:rPr>
              <w:t>14.技术证明材料.docx 12.商务条款偏离表.docx 13.技术偏离表.docx 11.投标分项报价表-1包.docx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遵循公平竞争的原则，没有弄虚作假、恶意串通或妨碍其他投标⼈的竞争⾏为，损害采购⼈或者其他投标⼈的合法权益。 （弄虚作假、串通投标的情形⻅附注）</w:t>
            </w:r>
          </w:p>
        </w:tc>
        <w:tc>
          <w:tcPr>
            <w:tcW w:type="dxa" w:w="1661"/>
          </w:tcPr>
          <w:p>
            <w:pPr>
              <w:pStyle w:val="null3"/>
            </w:pPr>
            <w:r>
              <w:rPr>
                <w:rFonts w:ascii="仿宋_GB2312" w:hAnsi="仿宋_GB2312" w:cs="仿宋_GB2312" w:eastAsia="仿宋_GB2312"/>
              </w:rPr>
              <w:t>14.技术证明材料.docx 开标一览表 12.商务条款偏离表.docx 中小企业声明函 8.投标保证金支付凭证或保函.docx 16.业绩一览表.docx 13.技术偏离表.docx 11.投标分项报价表-1包.docx 10.特定资格证明文件.docx 投标函 残疾人福利性单位声明函 标的清单 投标文件封面 9.汉中市政府采购供应商资格承诺函.docx 15.投标方案或技术方案-1包.docx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不存在其它不符合法律法规或招标⽂件规定的投标⽆效条款的情形</w:t>
            </w:r>
          </w:p>
        </w:tc>
        <w:tc>
          <w:tcPr>
            <w:tcW w:type="dxa" w:w="1661"/>
          </w:tcPr>
          <w:p>
            <w:pPr>
              <w:pStyle w:val="null3"/>
            </w:pPr>
            <w:r>
              <w:rPr>
                <w:rFonts w:ascii="仿宋_GB2312" w:hAnsi="仿宋_GB2312" w:cs="仿宋_GB2312" w:eastAsia="仿宋_GB2312"/>
              </w:rPr>
              <w:t>14.技术证明材料.docx 开标一览表 12.商务条款偏离表.docx 中小企业声明函 8.投标保证金支付凭证或保函.docx 16.业绩一览表.docx 13.技术偏离表.docx 11.投标分项报价表-1包.docx 10.特定资格证明文件.docx 投标函 残疾人福利性单位声明函 标的清单 投标文件封面 9.汉中市政府采购供应商资格承诺函.docx 15.投标方案或技术方案-1包.docx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⼀、评审中出现下列情形之⼀的，评标委员会应当启动异常低价投标审查程序： 1.投标报价低于采购项⽬最⾼限价45%的，即投标报价&lt;采购项⽬最⾼限价×45%； 2.评标委员会基于专业判断，认为供应商报价过低，有可能影响 产品质量或者不能诚信履约的其他情形。 相关法律法规对供应商报价有规定的，从其规定。 ⼆、评标委员会应当要求相关供应商在评审现场合理的时间内对投标价格作出解释，提供项⽬具体成本测算等与报价合理性相关的书⾯说明及必要的证明材料，包括但不限于原材料成本、⼈⼯成本、制造费⽤等，给予相关供应商 的合理时间⼀般不少于30分钟。评标委员会依据专业经验，参考同类项⽬中标（成交）价格、类似产品市场价格⽔平、⾏业⼈⼯费⽤标准、国家有关部⻔指导⾏业协会发布的⾏业平均成本等情况，对报价合理性进⾏判断。 三、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投标⽂件按招标⽂件要求签署、盖章</w:t>
            </w:r>
          </w:p>
        </w:tc>
        <w:tc>
          <w:tcPr>
            <w:tcW w:type="dxa" w:w="1661"/>
          </w:tcPr>
          <w:p>
            <w:pPr>
              <w:pStyle w:val="null3"/>
            </w:pPr>
            <w:r>
              <w:rPr>
                <w:rFonts w:ascii="仿宋_GB2312" w:hAnsi="仿宋_GB2312" w:cs="仿宋_GB2312" w:eastAsia="仿宋_GB2312"/>
              </w:rPr>
              <w:t>14.技术证明材料.docx 开标一览表 12.商务条款偏离表.docx 中小企业声明函 8.投标保证金支付凭证或保函.docx 16.业绩一览表.docx 13.技术偏离表.docx 10.特定资格证明文件.docx 11.投标分项报价表-2包.docx 投标函 残疾人福利性单位声明函 标的清单 投标文件封面 9.汉中市政府采购供应商资格承诺函.docx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投标⼈投标报价没有超出采购预算或最⾼限价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投标保证⾦已按招标⽂件规定提交且⾦额、形式符合招标⽂件要求</w:t>
            </w:r>
          </w:p>
        </w:tc>
        <w:tc>
          <w:tcPr>
            <w:tcW w:type="dxa" w:w="1661"/>
          </w:tcPr>
          <w:p>
            <w:pPr>
              <w:pStyle w:val="null3"/>
            </w:pPr>
            <w:r>
              <w:rPr>
                <w:rFonts w:ascii="仿宋_GB2312" w:hAnsi="仿宋_GB2312" w:cs="仿宋_GB2312" w:eastAsia="仿宋_GB2312"/>
              </w:rPr>
              <w:t>8.投标保证金支付凭证或保函.docx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投标内容满⾜招标⽂件中商务要求和技术实质性要求、不存在漏项或数量与要求不符</w:t>
            </w:r>
          </w:p>
        </w:tc>
        <w:tc>
          <w:tcPr>
            <w:tcW w:type="dxa" w:w="1661"/>
          </w:tcPr>
          <w:p>
            <w:pPr>
              <w:pStyle w:val="null3"/>
            </w:pPr>
            <w:r>
              <w:rPr>
                <w:rFonts w:ascii="仿宋_GB2312" w:hAnsi="仿宋_GB2312" w:cs="仿宋_GB2312" w:eastAsia="仿宋_GB2312"/>
              </w:rPr>
              <w:t>14.技术证明材料.docx 11.投标分项报价表-2包.docx 12.商务条款偏离表.docx 13.技术偏离表.docx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遵循公平竞争的原则，没有弄虚作假、恶意串通或妨碍其他投标⼈的竞争⾏为，损害采购⼈或者其他投标⼈的合法权益。 （弄虚作假、串通投标的情形⻅附注）</w:t>
            </w:r>
          </w:p>
        </w:tc>
        <w:tc>
          <w:tcPr>
            <w:tcW w:type="dxa" w:w="1661"/>
          </w:tcPr>
          <w:p>
            <w:pPr>
              <w:pStyle w:val="null3"/>
            </w:pPr>
            <w:r>
              <w:rPr>
                <w:rFonts w:ascii="仿宋_GB2312" w:hAnsi="仿宋_GB2312" w:cs="仿宋_GB2312" w:eastAsia="仿宋_GB2312"/>
              </w:rPr>
              <w:t>14.技术证明材料.docx 开标一览表 12.商务条款偏离表.docx 15.投标方案或技术方案-2包.docx 中小企业声明函 8.投标保证金支付凭证或保函.docx 16.业绩一览表.docx 13.技术偏离表.docx 10.特定资格证明文件.docx 11.投标分项报价表-2包.docx 投标函 残疾人福利性单位声明函 标的清单 投标文件封面 9.汉中市政府采购供应商资格承诺函.docx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不存在其它不符合法律法规或招标⽂件规定的投标⽆效条款的情形</w:t>
            </w:r>
          </w:p>
        </w:tc>
        <w:tc>
          <w:tcPr>
            <w:tcW w:type="dxa" w:w="1661"/>
          </w:tcPr>
          <w:p>
            <w:pPr>
              <w:pStyle w:val="null3"/>
            </w:pPr>
            <w:r>
              <w:rPr>
                <w:rFonts w:ascii="仿宋_GB2312" w:hAnsi="仿宋_GB2312" w:cs="仿宋_GB2312" w:eastAsia="仿宋_GB2312"/>
              </w:rPr>
              <w:t>14.技术证明材料.docx 开标一览表 12.商务条款偏离表.docx 15.投标方案或技术方案-2包.docx 中小企业声明函 8.投标保证金支付凭证或保函.docx 16.业绩一览表.docx 13.技术偏离表.docx 10.特定资格证明文件.docx 11.投标分项报价表-2包.docx 投标函 残疾人福利性单位声明函 标的清单 投标文件封面 9.汉中市政府采购供应商资格承诺函.docx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 、环境标志产品</w:t>
            </w:r>
          </w:p>
        </w:tc>
        <w:tc>
          <w:tcPr>
            <w:tcW w:type="dxa" w:w="2492"/>
          </w:tcPr>
          <w:p>
            <w:pPr>
              <w:pStyle w:val="null3"/>
            </w:pPr>
            <w:r>
              <w:rPr>
                <w:rFonts w:ascii="仿宋_GB2312" w:hAnsi="仿宋_GB2312" w:cs="仿宋_GB2312" w:eastAsia="仿宋_GB2312"/>
              </w:rPr>
              <w:t>投标⼈所投产品属于节能产品、环境标志产品优先采购范围（除政府强制采购的节能产品外）：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注：节能产品、环境标志产品优先采购范围以品⽬清单为准。财政部、发展改⾰委、⽣态环境部等部⻔根据产品节能环保性 能、技术⽔平和市场成熟程度等因素，确定实施政府优先采购和强制采购的产品类别及所依据的相关标准规范，以品⽬清单的形式发布并适时调整。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11.投标分项报价表-1包.docx</w:t>
            </w:r>
          </w:p>
        </w:tc>
      </w:tr>
      <w:tr>
        <w:tc>
          <w:tcPr>
            <w:tcW w:type="dxa" w:w="831"/>
            <w:vMerge/>
          </w:tcP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技术参数与性能指标完全满⾜招标文件要求得24分，“▲”号技术指标参数⼀项不满⾜扣2分，⼀般技术指标参数⼀项不满⾜扣1分，扣完为⽌。 评审依据：供应商应对技术参数与性能指标要求内容在技术偏离表逐条响应。 技术参数指标要求提供相关技术⽀持资料的，应提供技术⽀持资料并在技术偏离表“说明”栏中标明技术⽀持资料⻚码，⽆技术材料⽀持视为负偏离。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提供2023年1⽉1⽇⾄投标截⽌时间（以合同签订时间为准）投标人具有的类似信息化相关业绩，每提供⼀个业绩得2分，满分2分。 评审依据：以加盖公章的业绩合同复印件为准，合同⾄少需包含合同⾸⻚、产品⻚、签章⻚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vMerge/>
          </w:tcPr>
          <w:p/>
        </w:tc>
        <w:tc>
          <w:tcPr>
            <w:tcW w:type="dxa" w:w="1661"/>
          </w:tcPr>
          <w:p>
            <w:pPr>
              <w:pStyle w:val="null3"/>
            </w:pPr>
            <w:r>
              <w:rPr>
                <w:rFonts w:ascii="仿宋_GB2312" w:hAnsi="仿宋_GB2312" w:cs="仿宋_GB2312" w:eastAsia="仿宋_GB2312"/>
              </w:rPr>
              <w:t>服务可靠性评审</w:t>
            </w:r>
          </w:p>
        </w:tc>
        <w:tc>
          <w:tcPr>
            <w:tcW w:type="dxa" w:w="2492"/>
          </w:tcPr>
          <w:p>
            <w:pPr>
              <w:pStyle w:val="null3"/>
            </w:pPr>
            <w:r>
              <w:rPr>
                <w:rFonts w:ascii="仿宋_GB2312" w:hAnsi="仿宋_GB2312" w:cs="仿宋_GB2312" w:eastAsia="仿宋_GB2312"/>
              </w:rPr>
              <w:t>①投标人或系统制造厂家通过ISO27001、ISO20000管理体系认证的，每提供1个得1分，共2分。 ②投标人或系统制造厂家通过CMMI4级及以上得2分。 ③投标人或系统制造厂家具有信息技术服务运行维护标准符合性证书（ITSS）二级及以上的（一级最高），得2分。 ④投标人或系统制造厂家通过信息系统建设和服务能力评估体系能力要求认证，能力达到良好级（CS2）及以上的（CS5级最高），得1分。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15.投标方案或技术方案-1包.docx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⼀、评审内容：提供完整可⾏有针对性的实施⽅案，包含：①供货⽅案、②安装调试⽅案、③升级改造及数据迁移方案、④技术⽀持⽅案、⑤质量保证措施、⑥验收⽅案。 ⼆、评审标准：每项内容完整可⾏且有针对性得3分，缺漏项不得分，满分18分；每项内容中每有⼀处有缺陷扣1分，扣完为⽌。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15.投标方案或技术方案-1包.docx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⼀、评审内容：提供完整可⾏有针对性的售后服务⽅案，包含：①售后服务范围及保障措施、②日常维护、巡检保障方案、③应急保障⽅案、④培训⽅案、⑤故障处理及补救措施、⑥备品配件服务承诺。 ⼆、评审标准：每项内容完整可⾏且有针对性得3分，缺漏项不得分，满分18分；每项内容中每有⼀处有缺陷扣1分，扣完为⽌。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评标委员会应当要求相关供应商在评审现场合理的时间内对投标价格作出解释，提供项⽬具体成本测算等与报价合理性相关的书⾯说明及必要的证明材料，包括但不限于原材料成本、⼈⼯成本、制造费⽤等，给予相关供应商的合理时间⼀般不少于30分钟。评标委员会依据专业经验，参考同类项⽬中标（成交）价格、类似产品市场价格⽔平、⾏业⼈⼯费⽤标准、国家有关部⻔指导⾏业协会发布的⾏业平均成本等情况，对报价合理性进⾏判断。⼆、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满⾜招标⽂件要求且投标价格最低的投标报价为评标基准价，其价格分为满分。其他投标⼈的价格分统⼀按照下列公式计算：投标报价得分=（评标基准价/投标报价）×30。 （⼩微企业、监狱企业或残疾⼈福利性单位⽤投标报价扣除后的价格参加评审。专⻔⾯向中⼩企业采购的项⽬不进⾏价格扣除。）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 、环境标志产品</w:t>
            </w:r>
          </w:p>
        </w:tc>
        <w:tc>
          <w:tcPr>
            <w:tcW w:type="dxa" w:w="2492"/>
          </w:tcPr>
          <w:p>
            <w:pPr>
              <w:pStyle w:val="null3"/>
            </w:pPr>
            <w:r>
              <w:rPr>
                <w:rFonts w:ascii="仿宋_GB2312" w:hAnsi="仿宋_GB2312" w:cs="仿宋_GB2312" w:eastAsia="仿宋_GB2312"/>
              </w:rPr>
              <w:t>投标⼈所投产品属于节能产品、环境标志产品优先采购范围（除政府强制采购的节能产品外）：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注：节能产品、环境标志产品优先采购范围以品⽬清单为准。财政部、发展改⾰委、⽣态环境部等部⻔根据产品节能环保性 能、技术⽔平和市场成熟程度等因素，确定实施政府优先采购和强制采购的产品类别及所依据的相关标准规范，以品⽬清单的形式发布并适时调整。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11.投标分项报价表-2包.docx</w:t>
            </w:r>
          </w:p>
        </w:tc>
      </w:tr>
      <w:tr>
        <w:tc>
          <w:tcPr>
            <w:tcW w:type="dxa" w:w="831"/>
            <w:vMerge/>
          </w:tcP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技术参数与性能指标完全满⾜招标文件要求得24分。 “▲”技术指标参数⼀项不满⾜扣1分，⼀般技术指标参数⼀项不满⾜扣0.5分，扣完为⽌。 评审依据：供应商应对技术参数与性能指标要求内容在技术偏离表逐条响应。其中“▲”技术指标参数需提供佐证材料（包括不限于产品彩⻚、说明书、测试报告、检验报告、官⽹或功能截图等），并在技术偏离表“说明”栏中标明证明材料的⻚码，⽆技术材料⽀持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提供2023年1⽉1⽇⾄投标截⽌时间（以合同签订时间为准）本次服务所投软件业绩，每提供⼀个业绩得1分，满分4分。 评审依据：以加盖公章的业绩合同复印件为准，合同⾄少需包含合同⾸⻚、产品⻚、签章⻚。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vMerge/>
          </w:tcPr>
          <w:p/>
        </w:tc>
        <w:tc>
          <w:tcPr>
            <w:tcW w:type="dxa" w:w="1661"/>
          </w:tcPr>
          <w:p>
            <w:pPr>
              <w:pStyle w:val="null3"/>
            </w:pPr>
            <w:r>
              <w:rPr>
                <w:rFonts w:ascii="仿宋_GB2312" w:hAnsi="仿宋_GB2312" w:cs="仿宋_GB2312" w:eastAsia="仿宋_GB2312"/>
              </w:rPr>
              <w:t>产品兼容性</w:t>
            </w:r>
          </w:p>
        </w:tc>
        <w:tc>
          <w:tcPr>
            <w:tcW w:type="dxa" w:w="2492"/>
          </w:tcPr>
          <w:p>
            <w:pPr>
              <w:pStyle w:val="null3"/>
            </w:pPr>
            <w:r>
              <w:rPr>
                <w:rFonts w:ascii="仿宋_GB2312" w:hAnsi="仿宋_GB2312" w:cs="仿宋_GB2312" w:eastAsia="仿宋_GB2312"/>
              </w:rPr>
              <w:t>要求能够采集以下品牌的医疗设备数据：①GE、②德尔格、③飞利浦、④光电、⑤金科威、⑥科曼、⑦理邦、⑧宝莱特、⑨迈瑞、⑩欧美达。每满足1个得0.5分，满分5分。 注：要求提供投标人或系统制造厂家的以上品牌设备型号在其他医院正常接入的应用证明材料。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或者制造商提供包含①床位管理、②患者信息、③医嘱管理、④管路管理、⑤皮肤管理功能的第三方检测报告扫描件（检测报告的实现功能关键字描述可以不一样，但功能描述必须满足本次招标要求。检测报告需具有CMA标识）功能每满足一项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服务可靠性评审</w:t>
            </w:r>
          </w:p>
        </w:tc>
        <w:tc>
          <w:tcPr>
            <w:tcW w:type="dxa" w:w="2492"/>
          </w:tcPr>
          <w:p>
            <w:pPr>
              <w:pStyle w:val="null3"/>
            </w:pPr>
            <w:r>
              <w:rPr>
                <w:rFonts w:ascii="仿宋_GB2312" w:hAnsi="仿宋_GB2312" w:cs="仿宋_GB2312" w:eastAsia="仿宋_GB2312"/>
              </w:rPr>
              <w:t>①投标人或系统制造厂家通过ISO27001、ISO20000管理体系认证的，每提供1个得1分，共2分。 ②投标人或系统制造厂家通过CMMI4级及以上得2分。 ③投标人或系统制造厂家具有信息技术服务运行维护标准符合性证书（ITSS）二级及以上的（一级最高），得2分。 ④投标人或系统制造厂家通过信息系统建设和服务能力评估体系能力要求认证，能力达到良好级（CS2）及以上的（CS5级最高），得1分。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项⽬团队配备</w:t>
            </w:r>
          </w:p>
        </w:tc>
        <w:tc>
          <w:tcPr>
            <w:tcW w:type="dxa" w:w="2492"/>
          </w:tcPr>
          <w:p>
            <w:pPr>
              <w:pStyle w:val="null3"/>
            </w:pPr>
            <w:r>
              <w:rPr>
                <w:rFonts w:ascii="仿宋_GB2312" w:hAnsi="仿宋_GB2312" w:cs="仿宋_GB2312" w:eastAsia="仿宋_GB2312"/>
              </w:rPr>
              <w:t>投标人或系统制造商拟为项目配备的人员： 1、项目经理具有信息系统项目管理师证书的，得1分。 2、项目成员（除项目经理外）具有软件设计师、系统集成项目管理工程师、信息系统项目管理师、PMP证书的，每人1分，共4分。 注：投标文件中同时提供下列证明材料：人员清单及证书扫描件（同一人员不同证书按一个计算）。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软件技术服务⽅案</w:t>
            </w:r>
          </w:p>
        </w:tc>
        <w:tc>
          <w:tcPr>
            <w:tcW w:type="dxa" w:w="2492"/>
          </w:tcPr>
          <w:p>
            <w:pPr>
              <w:pStyle w:val="null3"/>
            </w:pPr>
            <w:r>
              <w:rPr>
                <w:rFonts w:ascii="仿宋_GB2312" w:hAnsi="仿宋_GB2312" w:cs="仿宋_GB2312" w:eastAsia="仿宋_GB2312"/>
              </w:rPr>
              <w:t>⼀、评审内容：提供完整可⾏有针对性的软件技术服务⽅案，包含：①技术架构、②数据安全、③互联互通、④可扩展性、⑤实施运维。 ⼆、评审标准：每项内容完整可⾏且有针对性得3分，缺漏项不得分，满分15分；每项内容中每有⼀处有缺陷扣1分，扣完为⽌。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 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⼀、评审内容：提供完整可⾏有针对性的实施⽅案，包含：①安装调试⽅案、②技术⽀持⽅案、③服务质量保证措施、④验收⽅案。 ⼆、评审标准：每项内容完整可⾏且有针对性得3分，缺漏项不得分，满分12分；每项内容中每有⼀处有缺陷扣1分，扣完为⽌。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15.投标方案或技术方案-2包.docx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 ⼆、评审标准：每项内容完整可⾏且有针对性得3分，缺漏项不得分，满分12分；每项内容中每有⼀处有缺陷扣1分，扣完为⽌。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15.投标方案或技术方案-2包.docx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评标委员会应当要求相关供应商在评审现场合理的时间内对投标价格作出解释，提供项⽬具体成本测算等与报价合理性相关的书⾯说明及必要的证明材料，包括但不限于原材料成本、⼈⼯成本、制造费⽤等，给予相关供应商的合理时间⼀般不少于30分钟。评标委员会依据专业经验，参考同类项⽬中标（成交）价格、类似产品市场价格⽔平、⾏业⼈⼯费⽤标准、国家有关部⻔指导⾏业协会发布的⾏业平均成本等情况，对报价合理性进⾏判断。 ⼆、投标⼈提交的相关说明和证明材料，应当加盖投标⼈（法定名称）电⼦印章，在评标委员会要求的时间内通过项⽬电⼦化交易系统进⾏提交，否则提交的相关证明材料⽆效。投标供应商不能提供书⾯说明、证明材料，或者提供的书⾯说明、证明材料不能证明其报价合理性的，评标委员会应当将其作为⽆效投标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满⾜招标⽂件要求且投标价格最低的投标报价为评标基准价，其价格分为满分。其他投标⼈的价格分统⼀按照下列公式计算：投标报价得分=（评标基准价/投标报价）×10。 （⼩微企业、监狱企业或残疾⼈福利性单位⽤投标报价扣除后的价格参加评审。专⻔⾯向中⼩企业采购的项⽬不进⾏价格扣除。）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详见附件：8.投标保证金支付凭证或保函.docx</w:t>
      </w:r>
    </w:p>
    <w:p>
      <w:pPr>
        <w:pStyle w:val="null3"/>
        <w:ind w:firstLine="960"/>
      </w:pPr>
      <w:r>
        <w:rPr>
          <w:rFonts w:ascii="仿宋_GB2312" w:hAnsi="仿宋_GB2312" w:cs="仿宋_GB2312" w:eastAsia="仿宋_GB2312"/>
        </w:rPr>
        <w:t>详见附件：9.汉中市政府采购供应商资格承诺函.docx</w:t>
      </w:r>
    </w:p>
    <w:p>
      <w:pPr>
        <w:pStyle w:val="null3"/>
        <w:ind w:firstLine="960"/>
      </w:pPr>
      <w:r>
        <w:rPr>
          <w:rFonts w:ascii="仿宋_GB2312" w:hAnsi="仿宋_GB2312" w:cs="仿宋_GB2312" w:eastAsia="仿宋_GB2312"/>
        </w:rPr>
        <w:t>详见附件：10.特定资格证明文件.docx</w:t>
      </w:r>
    </w:p>
    <w:p>
      <w:pPr>
        <w:pStyle w:val="null3"/>
        <w:ind w:firstLine="960"/>
      </w:pPr>
      <w:r>
        <w:rPr>
          <w:rFonts w:ascii="仿宋_GB2312" w:hAnsi="仿宋_GB2312" w:cs="仿宋_GB2312" w:eastAsia="仿宋_GB2312"/>
        </w:rPr>
        <w:t>详见附件：11.投标分项报价表-1包.docx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详见附件：15.投标方案或技术方案-1包.docx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详见附件：8.投标保证金支付凭证或保函.docx</w:t>
      </w:r>
    </w:p>
    <w:p>
      <w:pPr>
        <w:pStyle w:val="null3"/>
        <w:ind w:firstLine="960"/>
      </w:pPr>
      <w:r>
        <w:rPr>
          <w:rFonts w:ascii="仿宋_GB2312" w:hAnsi="仿宋_GB2312" w:cs="仿宋_GB2312" w:eastAsia="仿宋_GB2312"/>
        </w:rPr>
        <w:t>详见附件：9.汉中市政府采购供应商资格承诺函.docx</w:t>
      </w:r>
    </w:p>
    <w:p>
      <w:pPr>
        <w:pStyle w:val="null3"/>
        <w:ind w:firstLine="960"/>
      </w:pPr>
      <w:r>
        <w:rPr>
          <w:rFonts w:ascii="仿宋_GB2312" w:hAnsi="仿宋_GB2312" w:cs="仿宋_GB2312" w:eastAsia="仿宋_GB2312"/>
        </w:rPr>
        <w:t>详见附件：10.特定资格证明文件.docx</w:t>
      </w:r>
    </w:p>
    <w:p>
      <w:pPr>
        <w:pStyle w:val="null3"/>
        <w:ind w:firstLine="960"/>
      </w:pPr>
      <w:r>
        <w:rPr>
          <w:rFonts w:ascii="仿宋_GB2312" w:hAnsi="仿宋_GB2312" w:cs="仿宋_GB2312" w:eastAsia="仿宋_GB2312"/>
        </w:rPr>
        <w:t>详见附件：11.投标分项报价表-2包.docx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详见附件：15.投标方案或技术方案-2包.docx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