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版本号：SCZD2026-CS-1220-00120260531001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全省职工跳绳比赛服务项目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SCZD2026-CS-1220-001</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全省职工跳绳比赛服务项目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SCZD2026-CS-1220-001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全省职工跳绳比赛服务项目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供全省职工跳绳比赛服务，通过体育运动激励广大职工涵养健康生活方式，增强职工凝聚力，凝聚奋进新征程的磅礴力量。采购内容包括：1）比赛实施方案的撰写，包括前期筹备、比赛策划、安保、应急预案等。2）比赛全过程的执行，参赛队信息整理、比赛流程设计，会场布置及服证书制作等。3）现场图片、视频直播、信息监测等。4）活动保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采购包1（全省职工跳绳比赛服务）：属于专门面向小微企业采购。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p>
      <w:pPr>
        <w:pStyle w:val="null3"/>
      </w:pPr>
      <w:r>
        <w:rPr>
          <w:rFonts w:ascii="仿宋_GB2312" w:hAnsi="仿宋_GB2312" w:cs="仿宋_GB2312" w:eastAsia="仿宋_GB2312"/>
        </w:rPr>
        <w:t>2、参与磋商代表：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陕西省总工会经办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银行账号：102862459834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代理服务费收费标准：按国家计委颁布的《招标代理服务收费管理暂行办法》（计价格[2002]1980号）及发改办价格[2003]857号文件计取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全省职工跳绳比赛服务，通过体育运动激励广大职工涵养健康生活方式，增强职工凝聚力，凝聚奋进新征程的磅礴力量。采购内容包括：1）比赛实施方案的撰写，包括前期筹备、比赛策划、安保、应急预案等。2）比赛全过程的执行，参赛队信息整理、比赛流程设计，会场布置及服证书制作等。3）现场图片、视频直播、信息监测等。4）活动保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全省职工跳绳比赛服务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标的名称：全省职工跳绳比赛服务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after="195"/>
            </w:pPr>
            <w:r>
              <w:rPr>
                <w:rFonts w:ascii="仿宋_GB2312" w:hAnsi="仿宋_GB2312" w:cs="仿宋_GB2312" w:eastAsia="仿宋_GB2312"/>
                <w:sz w:val="24"/>
              </w:rPr>
              <w:t>1.比赛时间2—3天。</w:t>
            </w:r>
          </w:p>
          <w:p>
            <w:pPr>
              <w:pStyle w:val="null3"/>
              <w:spacing w:after="195"/>
            </w:pPr>
            <w:r>
              <w:rPr>
                <w:rFonts w:ascii="仿宋_GB2312" w:hAnsi="仿宋_GB2312" w:cs="仿宋_GB2312" w:eastAsia="仿宋_GB2312"/>
                <w:sz w:val="24"/>
              </w:rPr>
              <w:t>2.提供面积在1000平米以上的室内场馆，木地板。</w:t>
            </w:r>
          </w:p>
          <w:p>
            <w:pPr>
              <w:pStyle w:val="null3"/>
              <w:spacing w:after="195"/>
            </w:pPr>
            <w:r>
              <w:rPr>
                <w:rFonts w:ascii="仿宋_GB2312" w:hAnsi="仿宋_GB2312" w:cs="仿宋_GB2312" w:eastAsia="仿宋_GB2312"/>
                <w:sz w:val="24"/>
              </w:rPr>
              <w:t>3.场馆内有会议室、更衣室等基本配套房间。</w:t>
            </w:r>
          </w:p>
          <w:p>
            <w:pPr>
              <w:pStyle w:val="null3"/>
              <w:spacing w:after="195"/>
            </w:pPr>
            <w:r>
              <w:rPr>
                <w:rFonts w:ascii="仿宋_GB2312" w:hAnsi="仿宋_GB2312" w:cs="仿宋_GB2312" w:eastAsia="仿宋_GB2312"/>
                <w:sz w:val="24"/>
              </w:rPr>
              <w:t>4.配备比赛需要的音响、灯光、大屏等设备。</w:t>
            </w:r>
          </w:p>
          <w:p>
            <w:pPr>
              <w:pStyle w:val="null3"/>
              <w:spacing w:after="195"/>
            </w:pPr>
            <w:r>
              <w:rPr>
                <w:rFonts w:ascii="仿宋_GB2312" w:hAnsi="仿宋_GB2312" w:cs="仿宋_GB2312" w:eastAsia="仿宋_GB2312"/>
                <w:sz w:val="24"/>
              </w:rPr>
              <w:t>5.比赛现场的器材、计分系统、会场布置、胸牌、秩序册、证书奖杯等。</w:t>
            </w:r>
          </w:p>
          <w:p>
            <w:pPr>
              <w:pStyle w:val="null3"/>
              <w:spacing w:after="195"/>
            </w:pPr>
            <w:r>
              <w:rPr>
                <w:rFonts w:ascii="仿宋_GB2312" w:hAnsi="仿宋_GB2312" w:cs="仿宋_GB2312" w:eastAsia="仿宋_GB2312"/>
                <w:sz w:val="24"/>
              </w:rPr>
              <w:t>6.有专业的策划团队，熟悉比赛相关流程，保证赛事有序、顺利进行。</w:t>
            </w:r>
          </w:p>
          <w:p>
            <w:pPr>
              <w:pStyle w:val="null3"/>
              <w:spacing w:after="195"/>
            </w:pPr>
            <w:r>
              <w:rPr>
                <w:rFonts w:ascii="仿宋_GB2312" w:hAnsi="仿宋_GB2312" w:cs="仿宋_GB2312" w:eastAsia="仿宋_GB2312"/>
                <w:sz w:val="24"/>
              </w:rPr>
              <w:t>7.有专业的裁判团队，保证赛事的专业性及公平公正。</w:t>
            </w:r>
          </w:p>
          <w:p>
            <w:pPr>
              <w:pStyle w:val="null3"/>
              <w:spacing w:after="195"/>
            </w:pPr>
            <w:r>
              <w:rPr>
                <w:rFonts w:ascii="仿宋_GB2312" w:hAnsi="仿宋_GB2312" w:cs="仿宋_GB2312" w:eastAsia="仿宋_GB2312"/>
                <w:sz w:val="24"/>
              </w:rPr>
              <w:t>8.后勤保障，工作餐、饮用水、办公用品等</w:t>
            </w:r>
          </w:p>
          <w:p>
            <w:pPr>
              <w:pStyle w:val="null3"/>
              <w:spacing w:after="195"/>
            </w:pPr>
            <w:r>
              <w:rPr>
                <w:rFonts w:ascii="仿宋_GB2312" w:hAnsi="仿宋_GB2312" w:cs="仿宋_GB2312" w:eastAsia="仿宋_GB2312"/>
                <w:sz w:val="24"/>
              </w:rPr>
              <w:t>9.医疗保障，需配备必备的药品和急救人员</w:t>
            </w:r>
          </w:p>
          <w:p>
            <w:pPr>
              <w:pStyle w:val="null3"/>
              <w:spacing w:after="195"/>
            </w:pPr>
            <w:r>
              <w:rPr>
                <w:rFonts w:ascii="仿宋_GB2312" w:hAnsi="仿宋_GB2312" w:cs="仿宋_GB2312" w:eastAsia="仿宋_GB2312"/>
                <w:sz w:val="24"/>
              </w:rPr>
              <w:t>10.安全保障，比赛时需配备安保人员</w:t>
            </w:r>
          </w:p>
          <w:p>
            <w:pPr>
              <w:pStyle w:val="null3"/>
              <w:spacing w:after="195"/>
            </w:pPr>
            <w:r>
              <w:rPr>
                <w:rFonts w:ascii="仿宋_GB2312" w:hAnsi="仿宋_GB2312" w:cs="仿宋_GB2312" w:eastAsia="仿宋_GB2312"/>
                <w:sz w:val="24"/>
              </w:rPr>
              <w:t>11.比赛时的图片拍摄、短视频制作等。</w:t>
            </w:r>
          </w:p>
          <w:p>
            <w:pPr>
              <w:pStyle w:val="null3"/>
              <w:spacing w:after="195"/>
            </w:pPr>
            <w:r>
              <w:rPr>
                <w:rFonts w:ascii="仿宋_GB2312" w:hAnsi="仿宋_GB2312" w:cs="仿宋_GB2312" w:eastAsia="仿宋_GB2312"/>
                <w:sz w:val="24"/>
              </w:rPr>
              <w:t>附件：</w:t>
            </w:r>
            <w:r>
              <w:rPr>
                <w:rFonts w:ascii="仿宋_GB2312" w:hAnsi="仿宋_GB2312" w:cs="仿宋_GB2312" w:eastAsia="仿宋_GB2312"/>
                <w:sz w:val="24"/>
              </w:rPr>
              <w:t>跳绳比赛场地器材（人员）清单</w:t>
            </w:r>
          </w:p>
          <w:tbl>
            <w:tblPr>
              <w:tblBorders>
                <w:top w:val="none" w:color="000000" w:sz="4"/>
                <w:left w:val="none" w:color="000000" w:sz="4"/>
                <w:bottom w:val="none" w:color="000000" w:sz="4"/>
                <w:right w:val="none" w:color="000000" w:sz="4"/>
                <w:insideH w:val="none"/>
                <w:insideV w:val="none"/>
              </w:tblBorders>
            </w:tblPr>
            <w:tblGrid>
              <w:gridCol w:w="200"/>
              <w:gridCol w:w="936"/>
              <w:gridCol w:w="312"/>
              <w:gridCol w:w="167"/>
              <w:gridCol w:w="327"/>
              <w:gridCol w:w="605"/>
            </w:tblGrid>
            <w:tr>
              <w:tc>
                <w:tcPr>
                  <w:tcW w:type="dxa" w:w="2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序号</w:t>
                  </w:r>
                </w:p>
              </w:tc>
              <w:tc>
                <w:tcPr>
                  <w:tcW w:type="dxa" w:w="9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内容</w:t>
                  </w:r>
                </w:p>
              </w:tc>
              <w:tc>
                <w:tcPr>
                  <w:tcW w:type="dxa" w:w="3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w:t>
                  </w:r>
                </w:p>
              </w:tc>
              <w:tc>
                <w:tcPr>
                  <w:tcW w:type="dxa" w:w="1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单位</w:t>
                  </w:r>
                </w:p>
              </w:tc>
              <w:tc>
                <w:tcPr>
                  <w:tcW w:type="dxa" w:w="3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来源</w:t>
                  </w:r>
                </w:p>
              </w:tc>
              <w:tc>
                <w:tcPr>
                  <w:tcW w:type="dxa" w:w="6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备注</w:t>
                  </w:r>
                </w:p>
              </w:tc>
            </w:tr>
            <w:tr>
              <w:tc>
                <w:tcPr>
                  <w:tcW w:type="dxa" w:w="2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竞速比赛用智能系统</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套</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租用或购买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全国赛</w:t>
                  </w:r>
                  <w:r>
                    <w:rPr>
                      <w:rFonts w:ascii="仿宋_GB2312" w:hAnsi="仿宋_GB2312" w:cs="仿宋_GB2312" w:eastAsia="仿宋_GB2312"/>
                      <w:sz w:val="22"/>
                    </w:rPr>
                    <w:t>loop 智能系统</w:t>
                  </w: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比赛用白胶绳</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18</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比赛专用绳</w:t>
                  </w: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比赛用竹节绳</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18</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比赛专用绳</w:t>
                  </w: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比赛用</w:t>
                  </w:r>
                  <w:r>
                    <w:rPr>
                      <w:rFonts w:ascii="仿宋_GB2312" w:hAnsi="仿宋_GB2312" w:cs="仿宋_GB2312" w:eastAsia="仿宋_GB2312"/>
                      <w:sz w:val="22"/>
                    </w:rPr>
                    <w:t>10 人长绳“8 ”字跳珠节绳</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9</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比赛专用绳</w:t>
                  </w: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比赛用</w:t>
                  </w:r>
                  <w:r>
                    <w:rPr>
                      <w:rFonts w:ascii="仿宋_GB2312" w:hAnsi="仿宋_GB2312" w:cs="仿宋_GB2312" w:eastAsia="仿宋_GB2312"/>
                      <w:sz w:val="22"/>
                    </w:rPr>
                    <w:t>10 人长绳集体跳10 米白胶绳</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9</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比赛专用绳</w:t>
                  </w:r>
                </w:p>
              </w:tc>
            </w:tr>
            <w:tr>
              <w:tc>
                <w:tcPr>
                  <w:tcW w:type="dxa" w:w="20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比赛双人桌</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张</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比赛椅子</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24</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把</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电源能到达外场比赛区域的电线</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套</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多孔电源插板</w:t>
                  </w: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0.5 签字笔</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30</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裁判用笔</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1.0 签字笔</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10</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记录及证书用笔</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记号笔（不同颜色）</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5</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赛后和记录用笔</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纸张小夹子</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盒</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记录使用</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透明档案袋</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50</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记录使用</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计数赛表格</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500</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张</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购买或打印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执场裁判使用</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手动计数器</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15</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执场裁判使用</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手写夹板</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20</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执场裁判使用</w:t>
                  </w:r>
                </w:p>
              </w:tc>
            </w:tr>
            <w:tr>
              <w:tc>
                <w:tcPr>
                  <w:tcW w:type="dxa" w:w="2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5</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秒表</w:t>
                  </w:r>
                  <w:r>
                    <w:rPr>
                      <w:rFonts w:ascii="仿宋_GB2312" w:hAnsi="仿宋_GB2312" w:cs="仿宋_GB2312" w:eastAsia="仿宋_GB2312"/>
                      <w:sz w:val="22"/>
                    </w:rPr>
                    <w:t>2 块</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块</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哨子</w:t>
                  </w:r>
                  <w:r>
                    <w:rPr>
                      <w:rFonts w:ascii="仿宋_GB2312" w:hAnsi="仿宋_GB2312" w:cs="仿宋_GB2312" w:eastAsia="仿宋_GB2312"/>
                      <w:sz w:val="22"/>
                    </w:rPr>
                    <w:t>2 个</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红色、绿色小旗</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 厘米宽的胶带（背网）</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200</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米</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与地面颜色有明显区别</w:t>
                  </w: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30 米卷尺</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卷</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剪刀</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把</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裁纸刀</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把</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钳子</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把</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调整钢丝绳体用</w:t>
                  </w:r>
                </w:p>
              </w:tc>
            </w:tr>
            <w:tr>
              <w:tc>
                <w:tcPr>
                  <w:tcW w:type="dxa" w:w="20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6</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电脑</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3</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台</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记录</w:t>
                  </w:r>
                  <w:r>
                    <w:rPr>
                      <w:rFonts w:ascii="仿宋_GB2312" w:hAnsi="仿宋_GB2312" w:cs="仿宋_GB2312" w:eastAsia="仿宋_GB2312"/>
                      <w:sz w:val="22"/>
                    </w:rPr>
                    <w:t>2、放音 1</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音响</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1</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套</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打印机</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台</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购买或租用</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7</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裁判员及工作人员胸牌</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45</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裁判长、副裁判长、竞</w:t>
                  </w:r>
                </w:p>
                <w:p>
                  <w:pPr>
                    <w:pStyle w:val="null3"/>
                    <w:spacing w:after="195"/>
                    <w:jc w:val="center"/>
                  </w:pPr>
                  <w:r>
                    <w:rPr>
                      <w:rFonts w:ascii="仿宋_GB2312" w:hAnsi="仿宋_GB2312" w:cs="仿宋_GB2312" w:eastAsia="仿宋_GB2312"/>
                      <w:sz w:val="22"/>
                    </w:rPr>
                    <w:t>赛长、裁判（</w:t>
                  </w:r>
                  <w:r>
                    <w:rPr>
                      <w:rFonts w:ascii="仿宋_GB2312" w:hAnsi="仿宋_GB2312" w:cs="仿宋_GB2312" w:eastAsia="仿宋_GB2312"/>
                      <w:sz w:val="22"/>
                    </w:rPr>
                    <w:t>25 名）、</w:t>
                  </w:r>
                </w:p>
                <w:p>
                  <w:pPr>
                    <w:pStyle w:val="null3"/>
                    <w:spacing w:after="195"/>
                    <w:jc w:val="center"/>
                  </w:pPr>
                  <w:r>
                    <w:rPr>
                      <w:rFonts w:ascii="仿宋_GB2312" w:hAnsi="仿宋_GB2312" w:cs="仿宋_GB2312" w:eastAsia="仿宋_GB2312"/>
                      <w:sz w:val="22"/>
                    </w:rPr>
                    <w:t>工作人员</w:t>
                  </w:r>
                  <w:r>
                    <w:rPr>
                      <w:rFonts w:ascii="仿宋_GB2312" w:hAnsi="仿宋_GB2312" w:cs="仿宋_GB2312" w:eastAsia="仿宋_GB2312"/>
                      <w:sz w:val="22"/>
                    </w:rPr>
                    <w:t>20 名</w:t>
                  </w: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裁判服装</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25</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non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裁判白色帽子</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25</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购买</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8</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A 字板（隔离区备用）</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数量以实际需求为准</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订购</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易拉宝比赛区域（检录</w:t>
                  </w:r>
                  <w:r>
                    <w:rPr>
                      <w:rFonts w:ascii="仿宋_GB2312" w:hAnsi="仿宋_GB2312" w:cs="仿宋_GB2312" w:eastAsia="仿宋_GB2312"/>
                      <w:sz w:val="22"/>
                    </w:rPr>
                    <w:t xml:space="preserve">    </w:t>
                  </w:r>
                  <w:r>
                    <w:rPr>
                      <w:rFonts w:ascii="仿宋_GB2312" w:hAnsi="仿宋_GB2312" w:cs="仿宋_GB2312" w:eastAsia="仿宋_GB2312"/>
                      <w:sz w:val="22"/>
                    </w:rPr>
                    <w:t>区、热身区、准备区、比赛区、记录处、成绩公告处、领奖处）</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数量以实际需求为准</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订购</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易拉宝宣传（跳绳简介、竞赛规则、比赛顺序）</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数量以实际需求为准</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订购</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刀旗宣传（赛事名称）</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数量以实际需求为准</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订购</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vMerge/>
                  <w:tcBorders>
                    <w:top w:val="none" w:color="000000" w:sz="4"/>
                    <w:left w:val="single" w:color="000000" w:sz="4"/>
                    <w:bottom w:val="single" w:color="000000" w:sz="4"/>
                    <w:right w:val="single" w:color="000000" w:sz="4"/>
                  </w:tcBorders>
                </w:tcP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水柱及刀旗杆</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数量以实际需求为准</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个</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订购</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p>
              </w:tc>
            </w:tr>
            <w:tr>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9</w:t>
                  </w:r>
                </w:p>
              </w:tc>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获奖证书</w:t>
                  </w:r>
                </w:p>
              </w:tc>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数量以实际需求为准</w:t>
                  </w:r>
                </w:p>
              </w:tc>
              <w:tc>
                <w:tcPr>
                  <w:tcW w:type="dxa" w:w="1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张</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订购</w:t>
                  </w:r>
                </w:p>
              </w:tc>
              <w:tc>
                <w:tcPr>
                  <w:tcW w:type="dxa" w:w="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22"/>
                    </w:rPr>
                    <w:t>根据项目及奖励办法</w:t>
                  </w:r>
                </w:p>
                <w:p>
                  <w:pPr>
                    <w:pStyle w:val="null3"/>
                    <w:spacing w:after="195"/>
                    <w:jc w:val="center"/>
                  </w:pPr>
                  <w:r>
                    <w:rPr>
                      <w:rFonts w:ascii="仿宋_GB2312" w:hAnsi="仿宋_GB2312" w:cs="仿宋_GB2312" w:eastAsia="仿宋_GB2312"/>
                      <w:sz w:val="22"/>
                    </w:rPr>
                    <w:t>计算</w:t>
                  </w:r>
                </w:p>
              </w:tc>
            </w:tr>
          </w:tbl>
          <w:p>
            <w:pPr>
              <w:pStyle w:val="null3"/>
              <w:spacing w:after="195"/>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裁判组人员25 名(包括裁判长、副裁判长、竞赛长、裁判)。工作人员20名，满足比赛全过程，有一定数量的医务工作者。</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1、硬件设备要求 提供比赛场地，室内木地板，预计约 2 个篮球场大小即可满足跳绳比赛要求，现场通风环境优良，配有卫生间、保洁、消杀等。场地2天（含熟悉场地，比赛1天）。 2、现场布置物料及设备类（会议设备租赁） 场地规格满足跳绳比赛要求，提供足够数量的比赛器材（至少包括跳绳和计时表）。 比赛开幕式、闭幕式桁架搭建，音响、灯光设备满足比赛要求。 场馆内外宣传标语8条，指示牌4块，横幅4条。 比赛办公用品（计分系统），参赛队手举牌、横幅、参赛证，秩序册，工作人员胸牌等。 配有紧急救治药品。 后勤保障（保险、饮用水、工作餐、工作人员服装等）。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（1）项目服务单位应在后续签订合同约定的地点、时间，提供项目服务，在要求时间内保质保量完成项目服务，不得拖延，质量符合国家及行业相关标准。 （2）对服务项目涉及的成品原稿（或电子文档）、印刷品、视频音频等知识产权归项目采购单位所有。 （3）项目服务单位应保护项目采购方提供的一切用于活动方案、电子文档 等项目相关资料，按照要求保密，不得向第三方披露，不得擅自提供给任何第三方作任何用途，造成损失的，项目服务单位应当承担相应的一切法律责任。 （4）项目采购单位有权按照服务内容，对项目服务单位提供服务进行检验， 对于提供服务不能满足采购要求的，项目采购单位有权要求项目服务单位依照约定调整服务。 （5）项目服务单位应积极配合做好活动相关、安保工作。 （6）项目服务单位前期搭建期间和活动中安全问题造成的人身、财产损失，由项目服务单位承担全部责任。 （7）服务内容由于不可抗力或政策等原因，项目采购方需求可能发生变化，项目服务单位应根据项目采购方活动举办及宣传引导的需求，适时调整服务项目，完成活动举办。</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 天(含熟悉场地1天，比赛1天)。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符合比赛要求且经采购人确认的室内场馆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进度款，比赛结束后，达到付款条件起30个工作日内，支付合同总金额的100.0%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工程质量或者不能诚信履约的其他情形。相关法律法规对供应商报价有规定的，从其规定。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工程的主营业务成本（应根据供应商企业类型予以区别）、税金及附加、销售费用、管理费用、财务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项目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项目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 2、最终报价平台填报注意事项：分项报价表（最终）盖章扫描件于平台最终报价环节附件处上传。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参与磋商代表</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宣传直播方案.docx 中小企业声明函 项目团队.docx 商务应答表 服务承诺.docx 服务内容及服务要求应答表 应急方案.docx 报价表 资格证明文件.docx 进度保障措施.docx 响应文件封面 分项报价表.docx 残疾人福利性单位声明函 服务方案 标的清单 实施方案.docx 响应函 类似业绩.docx 监狱企业的证明文件 物料清单及物料不足时及时进行物料补做的措施方案.docx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供应商首次磋商报价没有超出对应最高限价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响应内容不存在漏项或数量与要求不符合采购文件规定情形，响应内容满足采购文件的商务、技术等实质性要求，不存在采购档次降低或影响采购服务质量的情形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遵循公平竞争的原则，没有弄虚作假、恶意串通或妨碍其他高压的竞争行为，损害采购人或者其他供应商的合法权益。 1、有下列情形之一的，视为供应商相互串通： （1）不同供应商的响应文件由同一单位或者个人编制； （2）不同供应商委托同一单位或者个人办理参与磋商事宜； （3）不同供应商的响应文件载明的项目管理成员或者联系人员为同一人； （4）不同供应商的响应文件异常一致或者报价呈规律性差异； （5）不同供应商的响应文件相互混装。 2、有下列情形之一的，属于提供虚假材料谋取成交的行为： （1）使用伪造、变造的许可证件； （2）提供虚假的财务状况或者业绩； （3）提供虚假的项目负责人或者主要技术人员简历、劳动关系证明； （4）提供虚假的信用状况； （5）其他弄虚作假的行为。</w:t>
            </w:r>
          </w:p>
        </w:tc>
        <w:tc>
          <w:tcPr>
            <w:tcW w:type="dxa" w:w="1661"/>
          </w:tcPr>
          <w:p>
            <w:pPr>
              <w:pStyle w:val="null3"/>
            </w:pPr>
            <w:r>
              <w:rPr>
                <w:rFonts w:ascii="仿宋_GB2312" w:hAnsi="仿宋_GB2312" w:cs="仿宋_GB2312" w:eastAsia="仿宋_GB2312"/>
              </w:rPr>
              <w:t>宣传直播方案.docx 中小企业声明函 项目团队.docx 商务应答表 服务承诺.docx 服务内容及服务要求应答表 应急方案.docx 报价表 资格证明文件.docx 进度保障措施.docx 响应文件封面 分项报价表.docx 残疾人福利性单位声明函 服务方案 标的清单 实施方案.docx 响应函 类似业绩.docx 监狱企业的证明文件 物料清单及物料不足时及时进行物料补做的措施方案.docx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宣传直播方案.docx 中小企业声明函 项目团队.docx 商务应答表 服务承诺.docx 服务内容及服务要求应答表 应急方案.docx 报价表 资格证明文件.docx 进度保障措施.docx 响应文件封面 分项报价表.docx 残疾人福利性单位声明函 服务方案 标的清单 实施方案.docx 响应函 类似业绩.docx 监狱企业的证明文件 物料清单及物料不足时及时进行物料补做的措施方案.docx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供应商针对本项目提供可行的实施方案及团队进驻此项活动的时间计划表。 方案完整，能够体现活动的主题并充分理解采购需求，保证整个活动的流畅和顺利实施计20分； 方案与项目主题较贴合计15分； 方案考虑欠缺，内容空泛计10分；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供应商提供针对本项目拟派服务团队。团队人员充足，责任划分明确，安排合理。人员配备方案详尽，所配人员满足要求，结构合理、活动从业经验丰富，能够顺利完成工作，组织协调能力突出。 1、满足项目需求，团队及人员分工明确且经验丰富，岗位职责明确清晰，组织协调能力突出，得20分； 2、内容、团队和人员配备有分工，能力及分工能满足项目需求，但缺乏组织协调能力，得15分； 3、方案内容、人员配备欠缺，无法满足项目需求得10分； 4、未提供不得分。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供应商针对项目内容制定具体详细的工作计划，有合理的阶段划分，各阶段有明确的工作目标、有可行的时间进度安排。 进度保障措施，具备一定的科学性、合理性、可操作性强，要求内容完善、全面细致、切实可行。 1、进度保障措施涵盖全面细致，保障措施的科学性、可行性、合理性强的得10分； 2、进度保障措施涵盖全面，保障措施的科学性、可行性、合理性一般的得6分； 3、保障措施涉及不全面，保障措施缺乏科学性、可行性的得2分； 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进度保障措施.docx</w:t>
            </w:r>
          </w:p>
        </w:tc>
      </w:tr>
      <w:tr>
        <w:tc>
          <w:tcPr>
            <w:tcW w:type="dxa" w:w="831"/>
            <w:vMerge/>
          </w:tcPr>
          <w:p/>
        </w:tc>
        <w:tc>
          <w:tcPr>
            <w:tcW w:type="dxa" w:w="1661"/>
          </w:tcPr>
          <w:p>
            <w:pPr>
              <w:pStyle w:val="null3"/>
            </w:pPr>
            <w:r>
              <w:rPr>
                <w:rFonts w:ascii="仿宋_GB2312" w:hAnsi="仿宋_GB2312" w:cs="仿宋_GB2312" w:eastAsia="仿宋_GB2312"/>
              </w:rPr>
              <w:t>物料用具</w:t>
            </w:r>
          </w:p>
        </w:tc>
        <w:tc>
          <w:tcPr>
            <w:tcW w:type="dxa" w:w="2492"/>
          </w:tcPr>
          <w:p>
            <w:pPr>
              <w:pStyle w:val="null3"/>
            </w:pPr>
            <w:r>
              <w:rPr>
                <w:rFonts w:ascii="仿宋_GB2312" w:hAnsi="仿宋_GB2312" w:cs="仿宋_GB2312" w:eastAsia="仿宋_GB2312"/>
              </w:rPr>
              <w:t>供应商针对本项目提供物料清单及物料不足时及时进行物料补做的措施方案。 物料清单内容详细、数量充足、措施可行、充分满足采购需求计10分； 物料清单内容基本全面，能保证项目实施计6分； 清单内容简单、能保证项目实施计2分；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物料清单及物料不足时及时进行物料补做的措施方案.docx</w:t>
            </w:r>
          </w:p>
        </w:tc>
      </w:tr>
      <w:tr>
        <w:tc>
          <w:tcPr>
            <w:tcW w:type="dxa" w:w="831"/>
            <w:vMerge/>
          </w:tcPr>
          <w:p/>
        </w:tc>
        <w:tc>
          <w:tcPr>
            <w:tcW w:type="dxa" w:w="1661"/>
          </w:tcPr>
          <w:p>
            <w:pPr>
              <w:pStyle w:val="null3"/>
            </w:pPr>
            <w:r>
              <w:rPr>
                <w:rFonts w:ascii="仿宋_GB2312" w:hAnsi="仿宋_GB2312" w:cs="仿宋_GB2312" w:eastAsia="仿宋_GB2312"/>
              </w:rPr>
              <w:t>宣传直播方案</w:t>
            </w:r>
          </w:p>
        </w:tc>
        <w:tc>
          <w:tcPr>
            <w:tcW w:type="dxa" w:w="2492"/>
          </w:tcPr>
          <w:p>
            <w:pPr>
              <w:pStyle w:val="null3"/>
            </w:pPr>
            <w:r>
              <w:rPr>
                <w:rFonts w:ascii="仿宋_GB2312" w:hAnsi="仿宋_GB2312" w:cs="仿宋_GB2312" w:eastAsia="仿宋_GB2312"/>
              </w:rPr>
              <w:t>供应商提供针对本项目的媒体宣传、图文直播、小视频制作方案。方案包含针对各环节中的宣传报道、直播流程及宣传思路。 方案完善，思路清晰正确，能保证此次宣传效果的计10分； 方案完整，能列明宣传大纲的计6分； 方案简单，内容空泛计2分；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宣传直播方案.docx</w:t>
            </w:r>
          </w:p>
        </w:tc>
      </w:tr>
      <w:tr>
        <w:tc>
          <w:tcPr>
            <w:tcW w:type="dxa" w:w="831"/>
            <w:vMerge/>
          </w:tcPr>
          <w:p/>
        </w:tc>
        <w:tc>
          <w:tcPr>
            <w:tcW w:type="dxa" w:w="1661"/>
          </w:tcPr>
          <w:p>
            <w:pPr>
              <w:pStyle w:val="null3"/>
            </w:pPr>
            <w:r>
              <w:rPr>
                <w:rFonts w:ascii="仿宋_GB2312" w:hAnsi="仿宋_GB2312" w:cs="仿宋_GB2312" w:eastAsia="仿宋_GB2312"/>
              </w:rPr>
              <w:t>应急安全</w:t>
            </w:r>
          </w:p>
        </w:tc>
        <w:tc>
          <w:tcPr>
            <w:tcW w:type="dxa" w:w="2492"/>
          </w:tcPr>
          <w:p>
            <w:pPr>
              <w:pStyle w:val="null3"/>
            </w:pPr>
            <w:r>
              <w:rPr>
                <w:rFonts w:ascii="仿宋_GB2312" w:hAnsi="仿宋_GB2312" w:cs="仿宋_GB2312" w:eastAsia="仿宋_GB2312"/>
              </w:rPr>
              <w:t>供应商针对本项目提供信息监测处置预案、措施，风险评估措施及安全保卫应急预案、措施。 预案、措施完善、应急预案合理可行计10分； 预案、措施简单计6分； 预案、措施预案考虑欠缺计2分；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提供供应商2022年1月1日至今同类项目业绩，每提供1份计2分，满分10分。 备注：业绩证明以合同或中标（成交）通知书为准，须在响应文件中附合同或中标（成交）通知书的扫描件加盖单位公章，原件备查）。弄虚作假者，取消其成交资格。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满足竞争性磋商文件要求且最终报价最低的报价为评审基准价，其价格分为满分。其他供应商的价格分统一按照下列公式计算：报价得分=（评审基准价/最终报价）×10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详见附件：进度保障措施.docx</w:t>
      </w:r>
    </w:p>
    <w:p>
      <w:pPr>
        <w:pStyle w:val="null3"/>
        <w:ind w:firstLine="960"/>
      </w:pPr>
      <w:r>
        <w:rPr>
          <w:rFonts w:ascii="仿宋_GB2312" w:hAnsi="仿宋_GB2312" w:cs="仿宋_GB2312" w:eastAsia="仿宋_GB2312"/>
        </w:rPr>
        <w:t>详见附件：物料清单及物料不足时及时进行物料补做的措施方案.docx</w:t>
      </w:r>
    </w:p>
    <w:p>
      <w:pPr>
        <w:pStyle w:val="null3"/>
        <w:ind w:firstLine="960"/>
      </w:pPr>
      <w:r>
        <w:rPr>
          <w:rFonts w:ascii="仿宋_GB2312" w:hAnsi="仿宋_GB2312" w:cs="仿宋_GB2312" w:eastAsia="仿宋_GB2312"/>
        </w:rPr>
        <w:t>详见附件：宣传直播方案.docx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