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682D6BBF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一、目标任务</w:t>
      </w:r>
    </w:p>
    <w:p w14:paraId="66F7A429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以最新的国土变更调查成果为底图，在2025年度城市 国土空间监测成果基础上，依据2026年6月底之前的高分 辨率遥感影像和最新的城市资源资产相关专题资料，结合 实地调查等工作，确定监测要素的空间位置、占地范围、 面积（长度）、相关属性等，对变化情况进行更新和完善， 掌握城市建设总量、用地结构、资源禀赋和服务功能等情 况，支撑城市用地和资源资产精细化管理、国土空间规划和 城市体检评估、国土空间布局和结构优化、存量空间盘活 和城市更新、用途管制和权益保障等工作。</w:t>
      </w:r>
    </w:p>
    <w:p w14:paraId="0E08C423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二、工作内容</w:t>
      </w:r>
      <w:bookmarkStart w:id="0" w:name="_GoBack"/>
      <w:bookmarkEnd w:id="0"/>
    </w:p>
    <w:p w14:paraId="1F27F576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（一）成果现势性更新</w:t>
      </w:r>
    </w:p>
    <w:p w14:paraId="3628C55B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依据相关专题资料，结合实地调查，将2025年城市国土空间监测数据中相关监测要素的现势性更新到2026年。</w:t>
      </w:r>
    </w:p>
    <w:p w14:paraId="407947D8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（二）新增监测要素采集</w:t>
      </w:r>
    </w:p>
    <w:p w14:paraId="008D4E56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采集包括工业、仓储、研发设计等产业空间要素，确 定监测要素的空间位置、占地范围、面积、相关属性等。</w:t>
      </w:r>
    </w:p>
    <w:p w14:paraId="465665EA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（三）外业调查举证</w:t>
      </w:r>
    </w:p>
    <w:p w14:paraId="75BF1997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监测实地现状与最新国土变更调查成果地类二级类不一致的；无法通过影像特征、专题资料确定属性信息的监测要素，按照外业举证相关要求进行举证。</w:t>
      </w:r>
    </w:p>
    <w:p w14:paraId="1B25C76D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（四）数据库建设</w:t>
      </w:r>
    </w:p>
    <w:p w14:paraId="5C570862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包括监测数据库3个数据集，44个数据图层、10个元数据图层。</w:t>
      </w:r>
    </w:p>
    <w:p w14:paraId="0BE24B4E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、商务要求</w:t>
      </w:r>
    </w:p>
    <w:p w14:paraId="7961A37E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（一）服务期：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自合同签订之日起6个月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BDC460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640" w:firstLineChars="20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（二）服务地点：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西安市高新区范围内，具体以采购人指定地点为准。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6635C9D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3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5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7">
    <w:name w:val="Normal Indent"/>
    <w:basedOn w:val="1"/>
    <w:autoRedefine/>
    <w:qFormat/>
    <w:uiPriority w:val="0"/>
    <w:pPr>
      <w:ind w:firstLine="420" w:firstLineChars="200"/>
    </w:pPr>
  </w:style>
  <w:style w:type="character" w:customStyle="1" w:styleId="10">
    <w:name w:val="标题 2 Char"/>
    <w:link w:val="4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3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5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2026-10-22T08:11:28Z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