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版本号：DX2026-12320260605001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社会组织评估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DX2026-123</w:t>
      </w:r>
      <w:r>
        <w:br/>
      </w:r>
      <w:r>
        <w:br/>
      </w:r>
      <w:r>
        <w:br/>
      </w:r>
    </w:p>
    <w:p>
      <w:pPr>
        <w:pStyle w:val="null3"/>
        <w:jc w:val="center"/>
        <w:outlineLvl w:val="2"/>
      </w:pPr>
      <w:r>
        <w:rPr>
          <w:rFonts w:ascii="仿宋_GB2312" w:hAnsi="仿宋_GB2312" w:cs="仿宋_GB2312" w:eastAsia="仿宋_GB2312"/>
          <w:sz w:val="28"/>
          <w:b/>
        </w:rPr>
        <w:t>西安市民政局（本级）</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西安市民政局（本级）</w:t>
      </w:r>
      <w:r>
        <w:rPr>
          <w:rFonts w:ascii="仿宋_GB2312" w:hAnsi="仿宋_GB2312" w:cs="仿宋_GB2312" w:eastAsia="仿宋_GB2312"/>
        </w:rPr>
        <w:t>委托，拟对</w:t>
      </w:r>
      <w:r>
        <w:rPr>
          <w:rFonts w:ascii="仿宋_GB2312" w:hAnsi="仿宋_GB2312" w:cs="仿宋_GB2312" w:eastAsia="仿宋_GB2312"/>
        </w:rPr>
        <w:t>社会组织评估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社会组织评估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西安市民政局社会组织评估项目。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或财务状况良好的承诺函；以上四种形式的证明资料提供任何一种即可。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李彬</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029-67096744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的，按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西安市民政局（本级）</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民政部印发《社会组织评估管理办法》的要求，对报名参加2026年西安市社会组织等级评估工作的社会组织进行包括基本条件、内部治理、工作绩效、社会评价等方面的评估（约50家左右，具体以实际报名数量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社会组织评估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标的名称：社会组织评估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jc w:val="both"/>
            </w:pPr>
            <w:r>
              <w:rPr>
                <w:rFonts w:ascii="仿宋_GB2312" w:hAnsi="仿宋_GB2312" w:cs="仿宋_GB2312" w:eastAsia="仿宋_GB2312"/>
                <w:sz w:val="20"/>
                <w:b/>
              </w:rPr>
              <w:t>一、项目概况</w:t>
            </w:r>
          </w:p>
          <w:p>
            <w:pPr>
              <w:pStyle w:val="null3"/>
              <w:ind w:firstLine="400"/>
              <w:jc w:val="both"/>
            </w:pPr>
            <w:r>
              <w:rPr>
                <w:rFonts w:ascii="仿宋_GB2312" w:hAnsi="仿宋_GB2312" w:cs="仿宋_GB2312" w:eastAsia="仿宋_GB2312"/>
                <w:sz w:val="20"/>
              </w:rPr>
              <w:t>根据民政部印发《社会组织评估管理办法》的要求，</w:t>
            </w:r>
            <w:r>
              <w:rPr>
                <w:rFonts w:ascii="仿宋_GB2312" w:hAnsi="仿宋_GB2312" w:cs="仿宋_GB2312" w:eastAsia="仿宋_GB2312"/>
                <w:sz w:val="20"/>
              </w:rPr>
              <w:t>对报名参加</w:t>
            </w:r>
            <w:r>
              <w:rPr>
                <w:rFonts w:ascii="仿宋_GB2312" w:hAnsi="仿宋_GB2312" w:cs="仿宋_GB2312" w:eastAsia="仿宋_GB2312"/>
                <w:sz w:val="20"/>
              </w:rPr>
              <w:t>202</w:t>
            </w:r>
            <w:r>
              <w:rPr>
                <w:rFonts w:ascii="仿宋_GB2312" w:hAnsi="仿宋_GB2312" w:cs="仿宋_GB2312" w:eastAsia="仿宋_GB2312"/>
                <w:sz w:val="20"/>
              </w:rPr>
              <w:t>6</w:t>
            </w:r>
            <w:r>
              <w:rPr>
                <w:rFonts w:ascii="仿宋_GB2312" w:hAnsi="仿宋_GB2312" w:cs="仿宋_GB2312" w:eastAsia="仿宋_GB2312"/>
                <w:sz w:val="20"/>
              </w:rPr>
              <w:t>年西安市社会组织等级评估工作的社会组织</w:t>
            </w:r>
            <w:r>
              <w:rPr>
                <w:rFonts w:ascii="仿宋_GB2312" w:hAnsi="仿宋_GB2312" w:cs="仿宋_GB2312" w:eastAsia="仿宋_GB2312"/>
                <w:sz w:val="20"/>
              </w:rPr>
              <w:t>进行</w:t>
            </w:r>
            <w:r>
              <w:rPr>
                <w:rFonts w:ascii="仿宋_GB2312" w:hAnsi="仿宋_GB2312" w:cs="仿宋_GB2312" w:eastAsia="仿宋_GB2312"/>
                <w:sz w:val="20"/>
              </w:rPr>
              <w:t>包括</w:t>
            </w:r>
            <w:r>
              <w:rPr>
                <w:rFonts w:ascii="仿宋_GB2312" w:hAnsi="仿宋_GB2312" w:cs="仿宋_GB2312" w:eastAsia="仿宋_GB2312"/>
                <w:sz w:val="20"/>
              </w:rPr>
              <w:t>基本条件、内部治理、工作绩效、社会评价等方面</w:t>
            </w:r>
            <w:r>
              <w:rPr>
                <w:rFonts w:ascii="仿宋_GB2312" w:hAnsi="仿宋_GB2312" w:cs="仿宋_GB2312" w:eastAsia="仿宋_GB2312"/>
                <w:sz w:val="20"/>
              </w:rPr>
              <w:t>的</w:t>
            </w:r>
            <w:r>
              <w:rPr>
                <w:rFonts w:ascii="仿宋_GB2312" w:hAnsi="仿宋_GB2312" w:cs="仿宋_GB2312" w:eastAsia="仿宋_GB2312"/>
                <w:sz w:val="20"/>
              </w:rPr>
              <w:t>评估</w:t>
            </w:r>
            <w:r>
              <w:rPr>
                <w:rFonts w:ascii="仿宋_GB2312" w:hAnsi="仿宋_GB2312" w:cs="仿宋_GB2312" w:eastAsia="仿宋_GB2312"/>
                <w:sz w:val="20"/>
              </w:rPr>
              <w:t>（</w:t>
            </w:r>
            <w:r>
              <w:rPr>
                <w:rFonts w:ascii="仿宋_GB2312" w:hAnsi="仿宋_GB2312" w:cs="仿宋_GB2312" w:eastAsia="仿宋_GB2312"/>
                <w:sz w:val="20"/>
              </w:rPr>
              <w:t>约</w:t>
            </w:r>
            <w:r>
              <w:rPr>
                <w:rFonts w:ascii="仿宋_GB2312" w:hAnsi="仿宋_GB2312" w:cs="仿宋_GB2312" w:eastAsia="仿宋_GB2312"/>
                <w:sz w:val="20"/>
              </w:rPr>
              <w:t>50家左右，具体以实际报名数量为准</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2"/>
              <w:jc w:val="both"/>
            </w:pPr>
            <w:r>
              <w:rPr>
                <w:rFonts w:ascii="仿宋_GB2312" w:hAnsi="仿宋_GB2312" w:cs="仿宋_GB2312" w:eastAsia="仿宋_GB2312"/>
                <w:sz w:val="20"/>
                <w:b/>
              </w:rPr>
              <w:t>二、服务内容</w:t>
            </w:r>
          </w:p>
          <w:p>
            <w:pPr>
              <w:pStyle w:val="null3"/>
              <w:ind w:firstLine="400"/>
              <w:jc w:val="both"/>
            </w:pPr>
            <w:r>
              <w:rPr>
                <w:rFonts w:ascii="仿宋_GB2312" w:hAnsi="仿宋_GB2312" w:cs="仿宋_GB2312" w:eastAsia="仿宋_GB2312"/>
                <w:sz w:val="20"/>
              </w:rPr>
              <w:t>本项目采购服务内容如下：</w:t>
            </w:r>
          </w:p>
          <w:tbl>
            <w:tblPr>
              <w:tblInd w:type="dxa" w:w="120"/>
              <w:tblBorders>
                <w:top w:val="none" w:color="000000" w:sz="4"/>
                <w:left w:val="none" w:color="000000" w:sz="4"/>
                <w:bottom w:val="none" w:color="000000" w:sz="4"/>
                <w:right w:val="none" w:color="000000" w:sz="4"/>
                <w:insideH w:val="none"/>
                <w:insideV w:val="none"/>
              </w:tblBorders>
            </w:tblPr>
            <w:tblGrid>
              <w:gridCol w:w="174"/>
              <w:gridCol w:w="1527"/>
              <w:gridCol w:w="852"/>
            </w:tblGrid>
            <w:tr>
              <w:tc>
                <w:tcPr>
                  <w:tcW w:type="dxa" w:w="1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采购服务内容</w:t>
                  </w:r>
                </w:p>
              </w:tc>
              <w:tc>
                <w:tcPr>
                  <w:tcW w:type="dxa" w:w="8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工作区域</w:t>
                  </w:r>
                </w:p>
              </w:tc>
            </w:tr>
            <w:tr>
              <w:tc>
                <w:tcPr>
                  <w:tcW w:type="dxa" w:w="1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对报名参加</w:t>
                  </w:r>
                  <w:r>
                    <w:rPr>
                      <w:rFonts w:ascii="仿宋_GB2312" w:hAnsi="仿宋_GB2312" w:cs="仿宋_GB2312" w:eastAsia="仿宋_GB2312"/>
                      <w:sz w:val="20"/>
                    </w:rPr>
                    <w:t>2026年西安市社会组织等级评估工作的社会组织进行包括基本条件、内部治理、工作绩效、社会评价等方面的评估。</w:t>
                  </w:r>
                </w:p>
              </w:tc>
              <w:tc>
                <w:tcPr>
                  <w:tcW w:type="dxa" w:w="8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西安市范围内</w:t>
                  </w:r>
                </w:p>
              </w:tc>
            </w:tr>
          </w:tbl>
          <w:p>
            <w:pPr>
              <w:pStyle w:val="null3"/>
              <w:ind w:firstLine="402"/>
              <w:jc w:val="both"/>
            </w:pPr>
            <w:r>
              <w:rPr>
                <w:rFonts w:ascii="仿宋_GB2312" w:hAnsi="仿宋_GB2312" w:cs="仿宋_GB2312" w:eastAsia="仿宋_GB2312"/>
                <w:sz w:val="20"/>
                <w:b/>
              </w:rPr>
              <w:t>三、技术要求</w:t>
            </w:r>
          </w:p>
          <w:p>
            <w:pPr>
              <w:pStyle w:val="null3"/>
              <w:ind w:firstLine="400"/>
              <w:jc w:val="both"/>
            </w:pPr>
            <w:r>
              <w:rPr>
                <w:rFonts w:ascii="仿宋_GB2312" w:hAnsi="仿宋_GB2312" w:cs="仿宋_GB2312" w:eastAsia="仿宋_GB2312"/>
                <w:sz w:val="20"/>
              </w:rPr>
              <w:t>1、组织参加评估的工作人员认真学习有关评估工作文件，吃透精神安排部署好今年的评估工作。</w:t>
            </w:r>
          </w:p>
          <w:p>
            <w:pPr>
              <w:pStyle w:val="null3"/>
              <w:ind w:firstLine="400"/>
              <w:jc w:val="both"/>
            </w:pPr>
            <w:r>
              <w:rPr>
                <w:rFonts w:ascii="仿宋_GB2312" w:hAnsi="仿宋_GB2312" w:cs="仿宋_GB2312" w:eastAsia="仿宋_GB2312"/>
                <w:sz w:val="20"/>
              </w:rPr>
              <w:t>2、做好宣传动员工作，使符合参评条件的社会组织都能积极申请评估，明确评估的目的、意义。</w:t>
            </w:r>
          </w:p>
          <w:p>
            <w:pPr>
              <w:pStyle w:val="null3"/>
              <w:ind w:firstLine="400"/>
              <w:jc w:val="both"/>
            </w:pPr>
            <w:r>
              <w:rPr>
                <w:rFonts w:ascii="仿宋_GB2312" w:hAnsi="仿宋_GB2312" w:cs="仿宋_GB2312" w:eastAsia="仿宋_GB2312"/>
                <w:sz w:val="20"/>
              </w:rPr>
              <w:t>3、做好对评估专家、工作人员、受评单位有关人员评估业务的培训工作，积极做好评估前的准备工作。</w:t>
            </w:r>
          </w:p>
          <w:p>
            <w:pPr>
              <w:pStyle w:val="null3"/>
              <w:ind w:firstLine="400"/>
              <w:jc w:val="both"/>
            </w:pPr>
            <w:r>
              <w:rPr>
                <w:rFonts w:ascii="仿宋_GB2312" w:hAnsi="仿宋_GB2312" w:cs="仿宋_GB2312" w:eastAsia="仿宋_GB2312"/>
                <w:sz w:val="20"/>
              </w:rPr>
              <w:t>4、按照评估办法、要求、程序认真完成评估工作任务。</w:t>
            </w:r>
          </w:p>
          <w:p>
            <w:pPr>
              <w:pStyle w:val="null3"/>
              <w:ind w:firstLine="400"/>
              <w:jc w:val="both"/>
            </w:pPr>
            <w:r>
              <w:rPr>
                <w:rFonts w:ascii="仿宋_GB2312" w:hAnsi="仿宋_GB2312" w:cs="仿宋_GB2312" w:eastAsia="仿宋_GB2312"/>
                <w:sz w:val="20"/>
              </w:rPr>
              <w:t>5、确保评估中的车辆、人员、资料的安全。</w:t>
            </w:r>
          </w:p>
          <w:p>
            <w:pPr>
              <w:pStyle w:val="null3"/>
              <w:ind w:firstLine="400"/>
              <w:jc w:val="both"/>
            </w:pPr>
            <w:r>
              <w:rPr>
                <w:rFonts w:ascii="仿宋_GB2312" w:hAnsi="仿宋_GB2312" w:cs="仿宋_GB2312" w:eastAsia="仿宋_GB2312"/>
                <w:sz w:val="20"/>
              </w:rPr>
              <w:t>6、做到廉洁评估，遵守廉政纪律，不接受不索要受评单位礼品、礼金和馈赠，不接受受评单位宴请，不让受评单位专车接送，不借评估之机向受评单位提出与评估工作无关的要求，确保廉洁评估。</w:t>
            </w:r>
          </w:p>
          <w:p>
            <w:pPr>
              <w:pStyle w:val="null3"/>
              <w:ind w:firstLine="400"/>
              <w:jc w:val="both"/>
            </w:pPr>
            <w:r>
              <w:rPr>
                <w:rFonts w:ascii="仿宋_GB2312" w:hAnsi="仿宋_GB2312" w:cs="仿宋_GB2312" w:eastAsia="仿宋_GB2312"/>
                <w:sz w:val="20"/>
              </w:rPr>
              <w:t>7、按规定时间内完成全部评估内容，并交付评估报告。</w:t>
            </w:r>
          </w:p>
          <w:p>
            <w:pPr>
              <w:pStyle w:val="null3"/>
              <w:ind w:firstLine="402"/>
              <w:jc w:val="both"/>
            </w:pPr>
            <w:r>
              <w:rPr>
                <w:rFonts w:ascii="仿宋_GB2312" w:hAnsi="仿宋_GB2312" w:cs="仿宋_GB2312" w:eastAsia="仿宋_GB2312"/>
                <w:sz w:val="20"/>
                <w:b/>
              </w:rPr>
              <w:t>四、服务要求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人员配置</w:t>
            </w:r>
          </w:p>
          <w:p>
            <w:pPr>
              <w:pStyle w:val="null3"/>
              <w:ind w:firstLine="400"/>
              <w:jc w:val="both"/>
            </w:pPr>
            <w:r>
              <w:rPr>
                <w:rFonts w:ascii="仿宋_GB2312" w:hAnsi="仿宋_GB2312" w:cs="仿宋_GB2312" w:eastAsia="仿宋_GB2312"/>
                <w:sz w:val="20"/>
              </w:rPr>
              <w:t>1.项目负责人：</w:t>
            </w:r>
            <w:r>
              <w:rPr>
                <w:rFonts w:ascii="仿宋_GB2312" w:hAnsi="仿宋_GB2312" w:cs="仿宋_GB2312" w:eastAsia="仿宋_GB2312"/>
                <w:sz w:val="20"/>
                <w:b/>
              </w:rPr>
              <w:t>1名</w:t>
            </w:r>
            <w:r>
              <w:rPr>
                <w:rFonts w:ascii="仿宋_GB2312" w:hAnsi="仿宋_GB2312" w:cs="仿宋_GB2312" w:eastAsia="仿宋_GB2312"/>
                <w:sz w:val="20"/>
              </w:rPr>
              <w:t>，拟派项目负责人须具备至少</w:t>
            </w:r>
            <w:r>
              <w:rPr>
                <w:rFonts w:ascii="仿宋_GB2312" w:hAnsi="仿宋_GB2312" w:cs="仿宋_GB2312" w:eastAsia="仿宋_GB2312"/>
                <w:sz w:val="20"/>
              </w:rPr>
              <w:t>3年及以上的类似评估服务经验。</w:t>
            </w:r>
          </w:p>
          <w:p>
            <w:pPr>
              <w:pStyle w:val="null3"/>
              <w:ind w:firstLine="400"/>
              <w:jc w:val="both"/>
            </w:pPr>
            <w:r>
              <w:rPr>
                <w:rFonts w:ascii="仿宋_GB2312" w:hAnsi="仿宋_GB2312" w:cs="仿宋_GB2312" w:eastAsia="仿宋_GB2312"/>
                <w:sz w:val="20"/>
              </w:rPr>
              <w:t>2.团队成员配置：拟派项目团队核心成员共计不少于5人，并具有相关等级评估服务经验。</w:t>
            </w:r>
          </w:p>
          <w:p>
            <w:pPr>
              <w:pStyle w:val="null3"/>
              <w:ind w:firstLine="400"/>
              <w:jc w:val="both"/>
            </w:pPr>
            <w:r>
              <w:rPr>
                <w:rFonts w:ascii="仿宋_GB2312" w:hAnsi="仿宋_GB2312" w:cs="仿宋_GB2312" w:eastAsia="仿宋_GB2312"/>
                <w:sz w:val="20"/>
              </w:rPr>
              <w:t>3.专业结构合理性：团队专业应与本项目评估内容（项目建设、资金使用、运营管理）相匹配，专业背景应全面，涵盖评估相关专业。</w:t>
            </w:r>
          </w:p>
          <w:p>
            <w:pPr>
              <w:pStyle w:val="null3"/>
              <w:ind w:firstLine="400"/>
              <w:jc w:val="both"/>
            </w:pPr>
            <w:r>
              <w:rPr>
                <w:rFonts w:ascii="仿宋_GB2312" w:hAnsi="仿宋_GB2312" w:cs="仿宋_GB2312" w:eastAsia="仿宋_GB2312"/>
                <w:sz w:val="20"/>
              </w:rPr>
              <w:t>（二）服务标准</w:t>
            </w:r>
          </w:p>
          <w:p>
            <w:pPr>
              <w:pStyle w:val="null3"/>
              <w:ind w:firstLine="400"/>
              <w:jc w:val="both"/>
            </w:pPr>
            <w:r>
              <w:rPr>
                <w:rFonts w:ascii="仿宋_GB2312" w:hAnsi="仿宋_GB2312" w:cs="仿宋_GB2312" w:eastAsia="仿宋_GB2312"/>
                <w:sz w:val="20"/>
              </w:rPr>
              <w:t>1.项目结束后，乙方向甲方出具1份整体评估报告。评估报告应当有盖有乙方公章，乙方负责评估的工作人员应当在评估报告上签字盖章。</w:t>
            </w:r>
          </w:p>
          <w:p>
            <w:pPr>
              <w:pStyle w:val="null3"/>
              <w:ind w:firstLine="400"/>
              <w:jc w:val="both"/>
            </w:pPr>
            <w:r>
              <w:rPr>
                <w:rFonts w:ascii="仿宋_GB2312" w:hAnsi="仿宋_GB2312" w:cs="仿宋_GB2312" w:eastAsia="仿宋_GB2312"/>
                <w:sz w:val="20"/>
              </w:rPr>
              <w:t>2.评估报告应当包含以下内容：实施内容、运营管理、经济效益、社会效益等。</w:t>
            </w:r>
          </w:p>
          <w:p>
            <w:pPr>
              <w:pStyle w:val="null3"/>
              <w:ind w:firstLine="400"/>
              <w:jc w:val="both"/>
            </w:pPr>
            <w:r>
              <w:rPr>
                <w:rFonts w:ascii="仿宋_GB2312" w:hAnsi="仿宋_GB2312" w:cs="仿宋_GB2312" w:eastAsia="仿宋_GB2312"/>
                <w:sz w:val="20"/>
              </w:rPr>
              <w:t>3.乙方出具的评估报告应当符合国家有关法律法规及行业规定的效力，不得任意改变评估标准，保证评估过程及评估结果的公平公正</w:t>
            </w:r>
            <w:r>
              <w:rPr>
                <w:rFonts w:ascii="仿宋_GB2312" w:hAnsi="仿宋_GB2312" w:cs="仿宋_GB2312" w:eastAsia="仿宋_GB2312"/>
                <w:sz w:val="20"/>
              </w:rPr>
              <w:t>。</w:t>
            </w:r>
          </w:p>
          <w:p>
            <w:pPr>
              <w:pStyle w:val="null3"/>
              <w:ind w:firstLine="402"/>
              <w:jc w:val="both"/>
            </w:pPr>
            <w:r>
              <w:rPr>
                <w:rFonts w:ascii="仿宋_GB2312" w:hAnsi="仿宋_GB2312" w:cs="仿宋_GB2312" w:eastAsia="仿宋_GB2312"/>
                <w:sz w:val="20"/>
                <w:b/>
              </w:rPr>
              <w:t>六、其他</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）进度要求</w:t>
            </w:r>
          </w:p>
          <w:p>
            <w:pPr>
              <w:pStyle w:val="null3"/>
              <w:ind w:firstLine="400"/>
              <w:jc w:val="both"/>
            </w:pPr>
            <w:r>
              <w:rPr>
                <w:rFonts w:ascii="仿宋_GB2312" w:hAnsi="仿宋_GB2312" w:cs="仿宋_GB2312" w:eastAsia="仿宋_GB2312"/>
                <w:sz w:val="20"/>
              </w:rPr>
              <w:t>合同签订后，按甲方要求完成项目评估等工作。乙方按照甲方时间要求向甲方提交评估报告，实际时间视甲方及被评估单位反馈进度而定。</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）成果交付要求</w:t>
            </w:r>
          </w:p>
          <w:p>
            <w:pPr>
              <w:pStyle w:val="null3"/>
              <w:ind w:firstLine="400"/>
              <w:jc w:val="both"/>
            </w:pPr>
            <w:r>
              <w:rPr>
                <w:rFonts w:ascii="仿宋_GB2312" w:hAnsi="仿宋_GB2312" w:cs="仿宋_GB2312" w:eastAsia="仿宋_GB2312"/>
                <w:sz w:val="20"/>
              </w:rPr>
              <w:t>须符合国家最新法律法规、行业规范、规程及导则和使用单位具体要求等。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）质量验收标准或规范</w:t>
            </w:r>
          </w:p>
          <w:p>
            <w:pPr>
              <w:pStyle w:val="null3"/>
            </w:pPr>
            <w:r>
              <w:rPr>
                <w:rFonts w:ascii="仿宋_GB2312" w:hAnsi="仿宋_GB2312" w:cs="仿宋_GB2312" w:eastAsia="仿宋_GB2312"/>
                <w:sz w:val="20"/>
              </w:rPr>
              <w:t>须符合国家最新法律法规、行业规范、规程及导则和使用单位具体要求等。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应具有履行合同所必需的设备和专业技术能力。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2026年7至2026年12月底。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完成评估内容，并出具评估结论。</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乙方向甲方提交的评估报告（纸质版、电子版）等其他资料，经甲方审核通过后，甲方一次性向乙方支付合同总金额。甲方每次付款前，乙方应当向甲方提供符合国家法律法规的合法发票，否则甲方有权不予付款且不承担违约责任，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未按合同要求提供服务或服务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一正两副纸质响应文件及电子版1份（签字盖章扫描PDF和word文档格式，U盘存储）。 2.供应商应自协商文件递交截止时间起至磋商结束，保持在线状态。 3.响应文件中凡是需要法定代表人盖章之处，由分支机构参与磋商时，单位负责人均参照执行（法定代表人授权书由单位负责人签授）。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或财务状况良好的承诺函；以上四种形式的证明资料提供任何一种即可。 3.税收缴纳证明：提供已缴纳的2025年5月1日以来任意时间段的纳税证明或完税证明，纳税证明或完税证明上应有代收机构或税务机关的公章或业务专用章。依法免税的供应商应提供相关文件证明。 4.社保缴纳证明：提供已缴存的2025年5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2.磋商报价低于通过符合性审查的次低报价供应商磋商报价50%的，即磋商报价&lt;通过符合性审查的次低报价供应商磋商报价×50%； 3.磋商报价低于采购项目最高限价45%的，即磋商报价&lt;采购项目最高限价×45%； 4.磋商小组基于专业判断，认为供应商报价过低，有可能影响产品质量或者不能诚信履约的其他情形。 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第一次磋商报价表.docx 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供应商企业关系关联承诺书.docx 供应商廉洁自律承诺书.docx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商务条款响应偏差表.docx</w:t>
            </w:r>
          </w:p>
          <w:p>
            <w:pPr>
              <w:pStyle w:val="null3"/>
            </w:pPr>
            <w:r>
              <w:rPr>
                <w:rFonts w:ascii="仿宋_GB2312" w:hAnsi="仿宋_GB2312" w:cs="仿宋_GB2312" w:eastAsia="仿宋_GB2312"/>
              </w:rPr>
              <w:t>服务内容响应偏差表.docx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针对本项目提供详细的实施方案，包括但不限于： ①对项目的理解及重难点分析； ②对国家相关领域政策、标准的掌握熟练程度； ③工作实施方案； ④宣传动员方案； ⑤人员培训方案； ⑥资料归档及移交方案。 二、评审标准 上述六项评审内容中： 每一项方案内容满足或优于本项目采购需求，符合实际情况、方案详实，有针对性和可操作性，得5分； 方案内容满足采购需求，方案完善，得4分； 方案内容基本合理，涵盖上述维度，得3分； 方案内容一般，有严重缺项，得2分； 方案内容粗略，无针对性，得1分； 未提供响应方案内容，得0分。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①质量保障措施； ②进度计划安排及保障措施； ③保密措施； ④安全保障措施； ⑤廉洁从业措施。 二、评审标准 上述五项评审内容中： 每一项方案内容满足或优于本项目采购需求，符合实际情况、方案详实，有针对性和可操作性，得5分； 方案内容满足采购需求，方案完善，得4分； 方案内容基本合理，涵盖上述维度，得3分； 方案内容一般，有严重缺项，得2分； 方案内容粗略，无针对性，得1分； 未提供响应方案内容，得0分。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人员配备1</w:t>
            </w:r>
          </w:p>
        </w:tc>
        <w:tc>
          <w:tcPr>
            <w:tcW w:type="dxa" w:w="2492"/>
          </w:tcPr>
          <w:p>
            <w:pPr>
              <w:pStyle w:val="null3"/>
            </w:pPr>
            <w:r>
              <w:rPr>
                <w:rFonts w:ascii="仿宋_GB2312" w:hAnsi="仿宋_GB2312" w:cs="仿宋_GB2312" w:eastAsia="仿宋_GB2312"/>
              </w:rPr>
              <w:t>一、评审内容 ①评估团队人员具有相关等级评估服务经验，人员专业与本次评估项目相匹配，人员数量、分工合理，岗位职责明确； ②人员管理制度。 二、评审标准 上述两项评审内容中： 人员配备齐全专业，且符合实际情况，组织结构清晰、方案详实，有针对性和可操作性，得5分； 人员配备方案完善，满足采购需求，得4分； 人员配备方案基本合理，涵盖上述维度，得3分； 人员配备方案一般，内容不细化，得2分； 人员配置粗略，方案内容简单粗糙，无明显针对性，得1分； 未提供响应方案，得0分。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人员配备2</w:t>
            </w:r>
          </w:p>
        </w:tc>
        <w:tc>
          <w:tcPr>
            <w:tcW w:type="dxa" w:w="2492"/>
          </w:tcPr>
          <w:p>
            <w:pPr>
              <w:pStyle w:val="null3"/>
            </w:pPr>
            <w:r>
              <w:rPr>
                <w:rFonts w:ascii="仿宋_GB2312" w:hAnsi="仿宋_GB2312" w:cs="仿宋_GB2312" w:eastAsia="仿宋_GB2312"/>
              </w:rPr>
              <w:t>①项目负责人具备高级职称的得3分；具备中级职称的得1.5分；其他不得分。 ②项目组其他人员具备中级及以上职称的，每提供一人得1分，满分3分，未提供不得分。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建议完全贴合项目实际需求，针对性极强，实施后能显著提升效率、降低成本得2分； 建议基本符合项目方向，对项目的改善作用有限得1分； 建议缺乏可行性与实操性或未提供得0分。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供应商提供2023年5月1日至今类似项目业绩合同（以合同签订时间为准）；一个业绩得2分，最高得10分；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第一次磋商报价表.docx</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提供政府采购政策等证明材料.docx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详见附件：第一次磋商报价表.docx</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详见附件：提供政府采购政策等证明材料.docx</w:t>
      </w:r>
    </w:p>
    <w:p>
      <w:pPr>
        <w:pStyle w:val="null3"/>
        <w:ind w:firstLine="960"/>
      </w:pPr>
      <w:r>
        <w:rPr>
          <w:rFonts w:ascii="仿宋_GB2312" w:hAnsi="仿宋_GB2312" w:cs="仿宋_GB2312" w:eastAsia="仿宋_GB2312"/>
        </w:rPr>
        <w:t>详见附件：商务条款响应偏差表.docx</w:t>
      </w:r>
    </w:p>
    <w:p>
      <w:pPr>
        <w:pStyle w:val="null3"/>
        <w:ind w:firstLine="960"/>
      </w:pPr>
      <w:r>
        <w:rPr>
          <w:rFonts w:ascii="仿宋_GB2312" w:hAnsi="仿宋_GB2312" w:cs="仿宋_GB2312" w:eastAsia="仿宋_GB2312"/>
        </w:rPr>
        <w:t>详见附件：服务内容响应偏差表.docx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详见附件：供应商廉洁自律承诺书.docx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