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版本号：YD-202601720260506001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YD-2026017</w:t>
      </w:r>
      <w:r>
        <w:br/>
      </w:r>
      <w:r>
        <w:br/>
      </w:r>
      <w:r>
        <w:br/>
      </w:r>
    </w:p>
    <w:p>
      <w:pPr>
        <w:pStyle w:val="null3"/>
        <w:jc w:val="center"/>
        <w:outlineLvl w:val="2"/>
      </w:pPr>
      <w:r>
        <w:rPr>
          <w:rFonts w:ascii="仿宋_GB2312" w:hAnsi="仿宋_GB2312" w:cs="仿宋_GB2312" w:eastAsia="仿宋_GB2312"/>
          <w:sz w:val="28"/>
          <w:b/>
        </w:rPr>
        <w:t>汉中殡仪馆</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汉中殡仪馆</w:t>
      </w:r>
      <w:r>
        <w:rPr>
          <w:rFonts w:ascii="仿宋_GB2312" w:hAnsi="仿宋_GB2312" w:cs="仿宋_GB2312" w:eastAsia="仿宋_GB2312"/>
        </w:rPr>
        <w:t>委托，拟对</w:t>
      </w:r>
      <w:r>
        <w:rPr>
          <w:rFonts w:ascii="仿宋_GB2312" w:hAnsi="仿宋_GB2312" w:cs="仿宋_GB2312" w:eastAsia="仿宋_GB2312"/>
        </w:rPr>
        <w:t>后勤管理服务项目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YD-2026017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后勤管理服务项目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本次汉中市汉台区殡葬事务服务中心（汉中市汉台区公墓服务中心）后勤服务采购项目包含保洁服务与公墓安全巡查服务。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中小企业声明函：本项目专门面向中小企业采购,供应商须提供《中小企业声明函》，供应商为监狱企业的，应提供监狱企业的证明文件；供应商为残疾人福利性单位的，应提供《残疾人福利性单位声明函》(监狱企业或残疾人福利性单位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汉中殡仪馆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汉台区老君转盘西侧200米（本项目实际采购人为：汉中市汉台区殡葬事务服务中心（汉中市汉台区公墓服务中心））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0916-2212677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汉中市汉台区石马路睿居品阁酒店 17 楼06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0916-2610065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采购包1：301,200.00元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开户名称：一鼎项目管理有限公司汉中分公司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银行账号：806060801421006187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代理服务费收费标准：参照《国家发展改革委关于进一步放开建设项目专业服务价格的通知》（发改价格〔2015〕299号）文收费标准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汉中殡仪馆</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汉中殡仪馆</w:t>
      </w:r>
      <w:r>
        <w:rPr>
          <w:rFonts w:ascii="仿宋_GB2312" w:hAnsi="仿宋_GB2312" w:cs="仿宋_GB2312" w:eastAsia="仿宋_GB2312"/>
        </w:rPr>
        <w:t>负责解释。除上述磋商文件内容，其他内容由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汉中殡仪馆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地址：汉中市汉台区石马路睿居品阁酒店17楼06室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本次汉中市汉台区殡葬事务服务中心（汉中市汉台区公墓服务中心）后勤服务采购项目包含保洁服务与公墓安全巡查服务。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301,200.00</w:t>
      </w:r>
    </w:p>
    <w:p>
      <w:pPr>
        <w:pStyle w:val="null3"/>
      </w:pPr>
      <w:r>
        <w:rPr>
          <w:rFonts w:ascii="仿宋_GB2312" w:hAnsi="仿宋_GB2312" w:cs="仿宋_GB2312" w:eastAsia="仿宋_GB2312"/>
        </w:rPr>
        <w:t>采购包最高限价（元）: 301,200.00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后勤管理服务项目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301,200.00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标的名称：后勤管理服务项目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项目概况</w:t>
            </w:r>
          </w:p>
          <w:p>
            <w:pPr>
              <w:pStyle w:val="null3"/>
              <w:numPr>
                <w:ilvl w:val="0"/>
                <w:numId w:val="1"/>
              </w:numPr>
              <w:jc w:val="both"/>
            </w:pPr>
            <w:r>
              <w:rPr>
                <w:rFonts w:ascii="仿宋_GB2312" w:hAnsi="仿宋_GB2312" w:cs="仿宋_GB2312" w:eastAsia="仿宋_GB2312"/>
                <w:sz w:val="24"/>
                <w:color w:val="000000"/>
              </w:rPr>
              <w:t>采购单位：汉中市汉台区殡葬事务服务中心（汉中市汉台区公墓服务中心）</w:t>
            </w:r>
          </w:p>
          <w:p>
            <w:pPr>
              <w:pStyle w:val="null3"/>
              <w:numPr>
                <w:ilvl w:val="0"/>
                <w:numId w:val="1"/>
              </w:numPr>
              <w:jc w:val="both"/>
            </w:pPr>
            <w:r>
              <w:rPr>
                <w:rFonts w:ascii="仿宋_GB2312" w:hAnsi="仿宋_GB2312" w:cs="仿宋_GB2312" w:eastAsia="仿宋_GB2312"/>
                <w:sz w:val="24"/>
                <w:color w:val="000000"/>
              </w:rPr>
              <w:t>采购项目：后勤管理</w:t>
            </w:r>
            <w:r>
              <w:rPr>
                <w:rFonts w:ascii="仿宋_GB2312" w:hAnsi="仿宋_GB2312" w:cs="仿宋_GB2312" w:eastAsia="仿宋_GB2312"/>
                <w:sz w:val="24"/>
                <w:color w:val="000000"/>
              </w:rPr>
              <w:t>服务项目</w:t>
            </w:r>
          </w:p>
          <w:p>
            <w:pPr>
              <w:pStyle w:val="null3"/>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服务</w:t>
            </w:r>
            <w:r>
              <w:rPr>
                <w:rFonts w:ascii="仿宋_GB2312" w:hAnsi="仿宋_GB2312" w:cs="仿宋_GB2312" w:eastAsia="仿宋_GB2312"/>
                <w:sz w:val="24"/>
                <w:b/>
                <w:color w:val="000000"/>
              </w:rPr>
              <w:t>项目范围</w:t>
            </w:r>
          </w:p>
          <w:p>
            <w:pPr>
              <w:pStyle w:val="null3"/>
              <w:ind w:firstLine="480"/>
              <w:jc w:val="both"/>
            </w:pPr>
            <w:r>
              <w:rPr>
                <w:rFonts w:ascii="仿宋_GB2312" w:hAnsi="仿宋_GB2312" w:cs="仿宋_GB2312" w:eastAsia="仿宋_GB2312"/>
                <w:sz w:val="24"/>
                <w:color w:val="000000"/>
              </w:rPr>
              <w:t>本次汉中市汉台区殡葬事务服务中心（汉中市汉台区公墓服务中心）后勤</w:t>
            </w:r>
            <w:r>
              <w:rPr>
                <w:rFonts w:ascii="仿宋_GB2312" w:hAnsi="仿宋_GB2312" w:cs="仿宋_GB2312" w:eastAsia="仿宋_GB2312"/>
                <w:sz w:val="24"/>
                <w:color w:val="000000"/>
              </w:rPr>
              <w:t>服务采购项目</w:t>
            </w:r>
            <w:r>
              <w:rPr>
                <w:rFonts w:ascii="仿宋_GB2312" w:hAnsi="仿宋_GB2312" w:cs="仿宋_GB2312" w:eastAsia="仿宋_GB2312"/>
                <w:sz w:val="24"/>
                <w:color w:val="000000"/>
              </w:rPr>
              <w:t>包含保洁服务与公墓安全巡查服务。</w:t>
            </w:r>
          </w:p>
          <w:p>
            <w:pPr>
              <w:pStyle w:val="null3"/>
              <w:jc w:val="both"/>
            </w:pPr>
            <w:r>
              <w:rPr>
                <w:rFonts w:ascii="仿宋_GB2312" w:hAnsi="仿宋_GB2312" w:cs="仿宋_GB2312" w:eastAsia="仿宋_GB2312"/>
                <w:sz w:val="24"/>
                <w:b/>
                <w:color w:val="000000"/>
              </w:rPr>
              <w:t>三、服务时限与合同签订</w:t>
            </w:r>
          </w:p>
          <w:p>
            <w:pPr>
              <w:pStyle w:val="null3"/>
              <w:ind w:firstLine="480"/>
              <w:jc w:val="both"/>
            </w:pPr>
            <w:r>
              <w:rPr>
                <w:rFonts w:ascii="仿宋_GB2312" w:hAnsi="仿宋_GB2312" w:cs="仿宋_GB2312" w:eastAsia="仿宋_GB2312"/>
                <w:sz w:val="24"/>
                <w:color w:val="000000"/>
              </w:rPr>
              <w:t>服务合同时限为一年。</w:t>
            </w:r>
            <w:r>
              <w:rPr>
                <w:rFonts w:ascii="仿宋_GB2312" w:hAnsi="仿宋_GB2312" w:cs="仿宋_GB2312" w:eastAsia="仿宋_GB2312"/>
                <w:sz w:val="24"/>
                <w:color w:val="000000"/>
              </w:rPr>
              <w:t>本项目实行一次招标三年沿用（包含本年度），采用一年一考评一签合同的方式。服务期满后，若预算有保障且经考评合格，可续签合同。</w:t>
            </w:r>
          </w:p>
          <w:p>
            <w:pPr>
              <w:pStyle w:val="null3"/>
              <w:jc w:val="both"/>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后勤服务</w:t>
            </w:r>
            <w:r>
              <w:rPr>
                <w:rFonts w:ascii="仿宋_GB2312" w:hAnsi="仿宋_GB2312" w:cs="仿宋_GB2312" w:eastAsia="仿宋_GB2312"/>
                <w:sz w:val="24"/>
                <w:b/>
                <w:color w:val="000000"/>
              </w:rPr>
              <w:t>要求</w:t>
            </w:r>
          </w:p>
          <w:p>
            <w:pPr>
              <w:pStyle w:val="null3"/>
              <w:ind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保洁</w:t>
            </w:r>
            <w:r>
              <w:rPr>
                <w:rFonts w:ascii="仿宋_GB2312" w:hAnsi="仿宋_GB2312" w:cs="仿宋_GB2312" w:eastAsia="仿宋_GB2312"/>
                <w:sz w:val="24"/>
                <w:b/>
                <w:color w:val="000000"/>
              </w:rPr>
              <w:t>服务标准及</w:t>
            </w:r>
            <w:r>
              <w:rPr>
                <w:rFonts w:ascii="仿宋_GB2312" w:hAnsi="仿宋_GB2312" w:cs="仿宋_GB2312" w:eastAsia="仿宋_GB2312"/>
                <w:sz w:val="24"/>
                <w:b/>
                <w:color w:val="000000"/>
              </w:rPr>
              <w:t>要求</w:t>
            </w:r>
          </w:p>
          <w:p>
            <w:pPr>
              <w:pStyle w:val="null3"/>
              <w:ind w:firstLine="480"/>
              <w:jc w:val="both"/>
            </w:pPr>
            <w:r>
              <w:rPr>
                <w:rFonts w:ascii="仿宋_GB2312" w:hAnsi="仿宋_GB2312" w:cs="仿宋_GB2312" w:eastAsia="仿宋_GB2312"/>
                <w:sz w:val="24"/>
                <w:color w:val="000000"/>
              </w:rPr>
              <w:t>本项目中保洁服务地点分别在原汉中殡仪馆和公墓，保洁员</w:t>
            </w:r>
            <w:r>
              <w:rPr>
                <w:rFonts w:ascii="仿宋_GB2312" w:hAnsi="仿宋_GB2312" w:cs="仿宋_GB2312" w:eastAsia="仿宋_GB2312"/>
                <w:sz w:val="24"/>
                <w:color w:val="000000"/>
              </w:rPr>
              <w:t>6人。其中殡仪馆配置3人，公墓配置3人，</w:t>
            </w:r>
            <w:r>
              <w:rPr>
                <w:rFonts w:ascii="仿宋_GB2312" w:hAnsi="仿宋_GB2312" w:cs="仿宋_GB2312" w:eastAsia="仿宋_GB2312"/>
                <w:sz w:val="24"/>
                <w:color w:val="000000"/>
              </w:rPr>
              <w:t>实行</w:t>
            </w:r>
            <w:r>
              <w:rPr>
                <w:rFonts w:ascii="仿宋_GB2312" w:hAnsi="仿宋_GB2312" w:cs="仿宋_GB2312" w:eastAsia="仿宋_GB2312"/>
                <w:sz w:val="24"/>
                <w:color w:val="000000"/>
              </w:rPr>
              <w:t>8小时工作制（</w:t>
            </w:r>
            <w:r>
              <w:rPr>
                <w:rFonts w:ascii="仿宋_GB2312" w:hAnsi="仿宋_GB2312" w:cs="仿宋_GB2312" w:eastAsia="仿宋_GB2312"/>
                <w:sz w:val="24"/>
                <w:color w:val="000000"/>
              </w:rPr>
              <w:t>年龄不超过</w:t>
            </w:r>
            <w:r>
              <w:rPr>
                <w:rFonts w:ascii="仿宋_GB2312" w:hAnsi="仿宋_GB2312" w:cs="仿宋_GB2312" w:eastAsia="仿宋_GB2312"/>
                <w:sz w:val="24"/>
                <w:color w:val="000000"/>
              </w:rPr>
              <w:t>60</w:t>
            </w:r>
            <w:r>
              <w:rPr>
                <w:rFonts w:ascii="仿宋_GB2312" w:hAnsi="仿宋_GB2312" w:cs="仿宋_GB2312" w:eastAsia="仿宋_GB2312"/>
                <w:sz w:val="24"/>
                <w:color w:val="000000"/>
              </w:rPr>
              <w:t>周岁</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保洁质量标准</w:t>
            </w:r>
          </w:p>
          <w:p>
            <w:pPr>
              <w:pStyle w:val="null3"/>
              <w:ind w:firstLine="480"/>
              <w:jc w:val="both"/>
            </w:pPr>
            <w:r>
              <w:rPr>
                <w:rFonts w:ascii="仿宋_GB2312" w:hAnsi="仿宋_GB2312" w:cs="仿宋_GB2312" w:eastAsia="仿宋_GB2312"/>
                <w:sz w:val="24"/>
                <w:color w:val="000000"/>
              </w:rPr>
              <w:t>按照</w:t>
            </w:r>
            <w:r>
              <w:rPr>
                <w:rFonts w:ascii="仿宋_GB2312" w:hAnsi="仿宋_GB2312" w:cs="仿宋_GB2312" w:eastAsia="仿宋_GB2312"/>
                <w:sz w:val="24"/>
                <w:color w:val="000000"/>
              </w:rPr>
              <w:t>《殡葬管理条例》、《殡仪场所致病菌安全限值》</w:t>
            </w:r>
            <w:r>
              <w:rPr>
                <w:rFonts w:ascii="仿宋_GB2312" w:hAnsi="仿宋_GB2312" w:cs="仿宋_GB2312" w:eastAsia="仿宋_GB2312"/>
                <w:sz w:val="24"/>
                <w:color w:val="000000"/>
              </w:rPr>
              <w:t>(GB 19053-2024)</w:t>
            </w:r>
            <w:r>
              <w:rPr>
                <w:rFonts w:ascii="仿宋_GB2312" w:hAnsi="仿宋_GB2312" w:cs="仿宋_GB2312" w:eastAsia="仿宋_GB2312"/>
                <w:sz w:val="24"/>
                <w:color w:val="000000"/>
              </w:rPr>
              <w:t>、</w:t>
            </w:r>
            <w:r>
              <w:rPr>
                <w:rFonts w:ascii="仿宋_GB2312" w:hAnsi="仿宋_GB2312" w:cs="仿宋_GB2312" w:eastAsia="仿宋_GB2312"/>
                <w:sz w:val="24"/>
                <w:color w:val="000000"/>
              </w:rPr>
              <w:t>《公墓祭扫服务规范》</w:t>
            </w:r>
            <w:r>
              <w:rPr>
                <w:rFonts w:ascii="仿宋_GB2312" w:hAnsi="仿宋_GB2312" w:cs="仿宋_GB2312" w:eastAsia="仿宋_GB2312"/>
                <w:sz w:val="24"/>
                <w:color w:val="000000"/>
              </w:rPr>
              <w:t>(MZ/T038-2025)</w:t>
            </w:r>
            <w:r>
              <w:rPr>
                <w:rFonts w:ascii="仿宋_GB2312" w:hAnsi="仿宋_GB2312" w:cs="仿宋_GB2312" w:eastAsia="仿宋_GB2312"/>
                <w:sz w:val="24"/>
                <w:color w:val="000000"/>
              </w:rPr>
              <w:t>中</w:t>
            </w:r>
            <w:r>
              <w:rPr>
                <w:rFonts w:ascii="仿宋_GB2312" w:hAnsi="仿宋_GB2312" w:cs="仿宋_GB2312" w:eastAsia="仿宋_GB2312"/>
                <w:sz w:val="24"/>
                <w:color w:val="000000"/>
              </w:rPr>
              <w:t>有关条款</w:t>
            </w:r>
            <w:r>
              <w:rPr>
                <w:rFonts w:ascii="仿宋_GB2312" w:hAnsi="仿宋_GB2312" w:cs="仿宋_GB2312" w:eastAsia="仿宋_GB2312"/>
                <w:sz w:val="24"/>
                <w:color w:val="000000"/>
              </w:rPr>
              <w:t>标准执行</w:t>
            </w:r>
            <w:r>
              <w:rPr>
                <w:rFonts w:ascii="仿宋_GB2312" w:hAnsi="仿宋_GB2312" w:cs="仿宋_GB2312" w:eastAsia="仿宋_GB2312"/>
                <w:sz w:val="24"/>
                <w:color w:val="000000"/>
              </w:rPr>
              <w:t>，</w:t>
            </w:r>
            <w:r>
              <w:rPr>
                <w:rFonts w:ascii="仿宋_GB2312" w:hAnsi="仿宋_GB2312" w:cs="仿宋_GB2312" w:eastAsia="仿宋_GB2312"/>
                <w:sz w:val="24"/>
                <w:color w:val="000000"/>
              </w:rPr>
              <w:t>如有最新标准以最新标准为准</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保洁要求</w:t>
            </w:r>
          </w:p>
          <w:p>
            <w:pPr>
              <w:pStyle w:val="null3"/>
              <w:ind w:left="645"/>
              <w:jc w:val="both"/>
            </w:pPr>
            <w:r>
              <w:rPr>
                <w:rFonts w:ascii="仿宋_GB2312" w:hAnsi="仿宋_GB2312" w:cs="仿宋_GB2312" w:eastAsia="仿宋_GB2312"/>
                <w:sz w:val="24"/>
                <w:color w:val="000000"/>
              </w:rPr>
              <w:t>①作业方式及时间</w:t>
            </w:r>
            <w:r>
              <w:rPr>
                <w:rFonts w:ascii="仿宋_GB2312" w:hAnsi="仿宋_GB2312" w:cs="仿宋_GB2312" w:eastAsia="仿宋_GB2312"/>
                <w:sz w:val="21"/>
                <w:color w:val="000000"/>
              </w:rPr>
              <w:t xml:space="preserve">  </w:t>
            </w:r>
          </w:p>
          <w:p>
            <w:pPr>
              <w:pStyle w:val="null3"/>
              <w:ind w:firstLine="480"/>
              <w:jc w:val="both"/>
            </w:pPr>
            <w:r>
              <w:rPr>
                <w:rFonts w:ascii="仿宋_GB2312" w:hAnsi="仿宋_GB2312" w:cs="仿宋_GB2312" w:eastAsia="仿宋_GB2312"/>
                <w:sz w:val="24"/>
                <w:color w:val="000000"/>
              </w:rPr>
              <w:t>每日开展全面清扫与持续性保洁工作，</w:t>
            </w:r>
            <w:r>
              <w:rPr>
                <w:rFonts w:ascii="仿宋_GB2312" w:hAnsi="仿宋_GB2312" w:cs="仿宋_GB2312" w:eastAsia="仿宋_GB2312"/>
                <w:sz w:val="24"/>
                <w:color w:val="000000"/>
              </w:rPr>
              <w:t>依据季节变化、人流密度及</w:t>
            </w:r>
            <w:r>
              <w:rPr>
                <w:rFonts w:ascii="仿宋_GB2312" w:hAnsi="仿宋_GB2312" w:cs="仿宋_GB2312" w:eastAsia="仿宋_GB2312"/>
                <w:sz w:val="24"/>
                <w:color w:val="000000"/>
              </w:rPr>
              <w:t>路面实际状况动态增加全面清扫频次，</w:t>
            </w:r>
            <w:r>
              <w:rPr>
                <w:rFonts w:ascii="仿宋_GB2312" w:hAnsi="仿宋_GB2312" w:cs="仿宋_GB2312" w:eastAsia="仿宋_GB2312"/>
                <w:sz w:val="24"/>
                <w:color w:val="000000"/>
              </w:rPr>
              <w:t>其余时段实施不间断巡回保洁。雨雪天气可暂停全面清扫，但须保持巡回保洁。</w:t>
            </w:r>
            <w:r>
              <w:rPr>
                <w:rFonts w:ascii="仿宋_GB2312" w:hAnsi="仿宋_GB2312" w:cs="仿宋_GB2312" w:eastAsia="仿宋_GB2312"/>
                <w:sz w:val="24"/>
                <w:color w:val="000000"/>
              </w:rPr>
              <w:t xml:space="preserve">  </w:t>
            </w:r>
          </w:p>
          <w:p>
            <w:pPr>
              <w:pStyle w:val="null3"/>
              <w:ind w:firstLine="480"/>
              <w:jc w:val="both"/>
            </w:pPr>
            <w:r>
              <w:rPr>
                <w:rFonts w:ascii="仿宋_GB2312" w:hAnsi="仿宋_GB2312" w:cs="仿宋_GB2312" w:eastAsia="仿宋_GB2312"/>
                <w:sz w:val="24"/>
                <w:color w:val="000000"/>
              </w:rPr>
              <w:t>持续性保洁时段</w:t>
            </w:r>
            <w:r>
              <w:rPr>
                <w:rFonts w:ascii="仿宋_GB2312" w:hAnsi="仿宋_GB2312" w:cs="仿宋_GB2312" w:eastAsia="仿宋_GB2312"/>
                <w:sz w:val="24"/>
                <w:color w:val="000000"/>
              </w:rPr>
              <w:t>根据公墓和殡仪馆实际业务情况确定。</w:t>
            </w:r>
            <w:r>
              <w:rPr>
                <w:rFonts w:ascii="仿宋_GB2312" w:hAnsi="仿宋_GB2312" w:cs="仿宋_GB2312" w:eastAsia="仿宋_GB2312"/>
                <w:sz w:val="24"/>
                <w:color w:val="000000"/>
              </w:rPr>
              <w:t xml:space="preserve">  </w:t>
            </w:r>
          </w:p>
          <w:p>
            <w:pPr>
              <w:pStyle w:val="null3"/>
              <w:ind w:left="645"/>
              <w:jc w:val="left"/>
            </w:pPr>
            <w:r>
              <w:rPr>
                <w:rFonts w:ascii="仿宋_GB2312" w:hAnsi="仿宋_GB2312" w:cs="仿宋_GB2312" w:eastAsia="仿宋_GB2312"/>
                <w:sz w:val="24"/>
                <w:color w:val="000000"/>
              </w:rPr>
              <w:t>②日常保洁</w:t>
            </w:r>
            <w:r>
              <w:rPr>
                <w:rFonts w:ascii="仿宋_GB2312" w:hAnsi="仿宋_GB2312" w:cs="仿宋_GB2312" w:eastAsia="仿宋_GB2312"/>
                <w:sz w:val="21"/>
                <w:color w:val="000000"/>
              </w:rPr>
              <w:t xml:space="preserve">  </w:t>
            </w:r>
          </w:p>
          <w:p>
            <w:pPr>
              <w:pStyle w:val="null3"/>
              <w:ind w:firstLine="480"/>
              <w:jc w:val="both"/>
            </w:pPr>
            <w:r>
              <w:rPr>
                <w:rFonts w:ascii="仿宋_GB2312" w:hAnsi="仿宋_GB2312" w:cs="仿宋_GB2312" w:eastAsia="仿宋_GB2312"/>
                <w:sz w:val="24"/>
                <w:color w:val="000000"/>
              </w:rPr>
              <w:t>全面清扫时，应对</w:t>
            </w:r>
            <w:r>
              <w:rPr>
                <w:rFonts w:ascii="仿宋_GB2312" w:hAnsi="仿宋_GB2312" w:cs="仿宋_GB2312" w:eastAsia="仿宋_GB2312"/>
                <w:sz w:val="24"/>
                <w:color w:val="000000"/>
              </w:rPr>
              <w:t>殡仪馆及公墓办公区及区域内的道路、停车场、墓区、人行道进行彻底清洁，确保达到</w:t>
            </w:r>
            <w:r>
              <w:rPr>
                <w:rFonts w:ascii="仿宋_GB2312" w:hAnsi="仿宋_GB2312" w:cs="仿宋_GB2312" w:eastAsia="仿宋_GB2312"/>
                <w:sz w:val="24"/>
                <w:color w:val="000000"/>
              </w:rPr>
              <w:t xml:space="preserve">“五无五净”标准（“五无”具体指：无堆积物、无果皮纸屑、无砖瓦土石、无污泥积水、无痰涕烟蒂）。  </w:t>
            </w:r>
          </w:p>
          <w:p>
            <w:pPr>
              <w:pStyle w:val="null3"/>
              <w:ind w:firstLine="480"/>
              <w:jc w:val="both"/>
            </w:pPr>
            <w:r>
              <w:rPr>
                <w:rFonts w:ascii="仿宋_GB2312" w:hAnsi="仿宋_GB2312" w:cs="仿宋_GB2312" w:eastAsia="仿宋_GB2312"/>
                <w:sz w:val="24"/>
                <w:color w:val="000000"/>
              </w:rPr>
              <w:t>持续性</w:t>
            </w:r>
            <w:r>
              <w:rPr>
                <w:rFonts w:ascii="仿宋_GB2312" w:hAnsi="仿宋_GB2312" w:cs="仿宋_GB2312" w:eastAsia="仿宋_GB2312"/>
                <w:sz w:val="24"/>
                <w:color w:val="000000"/>
              </w:rPr>
              <w:t>保洁期间，保洁人员需进行巡回作业，使用小扫把、撮箕、垃圾钳等工具，及时清理路面可见的纸屑、果皮、饮料瓶、</w:t>
            </w:r>
            <w:r>
              <w:rPr>
                <w:rFonts w:ascii="仿宋_GB2312" w:hAnsi="仿宋_GB2312" w:cs="仿宋_GB2312" w:eastAsia="仿宋_GB2312"/>
                <w:sz w:val="24"/>
                <w:color w:val="000000"/>
              </w:rPr>
              <w:t>祭奠废弃物等垃圾，清除硬化区域地砖缝隙间的杂草。通过落实勤走动、勤观察、勤清扫的要求，保障馆区与墓区环境的整洁。</w:t>
            </w:r>
          </w:p>
          <w:p>
            <w:pPr>
              <w:pStyle w:val="null3"/>
              <w:ind w:firstLine="480"/>
              <w:jc w:val="both"/>
            </w:pPr>
            <w:r>
              <w:rPr>
                <w:rFonts w:ascii="仿宋_GB2312" w:hAnsi="仿宋_GB2312" w:cs="仿宋_GB2312" w:eastAsia="仿宋_GB2312"/>
                <w:sz w:val="24"/>
                <w:color w:val="000000"/>
              </w:rPr>
              <w:t>③公共设施保洁：花池台、坐凳、风雨亭、警示牌、宣传栏、灯柱等公共设施应进行常态化擦拭，确保其表面无积泥积灰、无青苔附着及无蜘蛛网等污渍。</w:t>
            </w:r>
          </w:p>
          <w:p>
            <w:pPr>
              <w:pStyle w:val="null3"/>
              <w:ind w:firstLine="480"/>
              <w:jc w:val="both"/>
            </w:pPr>
            <w:r>
              <w:rPr>
                <w:rFonts w:ascii="仿宋_GB2312" w:hAnsi="仿宋_GB2312" w:cs="仿宋_GB2312" w:eastAsia="仿宋_GB2312"/>
                <w:sz w:val="24"/>
                <w:color w:val="000000"/>
              </w:rPr>
              <w:t>⑤垃圾收集、运输和处理</w:t>
            </w:r>
            <w:r>
              <w:rPr>
                <w:rFonts w:ascii="仿宋_GB2312" w:hAnsi="仿宋_GB2312" w:cs="仿宋_GB2312" w:eastAsia="仿宋_GB2312"/>
                <w:sz w:val="24"/>
                <w:color w:val="000000"/>
              </w:rPr>
              <w:t>：</w:t>
            </w:r>
            <w:r>
              <w:rPr>
                <w:rFonts w:ascii="仿宋_GB2312" w:hAnsi="仿宋_GB2312" w:cs="仿宋_GB2312" w:eastAsia="仿宋_GB2312"/>
                <w:sz w:val="24"/>
                <w:color w:val="000000"/>
              </w:rPr>
              <w:t>垃圾</w:t>
            </w:r>
            <w:r>
              <w:rPr>
                <w:rFonts w:ascii="仿宋_GB2312" w:hAnsi="仿宋_GB2312" w:cs="仿宋_GB2312" w:eastAsia="仿宋_GB2312"/>
                <w:sz w:val="24"/>
                <w:color w:val="000000"/>
              </w:rPr>
              <w:t>箱内的垃圾应于每日</w:t>
            </w:r>
            <w:r>
              <w:rPr>
                <w:rFonts w:ascii="仿宋_GB2312" w:hAnsi="仿宋_GB2312" w:cs="仿宋_GB2312" w:eastAsia="仿宋_GB2312"/>
                <w:sz w:val="24"/>
                <w:color w:val="000000"/>
              </w:rPr>
              <w:t>12时</w:t>
            </w:r>
            <w:r>
              <w:rPr>
                <w:rFonts w:ascii="仿宋_GB2312" w:hAnsi="仿宋_GB2312" w:cs="仿宋_GB2312" w:eastAsia="仿宋_GB2312"/>
                <w:sz w:val="24"/>
                <w:color w:val="000000"/>
              </w:rPr>
              <w:t>前进行巡回清掏，遵循随清随运原则，确保箱内垃圾不溢满，无散落、存留垃圾及污水。垃圾应</w:t>
            </w:r>
            <w:r>
              <w:rPr>
                <w:rFonts w:ascii="仿宋_GB2312" w:hAnsi="仿宋_GB2312" w:cs="仿宋_GB2312" w:eastAsia="仿宋_GB2312"/>
                <w:sz w:val="24"/>
                <w:color w:val="000000"/>
              </w:rPr>
              <w:t>自行清运至指定倾倒点，</w:t>
            </w:r>
            <w:r>
              <w:rPr>
                <w:rFonts w:ascii="仿宋_GB2312" w:hAnsi="仿宋_GB2312" w:cs="仿宋_GB2312" w:eastAsia="仿宋_GB2312"/>
                <w:sz w:val="24"/>
                <w:color w:val="000000"/>
              </w:rPr>
              <w:t>严禁乱倒、乱卸、乱抛垃圾或实施就地焚烧行为。</w:t>
            </w:r>
          </w:p>
          <w:p>
            <w:pPr>
              <w:pStyle w:val="null3"/>
              <w:ind w:firstLine="480"/>
              <w:jc w:val="both"/>
            </w:pPr>
            <w:r>
              <w:rPr>
                <w:rFonts w:ascii="仿宋_GB2312" w:hAnsi="仿宋_GB2312" w:cs="仿宋_GB2312" w:eastAsia="仿宋_GB2312"/>
                <w:sz w:val="24"/>
                <w:color w:val="000000"/>
              </w:rPr>
              <w:t>⑥工具房及工具存放</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服务于本项目所有劳动</w:t>
            </w:r>
            <w:r>
              <w:rPr>
                <w:rFonts w:ascii="仿宋_GB2312" w:hAnsi="仿宋_GB2312" w:cs="仿宋_GB2312" w:eastAsia="仿宋_GB2312"/>
                <w:sz w:val="24"/>
                <w:color w:val="000000"/>
              </w:rPr>
              <w:t>工具</w:t>
            </w:r>
            <w:r>
              <w:rPr>
                <w:rFonts w:ascii="仿宋_GB2312" w:hAnsi="仿宋_GB2312" w:cs="仿宋_GB2312" w:eastAsia="仿宋_GB2312"/>
                <w:sz w:val="24"/>
                <w:color w:val="000000"/>
              </w:rPr>
              <w:t>（</w:t>
            </w:r>
            <w:r>
              <w:rPr>
                <w:rFonts w:ascii="仿宋_GB2312" w:hAnsi="仿宋_GB2312" w:cs="仿宋_GB2312" w:eastAsia="仿宋_GB2312"/>
                <w:sz w:val="24"/>
                <w:color w:val="000000"/>
              </w:rPr>
              <w:t>包括但不限于扫帚、抹布、</w:t>
            </w:r>
            <w:r>
              <w:rPr>
                <w:rFonts w:ascii="仿宋_GB2312" w:hAnsi="仿宋_GB2312" w:cs="仿宋_GB2312" w:eastAsia="仿宋_GB2312"/>
                <w:sz w:val="24"/>
                <w:color w:val="000000"/>
              </w:rPr>
              <w:t>小扫把、撮箕、</w:t>
            </w:r>
            <w:r>
              <w:rPr>
                <w:rFonts w:ascii="仿宋_GB2312" w:hAnsi="仿宋_GB2312" w:cs="仿宋_GB2312" w:eastAsia="仿宋_GB2312"/>
                <w:sz w:val="24"/>
                <w:color w:val="000000"/>
              </w:rPr>
              <w:t>垃圾袋、除臭及消毒产品等</w:t>
            </w:r>
            <w:r>
              <w:rPr>
                <w:rFonts w:ascii="仿宋_GB2312" w:hAnsi="仿宋_GB2312" w:cs="仿宋_GB2312" w:eastAsia="仿宋_GB2312"/>
                <w:sz w:val="24"/>
                <w:color w:val="000000"/>
              </w:rPr>
              <w:t>）</w:t>
            </w:r>
            <w:r>
              <w:rPr>
                <w:rFonts w:ascii="仿宋_GB2312" w:hAnsi="仿宋_GB2312" w:cs="仿宋_GB2312" w:eastAsia="仿宋_GB2312"/>
                <w:sz w:val="24"/>
                <w:color w:val="000000"/>
              </w:rPr>
              <w:t>均由中标单位承担，</w:t>
            </w:r>
            <w:r>
              <w:rPr>
                <w:rFonts w:ascii="仿宋_GB2312" w:hAnsi="仿宋_GB2312" w:cs="仿宋_GB2312" w:eastAsia="仿宋_GB2312"/>
                <w:sz w:val="24"/>
                <w:color w:val="000000"/>
              </w:rPr>
              <w:t>工具房只能存放保洁工具，不得堆放其他杂物或改作其他用途，严禁存放易燃易爆品。</w:t>
            </w:r>
          </w:p>
          <w:p>
            <w:pPr>
              <w:pStyle w:val="null3"/>
              <w:ind w:firstLine="537"/>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公共卫生间</w:t>
            </w:r>
            <w:r>
              <w:rPr>
                <w:rFonts w:ascii="仿宋_GB2312" w:hAnsi="仿宋_GB2312" w:cs="仿宋_GB2312" w:eastAsia="仿宋_GB2312"/>
                <w:sz w:val="24"/>
                <w:color w:val="000000"/>
              </w:rPr>
              <w:t>保洁标准</w:t>
            </w:r>
          </w:p>
          <w:p>
            <w:pPr>
              <w:pStyle w:val="null3"/>
              <w:ind w:firstLine="480"/>
              <w:jc w:val="left"/>
            </w:pPr>
            <w:r>
              <w:rPr>
                <w:rFonts w:ascii="仿宋_GB2312" w:hAnsi="仿宋_GB2312" w:cs="仿宋_GB2312" w:eastAsia="仿宋_GB2312"/>
                <w:sz w:val="24"/>
                <w:color w:val="000000"/>
              </w:rPr>
              <w:t>①</w:t>
            </w:r>
            <w:r>
              <w:rPr>
                <w:rFonts w:ascii="仿宋_GB2312" w:hAnsi="仿宋_GB2312" w:cs="仿宋_GB2312" w:eastAsia="仿宋_GB2312"/>
                <w:sz w:val="24"/>
                <w:color w:val="000000"/>
              </w:rPr>
              <w:t>公共卫生间</w:t>
            </w:r>
            <w:r>
              <w:rPr>
                <w:rFonts w:ascii="仿宋_GB2312" w:hAnsi="仿宋_GB2312" w:cs="仿宋_GB2312" w:eastAsia="仿宋_GB2312"/>
                <w:sz w:val="24"/>
                <w:color w:val="000000"/>
              </w:rPr>
              <w:t>保洁质量</w:t>
            </w:r>
            <w:r>
              <w:rPr>
                <w:rFonts w:ascii="仿宋_GB2312" w:hAnsi="仿宋_GB2312" w:cs="仿宋_GB2312" w:eastAsia="仿宋_GB2312"/>
                <w:sz w:val="24"/>
                <w:color w:val="000000"/>
              </w:rPr>
              <w:t>标准</w:t>
            </w:r>
          </w:p>
          <w:p>
            <w:pPr>
              <w:pStyle w:val="null3"/>
              <w:ind w:firstLine="480"/>
              <w:jc w:val="left"/>
            </w:pPr>
            <w:r>
              <w:rPr>
                <w:rFonts w:ascii="仿宋_GB2312" w:hAnsi="仿宋_GB2312" w:cs="仿宋_GB2312" w:eastAsia="仿宋_GB2312"/>
                <w:sz w:val="24"/>
                <w:color w:val="000000"/>
              </w:rPr>
              <w:t>纸片</w:t>
            </w:r>
            <w:r>
              <w:rPr>
                <w:rFonts w:ascii="仿宋_GB2312" w:hAnsi="仿宋_GB2312" w:cs="仿宋_GB2312" w:eastAsia="仿宋_GB2312"/>
                <w:sz w:val="24"/>
                <w:color w:val="000000"/>
              </w:rPr>
              <w:t>(块)≤2</w:t>
            </w:r>
            <w:r>
              <w:rPr>
                <w:rFonts w:ascii="仿宋_GB2312" w:hAnsi="仿宋_GB2312" w:cs="仿宋_GB2312" w:eastAsia="仿宋_GB2312"/>
                <w:sz w:val="24"/>
                <w:color w:val="000000"/>
              </w:rPr>
              <w:t>，</w:t>
            </w:r>
            <w:r>
              <w:rPr>
                <w:rFonts w:ascii="仿宋_GB2312" w:hAnsi="仿宋_GB2312" w:cs="仿宋_GB2312" w:eastAsia="仿宋_GB2312"/>
                <w:sz w:val="24"/>
                <w:color w:val="000000"/>
              </w:rPr>
              <w:t>烟蒂</w:t>
            </w:r>
            <w:r>
              <w:rPr>
                <w:rFonts w:ascii="仿宋_GB2312" w:hAnsi="仿宋_GB2312" w:cs="仿宋_GB2312" w:eastAsia="仿宋_GB2312"/>
                <w:sz w:val="24"/>
                <w:color w:val="000000"/>
              </w:rPr>
              <w:t>(个)≤2</w:t>
            </w:r>
            <w:r>
              <w:rPr>
                <w:rFonts w:ascii="仿宋_GB2312" w:hAnsi="仿宋_GB2312" w:cs="仿宋_GB2312" w:eastAsia="仿宋_GB2312"/>
                <w:sz w:val="24"/>
                <w:color w:val="000000"/>
              </w:rPr>
              <w:t>，</w:t>
            </w:r>
            <w:r>
              <w:rPr>
                <w:rFonts w:ascii="仿宋_GB2312" w:hAnsi="仿宋_GB2312" w:cs="仿宋_GB2312" w:eastAsia="仿宋_GB2312"/>
                <w:sz w:val="24"/>
                <w:color w:val="000000"/>
              </w:rPr>
              <w:t>无粪迹处</w:t>
            </w:r>
            <w:r>
              <w:rPr>
                <w:rFonts w:ascii="仿宋_GB2312" w:hAnsi="仿宋_GB2312" w:cs="仿宋_GB2312" w:eastAsia="仿宋_GB2312"/>
                <w:sz w:val="24"/>
                <w:color w:val="000000"/>
              </w:rPr>
              <w:t>，</w:t>
            </w:r>
            <w:r>
              <w:rPr>
                <w:rFonts w:ascii="仿宋_GB2312" w:hAnsi="仿宋_GB2312" w:cs="仿宋_GB2312" w:eastAsia="仿宋_GB2312"/>
                <w:sz w:val="24"/>
                <w:color w:val="000000"/>
              </w:rPr>
              <w:t>痰迹</w:t>
            </w:r>
            <w:r>
              <w:rPr>
                <w:rFonts w:ascii="仿宋_GB2312" w:hAnsi="仿宋_GB2312" w:cs="仿宋_GB2312" w:eastAsia="仿宋_GB2312"/>
                <w:sz w:val="24"/>
                <w:color w:val="000000"/>
              </w:rPr>
              <w:t>(处)≤2</w:t>
            </w:r>
            <w:r>
              <w:rPr>
                <w:rFonts w:ascii="仿宋_GB2312" w:hAnsi="仿宋_GB2312" w:cs="仿宋_GB2312" w:eastAsia="仿宋_GB2312"/>
                <w:sz w:val="24"/>
                <w:color w:val="000000"/>
              </w:rPr>
              <w:t>，</w:t>
            </w:r>
            <w:r>
              <w:rPr>
                <w:rFonts w:ascii="仿宋_GB2312" w:hAnsi="仿宋_GB2312" w:cs="仿宋_GB2312" w:eastAsia="仿宋_GB2312"/>
                <w:sz w:val="24"/>
                <w:color w:val="000000"/>
              </w:rPr>
              <w:t>窗格积灰微</w:t>
            </w:r>
            <w:r>
              <w:rPr>
                <w:rFonts w:ascii="仿宋_GB2312" w:hAnsi="仿宋_GB2312" w:cs="仿宋_GB2312" w:eastAsia="仿宋_GB2312"/>
                <w:sz w:val="24"/>
                <w:color w:val="000000"/>
              </w:rPr>
              <w:t>有</w:t>
            </w:r>
            <w:r>
              <w:rPr>
                <w:rFonts w:ascii="仿宋_GB2312" w:hAnsi="仿宋_GB2312" w:cs="仿宋_GB2312" w:eastAsia="仿宋_GB2312"/>
                <w:sz w:val="24"/>
                <w:color w:val="000000"/>
              </w:rPr>
              <w:t>，</w:t>
            </w:r>
            <w:r>
              <w:rPr>
                <w:rFonts w:ascii="仿宋_GB2312" w:hAnsi="仿宋_GB2312" w:cs="仿宋_GB2312" w:eastAsia="仿宋_GB2312"/>
                <w:sz w:val="24"/>
                <w:color w:val="000000"/>
              </w:rPr>
              <w:t>水厕臭味</w:t>
            </w:r>
            <w:r>
              <w:rPr>
                <w:rFonts w:ascii="仿宋_GB2312" w:hAnsi="仿宋_GB2312" w:cs="仿宋_GB2312" w:eastAsia="仿宋_GB2312"/>
                <w:sz w:val="24"/>
                <w:color w:val="000000"/>
              </w:rPr>
              <w:t>(级)≤1</w:t>
            </w:r>
            <w:r>
              <w:rPr>
                <w:rFonts w:ascii="仿宋_GB2312" w:hAnsi="仿宋_GB2312" w:cs="仿宋_GB2312" w:eastAsia="仿宋_GB2312"/>
                <w:sz w:val="24"/>
                <w:color w:val="000000"/>
              </w:rPr>
              <w:t>，</w:t>
            </w:r>
            <w:r>
              <w:rPr>
                <w:rFonts w:ascii="仿宋_GB2312" w:hAnsi="仿宋_GB2312" w:cs="仿宋_GB2312" w:eastAsia="仿宋_GB2312"/>
                <w:sz w:val="24"/>
                <w:color w:val="000000"/>
              </w:rPr>
              <w:t>水厕苍蝇</w:t>
            </w:r>
            <w:r>
              <w:rPr>
                <w:rFonts w:ascii="仿宋_GB2312" w:hAnsi="仿宋_GB2312" w:cs="仿宋_GB2312" w:eastAsia="仿宋_GB2312"/>
                <w:sz w:val="24"/>
                <w:color w:val="000000"/>
              </w:rPr>
              <w:t>(只)＜3</w:t>
            </w:r>
            <w:r>
              <w:rPr>
                <w:rFonts w:ascii="仿宋_GB2312" w:hAnsi="仿宋_GB2312" w:cs="仿宋_GB2312" w:eastAsia="仿宋_GB2312"/>
                <w:sz w:val="24"/>
                <w:color w:val="000000"/>
              </w:rPr>
              <w:t>，</w:t>
            </w:r>
            <w:r>
              <w:rPr>
                <w:rFonts w:ascii="仿宋_GB2312" w:hAnsi="仿宋_GB2312" w:cs="仿宋_GB2312" w:eastAsia="仿宋_GB2312"/>
                <w:sz w:val="24"/>
                <w:color w:val="000000"/>
              </w:rPr>
              <w:t>无蛛网</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②保洁标准</w:t>
            </w:r>
          </w:p>
          <w:p>
            <w:pPr>
              <w:pStyle w:val="null3"/>
              <w:ind w:firstLine="480"/>
              <w:jc w:val="both"/>
            </w:pPr>
            <w:r>
              <w:rPr>
                <w:rFonts w:ascii="仿宋_GB2312" w:hAnsi="仿宋_GB2312" w:cs="仿宋_GB2312" w:eastAsia="仿宋_GB2312"/>
                <w:sz w:val="24"/>
                <w:color w:val="000000"/>
              </w:rPr>
              <w:t>公厕外环境应整洁，无乱堆杂物，保洁工具应放置整齐。</w:t>
            </w:r>
          </w:p>
          <w:p>
            <w:pPr>
              <w:pStyle w:val="null3"/>
              <w:ind w:firstLine="480"/>
              <w:jc w:val="both"/>
            </w:pPr>
            <w:r>
              <w:rPr>
                <w:rFonts w:ascii="仿宋_GB2312" w:hAnsi="仿宋_GB2312" w:cs="仿宋_GB2312" w:eastAsia="仿宋_GB2312"/>
                <w:sz w:val="24"/>
                <w:color w:val="000000"/>
              </w:rPr>
              <w:t>公厕内采光、照明和通风应良好，无明显臭味，地面应光洁无积水。</w:t>
            </w:r>
          </w:p>
          <w:p>
            <w:pPr>
              <w:pStyle w:val="null3"/>
              <w:ind w:firstLine="480"/>
              <w:jc w:val="both"/>
            </w:pPr>
            <w:r>
              <w:rPr>
                <w:rFonts w:ascii="仿宋_GB2312" w:hAnsi="仿宋_GB2312" w:cs="仿宋_GB2312" w:eastAsia="仿宋_GB2312"/>
                <w:sz w:val="24"/>
                <w:color w:val="000000"/>
              </w:rPr>
              <w:t>便池应洁净见底基本无臭味。大便池两侧应无粪便污物，槽内无积粪，小便槽</w:t>
            </w:r>
            <w:r>
              <w:rPr>
                <w:rFonts w:ascii="仿宋_GB2312" w:hAnsi="仿宋_GB2312" w:cs="仿宋_GB2312" w:eastAsia="仿宋_GB2312"/>
                <w:sz w:val="24"/>
                <w:color w:val="000000"/>
              </w:rPr>
              <w:t>(斗)应无尿垢、水锈，管道保持畅通</w:t>
            </w:r>
            <w:r>
              <w:rPr>
                <w:rFonts w:ascii="仿宋_GB2312" w:hAnsi="仿宋_GB2312" w:cs="仿宋_GB2312" w:eastAsia="仿宋_GB2312"/>
                <w:sz w:val="24"/>
                <w:color w:val="000000"/>
              </w:rPr>
              <w:t>，</w:t>
            </w:r>
            <w:r>
              <w:rPr>
                <w:rFonts w:ascii="仿宋_GB2312" w:hAnsi="仿宋_GB2312" w:cs="仿宋_GB2312" w:eastAsia="仿宋_GB2312"/>
                <w:sz w:val="24"/>
                <w:color w:val="000000"/>
              </w:rPr>
              <w:t>维修报管理部门</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蝇蚊孳生季节，应定时喷洒灭蚊蝇药物，有效控制蝇蛆孳生。</w:t>
            </w:r>
          </w:p>
          <w:p>
            <w:pPr>
              <w:pStyle w:val="null3"/>
              <w:ind w:firstLine="480"/>
              <w:jc w:val="both"/>
            </w:pPr>
            <w:r>
              <w:rPr>
                <w:rFonts w:ascii="仿宋_GB2312" w:hAnsi="仿宋_GB2312" w:cs="仿宋_GB2312" w:eastAsia="仿宋_GB2312"/>
                <w:sz w:val="24"/>
                <w:color w:val="000000"/>
              </w:rPr>
              <w:t>保洁员统一着装挂牌上岗，衣着整洁，态度和蔼，树立良好服务形象</w:t>
            </w:r>
            <w:r>
              <w:rPr>
                <w:rFonts w:ascii="仿宋_GB2312" w:hAnsi="仿宋_GB2312" w:cs="仿宋_GB2312" w:eastAsia="仿宋_GB2312"/>
                <w:sz w:val="24"/>
                <w:color w:val="000000"/>
              </w:rPr>
              <w:t>，</w:t>
            </w:r>
            <w:r>
              <w:rPr>
                <w:rFonts w:ascii="仿宋_GB2312" w:hAnsi="仿宋_GB2312" w:cs="仿宋_GB2312" w:eastAsia="仿宋_GB2312"/>
                <w:sz w:val="24"/>
                <w:color w:val="000000"/>
              </w:rPr>
              <w:t>全天</w:t>
            </w:r>
            <w:r>
              <w:rPr>
                <w:rFonts w:ascii="仿宋_GB2312" w:hAnsi="仿宋_GB2312" w:cs="仿宋_GB2312" w:eastAsia="仿宋_GB2312"/>
                <w:sz w:val="24"/>
                <w:color w:val="000000"/>
              </w:rPr>
              <w:t>免费开放，定时清扫保洁。</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应急处理保洁</w:t>
            </w:r>
          </w:p>
          <w:p>
            <w:pPr>
              <w:pStyle w:val="null3"/>
              <w:ind w:firstLine="480"/>
              <w:jc w:val="both"/>
            </w:pPr>
            <w:r>
              <w:rPr>
                <w:rFonts w:ascii="仿宋_GB2312" w:hAnsi="仿宋_GB2312" w:cs="仿宋_GB2312" w:eastAsia="仿宋_GB2312"/>
                <w:sz w:val="24"/>
                <w:color w:val="000000"/>
              </w:rPr>
              <w:t>①遇</w:t>
            </w:r>
            <w:r>
              <w:rPr>
                <w:rFonts w:ascii="仿宋_GB2312" w:hAnsi="仿宋_GB2312" w:cs="仿宋_GB2312" w:eastAsia="仿宋_GB2312"/>
                <w:sz w:val="24"/>
                <w:color w:val="000000"/>
              </w:rPr>
              <w:t>重大节日</w:t>
            </w:r>
            <w:r>
              <w:rPr>
                <w:rFonts w:ascii="仿宋_GB2312" w:hAnsi="仿宋_GB2312" w:cs="仿宋_GB2312" w:eastAsia="仿宋_GB2312"/>
                <w:sz w:val="24"/>
                <w:color w:val="000000"/>
              </w:rPr>
              <w:t>（</w:t>
            </w:r>
            <w:r>
              <w:rPr>
                <w:rFonts w:ascii="仿宋_GB2312" w:hAnsi="仿宋_GB2312" w:cs="仿宋_GB2312" w:eastAsia="仿宋_GB2312"/>
                <w:sz w:val="24"/>
                <w:color w:val="000000"/>
              </w:rPr>
              <w:t>春节、清明节、寒衣节</w:t>
            </w:r>
            <w:r>
              <w:rPr>
                <w:rFonts w:ascii="仿宋_GB2312" w:hAnsi="仿宋_GB2312" w:cs="仿宋_GB2312" w:eastAsia="仿宋_GB2312"/>
                <w:sz w:val="24"/>
                <w:color w:val="000000"/>
              </w:rPr>
              <w:t>）</w:t>
            </w:r>
            <w:r>
              <w:rPr>
                <w:rFonts w:ascii="仿宋_GB2312" w:hAnsi="仿宋_GB2312" w:cs="仿宋_GB2312" w:eastAsia="仿宋_GB2312"/>
                <w:sz w:val="24"/>
                <w:color w:val="000000"/>
              </w:rPr>
              <w:t>、重大活动、重大检查时应加大保洁力度，增派保洁人员，确保圆满完成任务。</w:t>
            </w:r>
            <w:r>
              <w:rPr>
                <w:rFonts w:ascii="仿宋_GB2312" w:hAnsi="仿宋_GB2312" w:cs="仿宋_GB2312" w:eastAsia="仿宋_GB2312"/>
                <w:sz w:val="24"/>
                <w:color w:val="000000"/>
              </w:rPr>
              <w:t xml:space="preserve">     </w:t>
            </w:r>
          </w:p>
          <w:p>
            <w:pPr>
              <w:pStyle w:val="null3"/>
              <w:ind w:firstLine="480"/>
              <w:jc w:val="both"/>
            </w:pPr>
            <w:r>
              <w:rPr>
                <w:rFonts w:ascii="仿宋_GB2312" w:hAnsi="仿宋_GB2312" w:cs="仿宋_GB2312" w:eastAsia="仿宋_GB2312"/>
                <w:sz w:val="24"/>
                <w:color w:val="000000"/>
              </w:rPr>
              <w:t>②</w:t>
            </w:r>
            <w:r>
              <w:rPr>
                <w:rFonts w:ascii="仿宋_GB2312" w:hAnsi="仿宋_GB2312" w:cs="仿宋_GB2312" w:eastAsia="仿宋_GB2312"/>
                <w:sz w:val="24"/>
                <w:color w:val="000000"/>
              </w:rPr>
              <w:t>暴雨雪或大风极端天气过后</w:t>
            </w:r>
            <w:r>
              <w:rPr>
                <w:rFonts w:ascii="仿宋_GB2312" w:hAnsi="仿宋_GB2312" w:cs="仿宋_GB2312" w:eastAsia="仿宋_GB2312"/>
                <w:sz w:val="24"/>
                <w:color w:val="000000"/>
              </w:rPr>
              <w:t>应快速做出响应，第一时间投入人力物力尽快恢复</w:t>
            </w:r>
            <w:r>
              <w:rPr>
                <w:rFonts w:ascii="仿宋_GB2312" w:hAnsi="仿宋_GB2312" w:cs="仿宋_GB2312" w:eastAsia="仿宋_GB2312"/>
                <w:sz w:val="24"/>
                <w:color w:val="000000"/>
              </w:rPr>
              <w:t>馆区、墓区</w:t>
            </w:r>
            <w:r>
              <w:rPr>
                <w:rFonts w:ascii="仿宋_GB2312" w:hAnsi="仿宋_GB2312" w:cs="仿宋_GB2312" w:eastAsia="仿宋_GB2312"/>
                <w:sz w:val="24"/>
                <w:color w:val="000000"/>
              </w:rPr>
              <w:t>环境</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安全巡查服务职责及要求</w:t>
            </w:r>
          </w:p>
          <w:p>
            <w:pPr>
              <w:pStyle w:val="null3"/>
              <w:ind w:firstLine="240"/>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本次</w:t>
            </w:r>
            <w:r>
              <w:rPr>
                <w:rFonts w:ascii="仿宋_GB2312" w:hAnsi="仿宋_GB2312" w:cs="仿宋_GB2312" w:eastAsia="仿宋_GB2312"/>
                <w:sz w:val="24"/>
                <w:color w:val="000000"/>
              </w:rPr>
              <w:t>安全巡逻服务地点为公墓服务中心（汉台区骨灰公墓），</w:t>
            </w:r>
            <w:r>
              <w:rPr>
                <w:rFonts w:ascii="仿宋_GB2312" w:hAnsi="仿宋_GB2312" w:cs="仿宋_GB2312" w:eastAsia="仿宋_GB2312"/>
                <w:sz w:val="24"/>
                <w:color w:val="000000"/>
              </w:rPr>
              <w:t>实行</w:t>
            </w:r>
            <w:r>
              <w:rPr>
                <w:rFonts w:ascii="仿宋_GB2312" w:hAnsi="仿宋_GB2312" w:cs="仿宋_GB2312" w:eastAsia="仿宋_GB2312"/>
                <w:sz w:val="24"/>
                <w:color w:val="000000"/>
              </w:rPr>
              <w:t>24小时巡查值守制度，并依据不同时段开展安全巡查工作。服务内容包括汉台区骨灰公墓及汉台区城市公益性公墓墓区的安全管理巡查服务。</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岗位职责</w:t>
            </w:r>
          </w:p>
          <w:p>
            <w:pPr>
              <w:pStyle w:val="null3"/>
              <w:ind w:firstLine="52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安全巡查员须严格遵守公墓管理制度及仪容仪表规范，按时上下班，严格执行值班制度，确保</w:t>
            </w:r>
            <w:r>
              <w:rPr>
                <w:rFonts w:ascii="仿宋_GB2312" w:hAnsi="仿宋_GB2312" w:cs="仿宋_GB2312" w:eastAsia="仿宋_GB2312"/>
                <w:sz w:val="24"/>
                <w:color w:val="000000"/>
              </w:rPr>
              <w:t>24小时在岗。</w:t>
            </w:r>
          </w:p>
          <w:p>
            <w:pPr>
              <w:pStyle w:val="null3"/>
              <w:ind w:firstLine="52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2）每日</w:t>
            </w:r>
            <w:r>
              <w:rPr>
                <w:rFonts w:ascii="仿宋_GB2312" w:hAnsi="仿宋_GB2312" w:cs="仿宋_GB2312" w:eastAsia="仿宋_GB2312"/>
                <w:sz w:val="24"/>
                <w:color w:val="000000"/>
              </w:rPr>
              <w:t>08:00至12:00，巡查员主要在大门口值守，负责疏导车辆与人流，及时发现并制止各类潜在不安全事故，其他时间段定期巡查墓区，随时处置突发事件。</w:t>
            </w:r>
          </w:p>
          <w:p>
            <w:pPr>
              <w:pStyle w:val="null3"/>
              <w:ind w:firstLine="52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3）负责来人来访的询问、咨询及登记工作（门外），严禁不明身份人员、具有暴力倾向人员及图谋不轨人员进入墓园，通过监控设施关注墓区安全状况。</w:t>
            </w:r>
          </w:p>
          <w:p>
            <w:pPr>
              <w:pStyle w:val="null3"/>
              <w:ind w:firstLine="52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4）负责公墓办公区、墓区停车场、卫生间日常维护，保持良好的环境卫生。</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其他工作要求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1）人员配备：</w:t>
            </w:r>
            <w:r>
              <w:rPr>
                <w:rFonts w:ascii="仿宋_GB2312" w:hAnsi="仿宋_GB2312" w:cs="仿宋_GB2312" w:eastAsia="仿宋_GB2312"/>
                <w:sz w:val="24"/>
                <w:color w:val="000000"/>
              </w:rPr>
              <w:t>安全巡查员</w:t>
            </w:r>
            <w:r>
              <w:rPr>
                <w:rFonts w:ascii="仿宋_GB2312" w:hAnsi="仿宋_GB2312" w:cs="仿宋_GB2312" w:eastAsia="仿宋_GB2312"/>
                <w:sz w:val="24"/>
                <w:color w:val="000000"/>
              </w:rPr>
              <w:t>3名，年龄均不超过60周岁，须具备基本安全</w:t>
            </w:r>
            <w:r>
              <w:rPr>
                <w:rFonts w:ascii="仿宋_GB2312" w:hAnsi="仿宋_GB2312" w:cs="仿宋_GB2312" w:eastAsia="仿宋_GB2312"/>
                <w:sz w:val="24"/>
                <w:color w:val="000000"/>
              </w:rPr>
              <w:t>知识并熟练掌握灭火器的使用方法。</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2）工作资料管理：每月</w:t>
            </w:r>
            <w:r>
              <w:rPr>
                <w:rFonts w:ascii="仿宋_GB2312" w:hAnsi="仿宋_GB2312" w:cs="仿宋_GB2312" w:eastAsia="仿宋_GB2312"/>
                <w:sz w:val="24"/>
                <w:color w:val="000000"/>
              </w:rPr>
              <w:t>填写安全巡查情况报表并按要求报送。</w:t>
            </w:r>
          </w:p>
          <w:p>
            <w:pPr>
              <w:pStyle w:val="null3"/>
              <w:jc w:val="both"/>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、作业人员与作业管理</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1）作业人员必须遵守馆区墓区管理规定，服从采购人的管理安排。</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2）作业人员年龄须符合相关限制要求，并落实必要的保险措施。</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3）作业人员统一着装，保持服装干净整齐。</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清扫产生的垃圾不得随意倾倒，严禁在馆区墓区内进行填埋或焚烧行为。</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5）加强作业人员劳动保护，落实各项防暑降温措施，根据实际情况调整户外作业时间。中标单位工作人员的基本工资、五险一金、加班费、商业保险、高温费及政策性调增等所有费用由中标单位承担。</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中标单位应对所聘用人员加强安全生产教育，在工作过程中发生的安全事故及相关责任由</w:t>
            </w:r>
            <w:r>
              <w:rPr>
                <w:rFonts w:ascii="仿宋_GB2312" w:hAnsi="仿宋_GB2312" w:cs="仿宋_GB2312" w:eastAsia="仿宋_GB2312"/>
                <w:sz w:val="24"/>
                <w:color w:val="000000"/>
              </w:rPr>
              <w:t>中标单位</w:t>
            </w:r>
            <w:r>
              <w:rPr>
                <w:rFonts w:ascii="仿宋_GB2312" w:hAnsi="仿宋_GB2312" w:cs="仿宋_GB2312" w:eastAsia="仿宋_GB2312"/>
                <w:sz w:val="24"/>
                <w:color w:val="000000"/>
              </w:rPr>
              <w:t>承担</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7）中标单位应将在馆区墓区工作的人员名单提交采购人备案，每月考勤情况须经采购人管理人员审核；中标单位应保持员工队伍基本稳定，每月人员流动率不得超过</w:t>
            </w:r>
            <w:r>
              <w:rPr>
                <w:rFonts w:ascii="仿宋_GB2312" w:hAnsi="仿宋_GB2312" w:cs="仿宋_GB2312" w:eastAsia="仿宋_GB2312"/>
                <w:sz w:val="24"/>
                <w:color w:val="000000"/>
              </w:rPr>
              <w:t>20%。</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8）当采购人因举办大型活动、迎接上级部门检查或遭遇</w:t>
            </w:r>
            <w:r>
              <w:rPr>
                <w:rFonts w:ascii="仿宋_GB2312" w:hAnsi="仿宋_GB2312" w:cs="仿宋_GB2312" w:eastAsia="仿宋_GB2312"/>
                <w:sz w:val="24"/>
                <w:color w:val="000000"/>
              </w:rPr>
              <w:t>极端灾害性天气导致工作任务增加，向中标单位提出增派人员及设备的要求时，中标单位应无条件配合，并合理安排、调配工作人员，确保圆满完成工作任务。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按季度支付，第一季度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按季度支付，第二季度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按季度支付，第三季度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按季度支付，第四季度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1、在成交结果公示后，成交供应商向代理机构提交纸质投标文件叁份、分别胶装，加盖骑缝章，电子版U盘贰份，内容和通过电子化交易平台实施的政府采购项目提交的投标文件一致。 2、保证金若以金融机构、担保机构出具的保函形式则须在开标前一个工作日告知采购代理机构。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 显低于其他实质性响应的投标人报价，有可能 影响产品质量或者不能诚信履约的，评标委员 会应当要求其在合理的时间内提供成本构成书 面说明，并提交相关证明材料。书面说明应当 按照国家财务会计制度的规定要求，逐项就投 标人提供的货物、工程和服务的主营业务成本 （应根据投标人企业类型予以区别）、税金及附加、销售费用、管理费用、财务费用等成本 构成事项详细陈述。 2.投标人提交的相关说明 和证明材料，应当加盖投标人（法定名称）电子印 章，在评标委员会要求的时间内通过项目 电子化交易系统进行提交，否则提交的相关证 明材料无效。投标人不能证明其投标报价合理 性的，评标委员会应当将其投标文件作为无效 处理。 3.政府采购评审中出现下列情形之一的 ，评审委员会应当启动异常低价投标（响应） 审查程序： 3.1.投标（响应）报价低于全部通 过符合性审查供应商投标（响应）报价平均值50%的，即投标（响应）报价&lt;全部通过符合性 审查供应商投标（响应）报价平均值×50%； 3.2.投标（响应）报价低于通过符合性审查的次 低报价供应商投标（响应）报价50%的，即投 标（响应）报价&lt;通过符合性审查的次低报价供 应商投标（响应）报价×50%； 3.3.投标（响应）报价低于采购项目最高限价45%的，即投 标（响应）报价&lt;采购项目最高限价×45%； 3 .4.评审委员会基于专业判断，认为供应商报价过低，有可能影响产品质量或者不能诚信履约 的其他情形。采购人可以结合具体项目实际情 况，提高上述第3.1项至第3.3项中启动异常低 价投标（响应）审查的数值标准，但是最高不得超过65%。 相关法律法规对供应商报价有规定的，从其规定。</w:t>
            </w:r>
          </w:p>
        </w:tc>
        <w:tc>
          <w:tcPr>
            <w:tcW w:type="dxa" w:w="1661"/>
          </w:tcPr>
          <w:p>
            <w:pPr>
              <w:pStyle w:val="null3"/>
            </w:pPr>
            <w:r>
              <w:rPr>
                <w:rFonts w:ascii="仿宋_GB2312" w:hAnsi="仿宋_GB2312" w:cs="仿宋_GB2312" w:eastAsia="仿宋_GB2312"/>
              </w:rPr>
              <w:t>分项报价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响应文件的电子签章</w:t>
            </w:r>
          </w:p>
        </w:tc>
        <w:tc>
          <w:tcPr>
            <w:tcW w:type="dxa" w:w="3322"/>
          </w:tcPr>
          <w:p>
            <w:pPr>
              <w:pStyle w:val="null3"/>
            </w:pPr>
            <w:r>
              <w:rPr>
                <w:rFonts w:ascii="仿宋_GB2312" w:hAnsi="仿宋_GB2312" w:cs="仿宋_GB2312" w:eastAsia="仿宋_GB2312"/>
              </w:rPr>
              <w:t>响应文件按磋商文件要求进行电子签章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分项报价 残疾人福利性单位声明函 服务方案 标的清单 响应函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分项报价 残疾人福利性单位声明函 服务方案 标的清单 响应函 汉中市政府采购供应商资格承诺函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报价唯一，未超出采购预算或磋商文件规定的最高限价</w:t>
            </w:r>
          </w:p>
        </w:tc>
        <w:tc>
          <w:tcPr>
            <w:tcW w:type="dxa" w:w="1661"/>
          </w:tcPr>
          <w:p>
            <w:pPr>
              <w:pStyle w:val="null3"/>
            </w:pPr>
            <w:r>
              <w:rPr>
                <w:rFonts w:ascii="仿宋_GB2312" w:hAnsi="仿宋_GB2312" w:cs="仿宋_GB2312" w:eastAsia="仿宋_GB2312"/>
              </w:rPr>
              <w:t>分项报价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分项报价 残疾人福利性单位声明函 服务方案 标的清单 响应函 汉中市政府采购供应商资格承诺函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人员管理制度方案</w:t>
            </w:r>
          </w:p>
        </w:tc>
        <w:tc>
          <w:tcPr>
            <w:tcW w:type="dxa" w:w="2492"/>
          </w:tcPr>
          <w:p>
            <w:pPr>
              <w:pStyle w:val="null3"/>
            </w:pPr>
            <w:r>
              <w:rPr>
                <w:rFonts w:ascii="仿宋_GB2312" w:hAnsi="仿宋_GB2312" w:cs="仿宋_GB2312" w:eastAsia="仿宋_GB2312"/>
              </w:rPr>
              <w:t>供应商针对本项目有具体的人员管理制度方案，包括但不限于：①针对不同岗位有不同的培训制度、培训计划、方式、培训时长及培训次数；②人员录用与考核淘汰机制、奖惩制度、请销假制度； 以上各项内容全面明确、阐述条理清晰得10分，每缺一项扣5分，每项中的内容存在缺陷，扣0.1-4.9分，扣完为止。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供应商针对本项目有具体的安全管理方案，包括但不限于：①安全保障体系；②安全管理措施；③各项应急预案④突发事件处置方案； 以上各项内容全面明确、阐述条理清晰得16分，每缺一项扣4.0分，每项中的内容存在缺陷，扣0.1-3.9分，扣完为止。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根据供应商的承诺函进行评审，承诺内容如下： ①针对服务过程中所产生的垃圾能够承诺按相关要求及时分类及处理情况； ②针对本项目的保密承诺(包含但不限于采购人内部接触的照片、文字材料等重要信息)； ③针对本项目服务人员的薪资保障承诺，承诺按时向服务人员发放薪资。④上岗人员固定，不随意更换，若出现人员因事、病等不能工作的，及时调整其他人员补充，确保服务工作的正常进行；⑤储备可调度人员，调度人员能够保障临时性工作需要及处置突发事件。以上承诺每提供1个得1分，共计5分，无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投入本项目人员情况</w:t>
            </w:r>
          </w:p>
        </w:tc>
        <w:tc>
          <w:tcPr>
            <w:tcW w:type="dxa" w:w="2492"/>
          </w:tcPr>
          <w:p>
            <w:pPr>
              <w:pStyle w:val="null3"/>
            </w:pPr>
            <w:r>
              <w:rPr>
                <w:rFonts w:ascii="仿宋_GB2312" w:hAnsi="仿宋_GB2312" w:cs="仿宋_GB2312" w:eastAsia="仿宋_GB2312"/>
              </w:rPr>
              <w:t>供应商针对本项目有具体的配置人员专业、数量，详细的实施人员安排，分工合理、责任明确。包括但不限于：①服务团队配置包含：姓名、年龄、分工、工作经验等信息②附相关人员劳动合同及证书证件； 以上各项内容全面明确、阐述条理清晰得10分，每缺一项扣5分，每项中的内容存在缺陷，扣0.1-4.9分，扣完为止。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供应商提供2023年1月1日至今完成的类似业绩证明，每提供一份得2.0分，最高得4.0分； 注：业绩须是供应商完成的类似项目，提供中标通知书或协议书（合同）复印件加盖公章。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总体服务管理方案</w:t>
            </w:r>
          </w:p>
        </w:tc>
        <w:tc>
          <w:tcPr>
            <w:tcW w:type="dxa" w:w="2492"/>
          </w:tcPr>
          <w:p>
            <w:pPr>
              <w:pStyle w:val="null3"/>
            </w:pPr>
            <w:r>
              <w:rPr>
                <w:rFonts w:ascii="仿宋_GB2312" w:hAnsi="仿宋_GB2312" w:cs="仿宋_GB2312" w:eastAsia="仿宋_GB2312"/>
              </w:rPr>
              <w:t>供应商针对本项目有总体的服务管理方案，包括但不限于：①总体管理服务方案②管理组织架构及管理制度，保障措施； 以上各项内容全面明确、阐述条理清晰得10分，每缺一项扣5分，每项中的内容存在缺陷，扣0.1-4.9分，扣完为止。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供应商针对本项目有具体的保洁服务方案，包括但不限于：①室内外日常卫生服务方案②垃圾分类收集与处理③四害消杀； 以上各项内容全面明确、阐述条理清晰得9分，每缺一项扣3分，每项中的内容存在缺陷，扣0.1-2.9分，扣完为止。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安全巡查服务方案</w:t>
            </w:r>
          </w:p>
        </w:tc>
        <w:tc>
          <w:tcPr>
            <w:tcW w:type="dxa" w:w="2492"/>
          </w:tcPr>
          <w:p>
            <w:pPr>
              <w:pStyle w:val="null3"/>
            </w:pPr>
            <w:r>
              <w:rPr>
                <w:rFonts w:ascii="仿宋_GB2312" w:hAnsi="仿宋_GB2312" w:cs="仿宋_GB2312" w:eastAsia="仿宋_GB2312"/>
              </w:rPr>
              <w:t>供应商针对本项目有具体的安全巡查服务方案，包括但不限于：①勤务制度②车辆有效停放管理措施③秩序维护等安全防范方案； 以上各项内容全面明确、阐述条理清晰得9分，每缺一项扣3分，每项中的内容存在缺陷，扣0.1-2.9分，扣完为止。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供应商针对本项目有具体的服务质量保证措施，包括但不限于：①服务质量保证措施；②服务人员考核标准及质量监督方案；③服务时间保证措施； 以上各项内容全面明确、阐述条理清晰得12分，每缺一项扣4分，每项中的内容存在缺陷，扣0.1-3.9分，扣完为止。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2、以满足本次磋商文件要求的最低报价为评审基准价，其价格为满分； 3、不享有政策优惠条件的投标供应商报价得分=（评审基准价/报价）×15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详见附件：分项报价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