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版本号：ZDZC202605200120260611001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西安市农村乱占耕地非住宅类建房问题专项技术支撑项目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ZDZC2026052001</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西安市农村乱占耕地非住宅类建房问题专项技术支撑项目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ZDZC2026052001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西安市农村乱占耕地非住宅类建房问题专项技术支撑项目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为保证我市农村乱占耕地建非住宅类房屋专项整治工作高标准、高质量完成，顺利通过部、省考核验收，组织实施西安市农村乱占耕地非住宅类建房问题专项技术支撑项目。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采购包1（西安市农村乱占耕地非住宅类建房问题专项技术支撑项目）：属于专门面向中小企业采购。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2、资质证书：供应商须具备行业主管部门颁发的乙级及以上测绘资质。</w:t>
      </w:r>
    </w:p>
    <w:p>
      <w:pPr>
        <w:pStyle w:val="null3"/>
      </w:pPr>
      <w:r>
        <w:rPr>
          <w:rFonts w:ascii="仿宋_GB2312" w:hAnsi="仿宋_GB2312" w:cs="仿宋_GB2312" w:eastAsia="仿宋_GB2312"/>
        </w:rPr>
        <w:t>3、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4、财务状况报告：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p>
      <w:pPr>
        <w:pStyle w:val="null3"/>
      </w:pPr>
      <w:r>
        <w:rPr>
          <w:rFonts w:ascii="仿宋_GB2312" w:hAnsi="仿宋_GB2312" w:cs="仿宋_GB2312" w:eastAsia="仿宋_GB2312"/>
        </w:rPr>
        <w:t>5、书面声明：履行合同所必需的设备和专业技术能力：具备履行合同所必需的设备和专业技术能力的证明材料或书面声明。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6、社保缴纳证明：提供2025年6月至递交响应文件截止之日前已缴纳任意一个月的社会保障资金缴存单据或社保机构开具的社会保险参保缴费证明，依法不需要缴纳社会保障资金的单位应提供相应证明文件。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7、税收缴纳证明：提供2025年6月至递交响应文件截止之日前已缴纳的任意一个月依法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8、采购活动前三年内在经营活动中没有重大违法记录：提供《近三年无重大违法、违纪书面声明》。</w:t>
      </w:r>
    </w:p>
    <w:p>
      <w:pPr>
        <w:pStyle w:val="null3"/>
      </w:pPr>
      <w:r>
        <w:rPr>
          <w:rFonts w:ascii="仿宋_GB2312" w:hAnsi="仿宋_GB2312" w:cs="仿宋_GB2312" w:eastAsia="仿宋_GB2312"/>
        </w:rPr>
        <w:t>9、信用记录查询：供应商通过“信用中国”网站(www.creditchina.gov.cn)、中国政府采购网(www.ccgp.gov.cn)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以采购人或采购代理机构开标当天查询结果为准）</w:t>
      </w:r>
    </w:p>
    <w:p>
      <w:pPr>
        <w:pStyle w:val="null3"/>
      </w:pPr>
      <w:r>
        <w:rPr>
          <w:rFonts w:ascii="仿宋_GB2312" w:hAnsi="仿宋_GB2312" w:cs="仿宋_GB2312" w:eastAsia="仿宋_GB2312"/>
        </w:rPr>
        <w:t>10、关联关系：提供直接控股和管理关系清单。单位负责人为同一人或者存在直接控股、管理关系的不同供应商不得参加同一合同项下的政府采购活动。</w:t>
      </w:r>
    </w:p>
    <w:p>
      <w:pPr>
        <w:pStyle w:val="null3"/>
      </w:pPr>
      <w:r>
        <w:rPr>
          <w:rFonts w:ascii="仿宋_GB2312" w:hAnsi="仿宋_GB2312" w:cs="仿宋_GB2312" w:eastAsia="仿宋_GB2312"/>
        </w:rPr>
        <w:t>11、本项目不接受联合体磋商，不允许分包：供应商应提供《非联合体不分包磋商声明》，视为独立磋商，不分包。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18092099688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代理服务费收费标准：以成交金额为取费基数，招标代理服务费收取参照国家计委颁布的《招标代理服务收费管理暂行办法》（计价格[2002]1980号）和（发改办价格[2003]857号）收费标准计取。 代理服务费缴纳账户信息： 开户名称：正大鹏安建设项目管理有限公司 开户银行:陕西秦农农村商业银行股份有限公司新城支行， 账 号:2701131601201000028739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成果质量合格，符合部省相关政策和技术指引要求，通过市级审查。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联系人：梁博</w:t>
      </w:r>
    </w:p>
    <w:p>
      <w:pPr>
        <w:pStyle w:val="null3"/>
      </w:pPr>
      <w:r>
        <w:rPr>
          <w:rFonts w:ascii="仿宋_GB2312" w:hAnsi="仿宋_GB2312" w:cs="仿宋_GB2312" w:eastAsia="仿宋_GB2312"/>
        </w:rPr>
        <w:t>联系电话：13088999919</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为保证我市农村乱占耕地建非住宅类房屋专项整治工作高标准、高质量完成，顺利通过部、省考核验收，组织实施西安市农村乱占耕地非住宅类建房问题专项技术支撑项目。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西安市农村乱占耕地非住宅类建房问题专项技术支撑项目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标的名称：西安市农村乱占耕地非住宅类建房问题专项技术支撑项目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0"/>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jc w:val="both"/>
            </w:pPr>
            <w:r>
              <w:rPr>
                <w:rFonts w:ascii="仿宋_GB2312" w:hAnsi="仿宋_GB2312" w:cs="仿宋_GB2312" w:eastAsia="仿宋_GB2312"/>
                <w:sz w:val="24"/>
              </w:rPr>
              <w:t xml:space="preserve">   为保证我市农村乱占耕地建非住宅类房屋专项整治工作高标准、高质量完成，顺利通过部、省考核验收，组织实施西安市农村乱占耕地非住宅类建房问题专项技术支撑项目</w:t>
            </w:r>
            <w:r>
              <w:rPr>
                <w:rFonts w:ascii="仿宋_GB2312" w:hAnsi="仿宋_GB2312" w:cs="仿宋_GB2312" w:eastAsia="仿宋_GB2312"/>
                <w:sz w:val="24"/>
              </w:rPr>
              <w:t>。</w:t>
            </w:r>
          </w:p>
          <w:p>
            <w:pPr>
              <w:pStyle w:val="null3"/>
              <w:ind w:firstLine="500"/>
            </w:pPr>
            <w:r>
              <w:rPr>
                <w:rFonts w:ascii="仿宋_GB2312" w:hAnsi="仿宋_GB2312" w:cs="仿宋_GB2312" w:eastAsia="仿宋_GB2312"/>
                <w:sz w:val="24"/>
                <w:b/>
              </w:rPr>
              <w:t>二、服务内容</w:t>
            </w:r>
          </w:p>
          <w:p>
            <w:pPr>
              <w:pStyle w:val="null3"/>
              <w:ind w:left="420"/>
            </w:pPr>
            <w:r>
              <w:rPr>
                <w:rFonts w:ascii="仿宋_GB2312" w:hAnsi="仿宋_GB2312" w:cs="仿宋_GB2312" w:eastAsia="仿宋_GB2312"/>
                <w:sz w:val="24"/>
              </w:rPr>
              <w:t>（</w:t>
            </w:r>
            <w:r>
              <w:rPr>
                <w:rFonts w:ascii="仿宋_GB2312" w:hAnsi="仿宋_GB2312" w:cs="仿宋_GB2312" w:eastAsia="仿宋_GB2312"/>
                <w:sz w:val="24"/>
              </w:rPr>
              <w:t>1）补充摸排技术支撑</w:t>
            </w:r>
          </w:p>
          <w:p>
            <w:pPr>
              <w:pStyle w:val="null3"/>
              <w:ind w:firstLine="480"/>
              <w:jc w:val="both"/>
            </w:pPr>
            <w:r>
              <w:rPr>
                <w:rFonts w:ascii="仿宋_GB2312" w:hAnsi="仿宋_GB2312" w:cs="仿宋_GB2312" w:eastAsia="仿宋_GB2312"/>
                <w:sz w:val="24"/>
              </w:rPr>
              <w:t>根据国家下发的补充摸排方案，开展技术培训；对区县、开发区上报的补充摸排数据位置精度、地类用途、耕地面积、房屋分类、逻辑一致性、材料完整性等进行</w:t>
            </w:r>
            <w:r>
              <w:rPr>
                <w:rFonts w:ascii="仿宋_GB2312" w:hAnsi="仿宋_GB2312" w:cs="仿宋_GB2312" w:eastAsia="仿宋_GB2312"/>
                <w:sz w:val="24"/>
              </w:rPr>
              <w:t>100%内业核查；在内业核查基础上，按照一定比例对区县、开发区填报成果进行实地抽查核验，重点核查内业存疑图斑、典型问题图斑、涉及基本农田图斑以及随机抽取图斑。最终形成全市补充摸排数据成果，及时上报国家，并对摸排成果进行统计分析，形成最终摸排台账及相关总结报告。</w:t>
            </w:r>
          </w:p>
          <w:p>
            <w:pPr>
              <w:pStyle w:val="null3"/>
              <w:ind w:left="420"/>
            </w:pPr>
            <w:r>
              <w:rPr>
                <w:rFonts w:ascii="仿宋_GB2312" w:hAnsi="仿宋_GB2312" w:cs="仿宋_GB2312" w:eastAsia="仿宋_GB2312"/>
                <w:sz w:val="24"/>
              </w:rPr>
              <w:t>（</w:t>
            </w:r>
            <w:r>
              <w:rPr>
                <w:rFonts w:ascii="仿宋_GB2312" w:hAnsi="仿宋_GB2312" w:cs="仿宋_GB2312" w:eastAsia="仿宋_GB2312"/>
                <w:sz w:val="24"/>
              </w:rPr>
              <w:t>2）整治验收技术支撑</w:t>
            </w:r>
          </w:p>
          <w:p>
            <w:pPr>
              <w:pStyle w:val="null3"/>
              <w:ind w:firstLine="480"/>
              <w:jc w:val="both"/>
            </w:pPr>
            <w:r>
              <w:rPr>
                <w:rFonts w:ascii="仿宋_GB2312" w:hAnsi="仿宋_GB2312" w:cs="仿宋_GB2312" w:eastAsia="仿宋_GB2312"/>
                <w:sz w:val="24"/>
              </w:rPr>
              <w:t>开展整治工作相关技术培训；套合项目现状、规划、用地等信息，核实项目类型和整治标准，通过</w:t>
            </w:r>
            <w:r>
              <w:rPr>
                <w:rFonts w:ascii="仿宋_GB2312" w:hAnsi="仿宋_GB2312" w:cs="仿宋_GB2312" w:eastAsia="仿宋_GB2312"/>
                <w:sz w:val="24"/>
              </w:rPr>
              <w:t>GIS、RS等技术确保整治项目准确完整，完成成果上报并配合上级验收；精准测算整治工作量，为整治方案提供科学依据；利用卫星定位技术精准标定整治边界，指导整治位置分毫不差；通过前后影像比对精准验收复垦面积与效果，并将成果纳入整治平台实现长效监管，从而确保每一宗乱占耕地问题都能被精准、彻底、高效地整治到位，并有效防止反弹。</w:t>
            </w:r>
          </w:p>
          <w:p>
            <w:pPr>
              <w:pStyle w:val="null3"/>
              <w:ind w:left="1200"/>
            </w:pPr>
            <w:r>
              <w:rPr>
                <w:rFonts w:ascii="仿宋_GB2312" w:hAnsi="仿宋_GB2312" w:cs="仿宋_GB2312" w:eastAsia="仿宋_GB2312"/>
                <w:sz w:val="24"/>
              </w:rPr>
              <w:t xml:space="preserve">  （</w:t>
            </w:r>
            <w:r>
              <w:rPr>
                <w:rFonts w:ascii="仿宋_GB2312" w:hAnsi="仿宋_GB2312" w:cs="仿宋_GB2312" w:eastAsia="仿宋_GB2312"/>
                <w:sz w:val="24"/>
              </w:rPr>
              <w:t>3）遏制新增工作</w:t>
            </w:r>
          </w:p>
          <w:p>
            <w:pPr>
              <w:pStyle w:val="null3"/>
              <w:ind w:firstLine="480"/>
              <w:jc w:val="both"/>
            </w:pPr>
            <w:r>
              <w:rPr>
                <w:rFonts w:ascii="仿宋_GB2312" w:hAnsi="仿宋_GB2312" w:cs="仿宋_GB2312" w:eastAsia="仿宋_GB2312"/>
                <w:sz w:val="24"/>
              </w:rPr>
              <w:t>利用技术手段拓宽新增问题发现渠道，结合最新卫星影像、日常监测、年度变更调查等多种手段，依托遥感影像比对判读、基础数据生成等技术提取并下发疑似新增建房线索，督促区县限时核查整改，坚决遏制新增建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配合宣传等工作</w:t>
            </w:r>
          </w:p>
          <w:p>
            <w:pPr>
              <w:pStyle w:val="null3"/>
              <w:ind w:firstLine="480"/>
              <w:jc w:val="left"/>
            </w:pPr>
            <w:r>
              <w:rPr>
                <w:rFonts w:ascii="仿宋_GB2312" w:hAnsi="仿宋_GB2312" w:cs="仿宋_GB2312" w:eastAsia="仿宋_GB2312"/>
                <w:sz w:val="24"/>
              </w:rPr>
              <w:t>严格对标耕地保护相关法规、专项整治实施方案及</w:t>
            </w:r>
            <w:r>
              <w:rPr>
                <w:rFonts w:ascii="仿宋_GB2312" w:hAnsi="仿宋_GB2312" w:cs="仿宋_GB2312" w:eastAsia="仿宋_GB2312"/>
                <w:sz w:val="24"/>
              </w:rPr>
              <w:t>“八不准”管控要求，定制标准化通俗化专项宣传物料，印制政策解读单页、村组公示栏海报，同步做好全流程宣传台账归档、影像素材留存汇总，按需配合完成阶段性宣传核验、迎检备查工作，切实筑牢全域耕地保护思想防线，全面营造全民守耕、合规整改的属地良好工作氛围。</w:t>
            </w:r>
          </w:p>
          <w:p>
            <w:pPr>
              <w:pStyle w:val="null3"/>
              <w:ind w:firstLine="480"/>
              <w:jc w:val="left"/>
            </w:pP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ind w:firstLine="240"/>
              <w:jc w:val="both"/>
            </w:pPr>
            <w:r>
              <w:rPr>
                <w:rFonts w:ascii="仿宋_GB2312" w:hAnsi="仿宋_GB2312" w:cs="仿宋_GB2312" w:eastAsia="仿宋_GB2312"/>
                <w:sz w:val="24"/>
              </w:rPr>
              <w:t>（一）符合国家、省、市相关文件及行业技术标准要求。</w:t>
            </w:r>
          </w:p>
          <w:p>
            <w:pPr>
              <w:pStyle w:val="null3"/>
              <w:ind w:firstLine="240"/>
              <w:jc w:val="both"/>
            </w:pPr>
            <w:r>
              <w:rPr>
                <w:rFonts w:ascii="仿宋_GB2312" w:hAnsi="仿宋_GB2312" w:cs="仿宋_GB2312" w:eastAsia="仿宋_GB2312"/>
                <w:sz w:val="24"/>
              </w:rPr>
              <w:t>（二）服务要求：</w:t>
            </w:r>
          </w:p>
          <w:p>
            <w:pPr>
              <w:pStyle w:val="null3"/>
              <w:ind w:firstLine="480"/>
              <w:jc w:val="left"/>
            </w:pPr>
            <w:r>
              <w:rPr>
                <w:rFonts w:ascii="仿宋_GB2312" w:hAnsi="仿宋_GB2312" w:cs="仿宋_GB2312" w:eastAsia="仿宋_GB2312"/>
                <w:sz w:val="24"/>
              </w:rPr>
              <w:t>1、向采购人提供有效的技术指导、培训和支援。</w:t>
            </w:r>
          </w:p>
          <w:p>
            <w:pPr>
              <w:pStyle w:val="null3"/>
              <w:ind w:firstLine="480"/>
              <w:jc w:val="left"/>
            </w:pPr>
            <w:r>
              <w:rPr>
                <w:rFonts w:ascii="仿宋_GB2312" w:hAnsi="仿宋_GB2312" w:cs="仿宋_GB2312" w:eastAsia="仿宋_GB2312"/>
                <w:sz w:val="24"/>
              </w:rPr>
              <w:t>2、服务商需有较强的组织和协调能力，具有较高的理论素养和分析解决问题的能力。</w:t>
            </w:r>
          </w:p>
          <w:p>
            <w:pPr>
              <w:pStyle w:val="null3"/>
              <w:ind w:firstLine="480"/>
              <w:jc w:val="left"/>
            </w:pPr>
            <w:r>
              <w:rPr>
                <w:rFonts w:ascii="仿宋_GB2312" w:hAnsi="仿宋_GB2312" w:cs="仿宋_GB2312" w:eastAsia="仿宋_GB2312"/>
                <w:sz w:val="24"/>
              </w:rPr>
              <w:t>3、服务商应建立安全制度，担负项目成果资料的安全保密责任；</w:t>
            </w:r>
          </w:p>
          <w:p>
            <w:pPr>
              <w:pStyle w:val="null3"/>
              <w:ind w:firstLine="480"/>
              <w:jc w:val="left"/>
            </w:pPr>
            <w:r>
              <w:rPr>
                <w:rFonts w:ascii="仿宋_GB2312" w:hAnsi="仿宋_GB2312" w:cs="仿宋_GB2312" w:eastAsia="仿宋_GB2312"/>
                <w:sz w:val="24"/>
              </w:rPr>
              <w:t>4、服务商应制定合理的工作进度计划，明确时间节点，按合同约定按时提交成果。</w:t>
            </w:r>
          </w:p>
          <w:p>
            <w:pPr>
              <w:pStyle w:val="null3"/>
              <w:ind w:firstLine="480"/>
              <w:jc w:val="left"/>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 xml:space="preserve">  （一）服务期限</w:t>
            </w:r>
          </w:p>
          <w:p>
            <w:pPr>
              <w:pStyle w:val="null3"/>
              <w:ind w:firstLine="480"/>
              <w:jc w:val="both"/>
            </w:pPr>
            <w:r>
              <w:rPr>
                <w:rFonts w:ascii="仿宋_GB2312" w:hAnsi="仿宋_GB2312" w:cs="仿宋_GB2312" w:eastAsia="仿宋_GB2312"/>
                <w:sz w:val="24"/>
              </w:rPr>
              <w:t>自合同签订之日起至</w:t>
            </w:r>
            <w:r>
              <w:rPr>
                <w:rFonts w:ascii="仿宋_GB2312" w:hAnsi="仿宋_GB2312" w:cs="仿宋_GB2312" w:eastAsia="仿宋_GB2312"/>
                <w:sz w:val="24"/>
              </w:rPr>
              <w:t>2027年12月10日。</w:t>
            </w:r>
          </w:p>
          <w:p>
            <w:pPr>
              <w:pStyle w:val="null3"/>
              <w:jc w:val="both"/>
            </w:pPr>
            <w:r>
              <w:rPr>
                <w:rFonts w:ascii="仿宋_GB2312" w:hAnsi="仿宋_GB2312" w:cs="仿宋_GB2312" w:eastAsia="仿宋_GB2312"/>
                <w:sz w:val="24"/>
              </w:rPr>
              <w:t xml:space="preserve">  （二）款项结算</w:t>
            </w:r>
          </w:p>
          <w:p>
            <w:pPr>
              <w:pStyle w:val="null3"/>
              <w:ind w:firstLine="480"/>
            </w:pPr>
            <w:r>
              <w:rPr>
                <w:rFonts w:ascii="仿宋_GB2312" w:hAnsi="仿宋_GB2312" w:cs="仿宋_GB2312" w:eastAsia="仿宋_GB2312"/>
                <w:sz w:val="24"/>
              </w:rPr>
              <w:t>付款方式：</w:t>
            </w:r>
          </w:p>
          <w:p>
            <w:pPr>
              <w:pStyle w:val="null3"/>
              <w:jc w:val="left"/>
            </w:pPr>
            <w:r>
              <w:rPr>
                <w:rFonts w:ascii="仿宋_GB2312" w:hAnsi="仿宋_GB2312" w:cs="仿宋_GB2312" w:eastAsia="仿宋_GB2312"/>
                <w:sz w:val="24"/>
              </w:rPr>
              <w:t xml:space="preserve">   1、预付款，2026年，采购合同签订后，达到付款条件起10个工作日内，支付合同总金额的20.0%。</w:t>
            </w:r>
          </w:p>
          <w:p>
            <w:pPr>
              <w:pStyle w:val="null3"/>
            </w:pPr>
            <w:r>
              <w:rPr>
                <w:rFonts w:ascii="仿宋_GB2312" w:hAnsi="仿宋_GB2312" w:cs="仿宋_GB2312" w:eastAsia="仿宋_GB2312"/>
                <w:sz w:val="24"/>
              </w:rPr>
              <w:t xml:space="preserve">   2、进度款，固化整治工作台账后，达到付款条件起10个工作日内，支付合同总金额的20.0%。</w:t>
            </w:r>
          </w:p>
          <w:p>
            <w:pPr>
              <w:pStyle w:val="null3"/>
            </w:pPr>
            <w:r>
              <w:rPr>
                <w:rFonts w:ascii="仿宋_GB2312" w:hAnsi="仿宋_GB2312" w:cs="仿宋_GB2312" w:eastAsia="仿宋_GB2312"/>
                <w:sz w:val="24"/>
              </w:rPr>
              <w:t xml:space="preserve">   3、进度款，2027年7月整治基本完成后，达到付款条件起10个工作日内，支付合同总金额的30.0%。</w:t>
            </w:r>
          </w:p>
          <w:p>
            <w:pPr>
              <w:pStyle w:val="null3"/>
            </w:pPr>
            <w:r>
              <w:rPr>
                <w:rFonts w:ascii="仿宋_GB2312" w:hAnsi="仿宋_GB2312" w:cs="仿宋_GB2312" w:eastAsia="仿宋_GB2312"/>
                <w:sz w:val="24"/>
              </w:rPr>
              <w:t xml:space="preserve">   4、进度款，2027年12月10日前（服务时限以验收时间为准支付尾款），达到付款条件起</w:t>
            </w:r>
            <w:r>
              <w:rPr>
                <w:rFonts w:ascii="仿宋_GB2312" w:hAnsi="仿宋_GB2312" w:cs="仿宋_GB2312" w:eastAsia="仿宋_GB2312"/>
                <w:sz w:val="24"/>
              </w:rPr>
              <w:t>10个工作日内，支付合同总金额的30.0%。</w:t>
            </w:r>
          </w:p>
          <w:p>
            <w:pPr>
              <w:pStyle w:val="null3"/>
            </w:pPr>
            <w:r>
              <w:rPr>
                <w:rFonts w:ascii="仿宋_GB2312" w:hAnsi="仿宋_GB2312" w:cs="仿宋_GB2312" w:eastAsia="仿宋_GB2312"/>
                <w:sz w:val="24"/>
              </w:rPr>
              <w:t xml:space="preserve">  （三）质量验收标准或规范</w:t>
            </w:r>
          </w:p>
          <w:p>
            <w:pPr>
              <w:pStyle w:val="null3"/>
              <w:ind w:firstLine="480"/>
              <w:jc w:val="both"/>
            </w:pPr>
            <w:r>
              <w:rPr>
                <w:rFonts w:ascii="仿宋_GB2312" w:hAnsi="仿宋_GB2312" w:cs="仿宋_GB2312" w:eastAsia="仿宋_GB2312"/>
                <w:sz w:val="24"/>
              </w:rPr>
              <w:t>成果质量合格，符合部省相关政策和技术指引要求，通过市级审查。</w:t>
            </w:r>
          </w:p>
          <w:p>
            <w:pPr>
              <w:pStyle w:val="null3"/>
              <w:ind w:firstLine="500"/>
              <w:jc w:val="left"/>
            </w:pPr>
            <w:r>
              <w:rPr>
                <w:rFonts w:ascii="仿宋_GB2312" w:hAnsi="仿宋_GB2312" w:cs="仿宋_GB2312" w:eastAsia="仿宋_GB2312"/>
                <w:sz w:val="24"/>
                <w:b/>
              </w:rPr>
              <w:t>五</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1、招标、投标活动受国家法律保护和约束。招标投标双方遵守法律、法规和职业道德，凡在投标过程中弄虚作假，一经查出，追究责任方的法律、经济责任。</w:t>
            </w:r>
          </w:p>
          <w:p>
            <w:pPr>
              <w:pStyle w:val="null3"/>
              <w:ind w:firstLine="480"/>
              <w:jc w:val="both"/>
            </w:pPr>
            <w:r>
              <w:rPr>
                <w:rFonts w:ascii="仿宋_GB2312" w:hAnsi="仿宋_GB2312" w:cs="仿宋_GB2312" w:eastAsia="仿宋_GB2312"/>
                <w:sz w:val="24"/>
              </w:rPr>
              <w:t>2、双方发生合同争议时，应友好协商解决，不能达成协议时，及时向有关部门要求调解、仲裁或诉讼，发生索赔按现行法律、法规和合同执行。</w:t>
            </w:r>
          </w:p>
          <w:p>
            <w:pPr>
              <w:pStyle w:val="null3"/>
              <w:ind w:firstLine="480"/>
              <w:jc w:val="both"/>
            </w:pPr>
            <w:r>
              <w:rPr>
                <w:rFonts w:ascii="仿宋_GB2312" w:hAnsi="仿宋_GB2312" w:cs="仿宋_GB2312" w:eastAsia="仿宋_GB2312"/>
                <w:sz w:val="24"/>
              </w:rPr>
              <w:t>3、本文件未尽事宜按《中华人民共和国政府采购法》、《中华人民共和国政府采购法实施条例》及有关规定执行。</w:t>
            </w:r>
          </w:p>
          <w:p>
            <w:pPr>
              <w:pStyle w:val="null3"/>
              <w:ind w:firstLine="480"/>
              <w:jc w:val="both"/>
            </w:pPr>
            <w:r>
              <w:rPr>
                <w:rFonts w:ascii="仿宋_GB2312" w:hAnsi="仿宋_GB2312" w:cs="仿宋_GB2312" w:eastAsia="仿宋_GB2312"/>
                <w:sz w:val="24"/>
              </w:rPr>
              <w:t>4、成交单位不得对服务业务分包或转包。否则采购人有权终止合同，成交单位要承担由此造成的一切经济损失。</w:t>
            </w:r>
          </w:p>
          <w:p>
            <w:pPr>
              <w:pStyle w:val="null3"/>
              <w:ind w:firstLine="480"/>
              <w:jc w:val="both"/>
            </w:pPr>
            <w:r>
              <w:rPr>
                <w:rFonts w:ascii="仿宋_GB2312" w:hAnsi="仿宋_GB2312" w:cs="仿宋_GB2312" w:eastAsia="仿宋_GB2312"/>
                <w:sz w:val="24"/>
              </w:rPr>
              <w:t>5、成交单位不得在服务期间对项目管理人员进行更换，如遇特殊情况须经采购人同意；采购人发现项目管理人员工作不力时，有权提出更换人员，更换的人员必须及时到场。</w:t>
            </w:r>
          </w:p>
          <w:p>
            <w:pPr>
              <w:pStyle w:val="null3"/>
              <w:ind w:firstLine="480"/>
              <w:jc w:val="both"/>
            </w:pPr>
            <w:r>
              <w:rPr>
                <w:rFonts w:ascii="仿宋_GB2312" w:hAnsi="仿宋_GB2312" w:cs="仿宋_GB2312" w:eastAsia="仿宋_GB2312"/>
                <w:sz w:val="24"/>
              </w:rPr>
              <w:t>6.违约责任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1）按《中华人民共和国民法典》中的相关条款执行。</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2）未按合同要求提供服务或服务质量不能满足技术要求，采购人有权终止合同，并对供方违约行为进行追究，同时按《中华人民共和国政府采购法》的有关规定进行处罚。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自合同签订之日起至2027年12月10日。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成果质量合格，符合部省相关政策和技术指引要求，通过市级审查。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预付款，2026年，采购合同签订后，达到付款条件起10个工作日内，支付合同总金额的20.0%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固化整治工作台账后，达到付款条件起10个工作日内，支付合同总金额的20.0%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进度款，2027年7月整治基本完成后，达到付款条件起10个工作日内，支付合同总金额的30.0%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进度款，2027年12月10日前（服务时限以验收时间为准支付尾款），达到付款条件起10个工作日内，支付合同总金额的30.0%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双方发生合同争议时，应友好协商解决，不能达成协议时，及时向有关部门要求调解、仲裁或诉讼，发生索赔按现行法律、法规和合同执行。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1、本项目采购内容“西安市农村乱占耕地非住宅类建房问题专项技术支撑项目”对应的中小企业划分标准所属行业为：其他未列明行业。 2、投标人需要在线提交所有通过电子化交易平台实施的政府采购项目的投标文件，中标人在中标结果公示后线下递交纸质投标文件正本壹份、副本壹份，递交文件地点：陕西省西安市新城区长乐中路38号金花新都汇C座12层01室。 3、各投标人应根据“陕西省财政厅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供应商认为应提交的其它相关证明材料.docx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 响应函 供应商认为应提交的其它相关证明材料.docx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 供应商应提交的相关资格证明材料 供应商认为应提交的其它相关证明材料.docx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供应商认为应提交的其它相关证明材料.docx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提供营业执照等主体资格证明文件：提供有效存续的企业营业执照（副本）/事业单位法人证书/专业服务机构执业许可证/民办非企业单位登记证书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供应商认为应提交的其它相关证明材料.docx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供应商须具备行业主管部门颁发的乙级及以上测绘资质。</w:t>
            </w:r>
          </w:p>
        </w:tc>
        <w:tc>
          <w:tcPr>
            <w:tcW w:type="dxa" w:w="1661"/>
          </w:tcPr>
          <w:p>
            <w:pPr>
              <w:pStyle w:val="null3"/>
            </w:pPr>
            <w:r>
              <w:rPr>
                <w:rFonts w:ascii="仿宋_GB2312" w:hAnsi="仿宋_GB2312" w:cs="仿宋_GB2312" w:eastAsia="仿宋_GB2312"/>
              </w:rPr>
              <w:t>供应商应提交的相关资格证明材料 供应商认为应提交的其它相关证明材料.docx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 响应函 供应商认为应提交的其它相关证明材料.docx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商务应答表 供应商应提交的相关资格证明材料 响应函 供应商认为应提交的其它相关证明材料.docx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履行合同所必需的设备和专业技术能力：具备履行合同所必需的设备和专业技术能力的证明材料或书面声明。</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 响应函 供应商认为应提交的其它相关证明材料.docx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提供2025年6月至递交响应文件截止之日前已缴纳任意一个月的社会保障资金缴存单据或社保机构开具的社会保险参保缴费证明，依法不需要缴纳社会保障资金的单位应提供相应证明文件。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 供应商认为应提交的其它相关证明材料.docx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递交响应文件截止之日前已缴纳的任意一个月依法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 供应商认为应提交的其它相关证明材料.docx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供应商应提交的相关资格证明材料 供应商认为应提交的其它相关证明材料.docx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 供应商认为应提交的其它相关证明材料.docx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提供直接控股和管理关系清单。单位负责人为同一人或者存在直接控股、管理关系的不同供应商不得参加同一合同项下的政府采购活动。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供应商认为应提交的其它相关证明材料.docx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供应商应提交的相关资格证明材料 供应商认为应提交的其它相关证明材料.docx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磋商有效期是否满足招标最低要求90天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商务要求是否满足实质性要求的（服务期是否响应采购要求、付款方式是否响应采购要求，要求实质性条款全部响应，不能有采购人不能接受的附加条件。）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中小企业声明函 商务应答表 服务方案 供应商应提交的相关资格证明材料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项目理解与分析（9）</w:t>
            </w:r>
          </w:p>
        </w:tc>
        <w:tc>
          <w:tcPr>
            <w:tcW w:type="dxa" w:w="2492"/>
          </w:tcPr>
          <w:p>
            <w:pPr>
              <w:pStyle w:val="null3"/>
            </w:pPr>
            <w:r>
              <w:rPr>
                <w:rFonts w:ascii="仿宋_GB2312" w:hAnsi="仿宋_GB2312" w:cs="仿宋_GB2312" w:eastAsia="仿宋_GB2312"/>
              </w:rPr>
              <w:t>评审内容包括：①项目理解②需求分析③项目重难点分析 每一项内容全面详细、阐述条理清晰得3分，满分9分，每项存在一处缺陷，扣1分，扣完为止。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 （15）</w:t>
            </w:r>
          </w:p>
        </w:tc>
        <w:tc>
          <w:tcPr>
            <w:tcW w:type="dxa" w:w="2492"/>
          </w:tcPr>
          <w:p>
            <w:pPr>
              <w:pStyle w:val="null3"/>
            </w:pPr>
            <w:r>
              <w:rPr>
                <w:rFonts w:ascii="仿宋_GB2312" w:hAnsi="仿宋_GB2312" w:cs="仿宋_GB2312" w:eastAsia="仿宋_GB2312"/>
              </w:rPr>
              <w:t>评审内容包括：①总体工作方案②项目实施计划③组织实施方案。 每一项内容全面详细、阐述条理清晰得5分，满分15分，每项存在一处缺陷，扣1分，扣完为止。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项目关键性技术、重点难点的解决方案（9）</w:t>
            </w:r>
          </w:p>
        </w:tc>
        <w:tc>
          <w:tcPr>
            <w:tcW w:type="dxa" w:w="2492"/>
          </w:tcPr>
          <w:p>
            <w:pPr>
              <w:pStyle w:val="null3"/>
            </w:pPr>
            <w:r>
              <w:rPr>
                <w:rFonts w:ascii="仿宋_GB2312" w:hAnsi="仿宋_GB2312" w:cs="仿宋_GB2312" w:eastAsia="仿宋_GB2312"/>
              </w:rPr>
              <w:t>审内容包括：①对项目实施过程中重点、难点的认识、理解及分析；②针对项目实施重、难点拟定的解决方案；③针对西安市农村乱占耕地非住宅类建房问题专项技术支撑服务的增值服务方案。 每一项内容全面详细、阐述条理清晰得3分，满分9分，每项存在一处缺陷，扣1分，扣完为止。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质量控制方案（9）</w:t>
            </w:r>
          </w:p>
        </w:tc>
        <w:tc>
          <w:tcPr>
            <w:tcW w:type="dxa" w:w="2492"/>
          </w:tcPr>
          <w:p>
            <w:pPr>
              <w:pStyle w:val="null3"/>
            </w:pPr>
            <w:r>
              <w:rPr>
                <w:rFonts w:ascii="仿宋_GB2312" w:hAnsi="仿宋_GB2312" w:cs="仿宋_GB2312" w:eastAsia="仿宋_GB2312"/>
              </w:rPr>
              <w:t>评审内容包括：①各项质量保障措施②服务承诺③针对本项目的特色服务说明 每一项内容全面详细、阐述条理清晰得3分，满分9分，每项存在一处缺陷，扣1分，扣完为止。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 （5）</w:t>
            </w:r>
          </w:p>
        </w:tc>
        <w:tc>
          <w:tcPr>
            <w:tcW w:type="dxa" w:w="2492"/>
          </w:tcPr>
          <w:p>
            <w:pPr>
              <w:pStyle w:val="null3"/>
            </w:pPr>
            <w:r>
              <w:rPr>
                <w:rFonts w:ascii="仿宋_GB2312" w:hAnsi="仿宋_GB2312" w:cs="仿宋_GB2312" w:eastAsia="仿宋_GB2312"/>
              </w:rPr>
              <w:t>评审内容：结合本项目实际情况，有详细完整的保密控制措施，满分5分。每存在一处缺陷，扣1分，扣完为止。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针对突发事件应急处理方案（3）</w:t>
            </w:r>
          </w:p>
        </w:tc>
        <w:tc>
          <w:tcPr>
            <w:tcW w:type="dxa" w:w="2492"/>
          </w:tcPr>
          <w:p>
            <w:pPr>
              <w:pStyle w:val="null3"/>
            </w:pPr>
            <w:r>
              <w:rPr>
                <w:rFonts w:ascii="仿宋_GB2312" w:hAnsi="仿宋_GB2312" w:cs="仿宋_GB2312" w:eastAsia="仿宋_GB2312"/>
              </w:rPr>
              <w:t>根据针对突发事件应急处理方案的的完善性、合理性、可行性，进行综合赋分。方案内容完善、保障措施科学合理、针对性可行性强，得3分；每存在一处缺陷，扣0.5分，扣完为止。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拟投入本项目的专业服务团队（15）</w:t>
            </w:r>
          </w:p>
        </w:tc>
        <w:tc>
          <w:tcPr>
            <w:tcW w:type="dxa" w:w="2492"/>
          </w:tcPr>
          <w:p>
            <w:pPr>
              <w:pStyle w:val="null3"/>
            </w:pPr>
            <w:r>
              <w:rPr>
                <w:rFonts w:ascii="仿宋_GB2312" w:hAnsi="仿宋_GB2312" w:cs="仿宋_GB2312" w:eastAsia="仿宋_GB2312"/>
              </w:rPr>
              <w:t>1、项目技术负责人具有注册测绘师证书和高级职称，并且提供在本单位社保缴纳凭证，得3分，证明资料提供不全不得分。 2、项目成员中具有测绘类中级及以上职称（项目负责人和技术负责人外），并且提供在本单位社保缴纳凭证，每提供1名得1分，最高得10分，证明资料提供不全不得分。 3、项目成员中具有省级及以上测绘主管部门颁发的测绘地理信息成果质量检查员岗位培训证书的每提供1人得1分，最高得2分，并且提供在本单位社保缴纳凭证，证明资料提供不全不得分。（社保缴纳凭证为本年度任意一个月的缴纳凭证）</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管理体系认证（10）</w:t>
            </w:r>
          </w:p>
        </w:tc>
        <w:tc>
          <w:tcPr>
            <w:tcW w:type="dxa" w:w="2492"/>
          </w:tcPr>
          <w:p>
            <w:pPr>
              <w:pStyle w:val="null3"/>
            </w:pPr>
            <w:r>
              <w:rPr>
                <w:rFonts w:ascii="仿宋_GB2312" w:hAnsi="仿宋_GB2312" w:cs="仿宋_GB2312" w:eastAsia="仿宋_GB2312"/>
              </w:rPr>
              <w:t>提供供应商有效期内的ISO9001质量管理体系认证证书、ISO45001职业健康安全管理体系认证证书、ISO14001环境管理体系认证证书、ISO27001信息安全管理体系认证证书。四项证书齐全得10分，缺一项扣2.5分。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业绩（15）</w:t>
            </w:r>
          </w:p>
        </w:tc>
        <w:tc>
          <w:tcPr>
            <w:tcW w:type="dxa" w:w="2492"/>
          </w:tcPr>
          <w:p>
            <w:pPr>
              <w:pStyle w:val="null3"/>
            </w:pPr>
            <w:r>
              <w:rPr>
                <w:rFonts w:ascii="仿宋_GB2312" w:hAnsi="仿宋_GB2312" w:cs="仿宋_GB2312" w:eastAsia="仿宋_GB2312"/>
              </w:rPr>
              <w:t>供应商提供近年（2023年6月1日至响应文件递交截止时间）类似项目业绩（以合同签订日期为准），每提供一份得3分，共15分。 注：业绩证明材料须提供加盖供应商公章的合同（协议）。提供的材料应包含项目名称、合同双方盖章页、签订日期等内容，否则不得分。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价格分（10）</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详见附件：供应商认为应提交的其它相关证明材料.docx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