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版本号：0617-2612GZ1904.1B120260727001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学校部室改造、屋面防水维修项目(二次)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0617-2612GZ1904.1B1</w:t>
      </w:r>
      <w:r>
        <w:br/>
      </w:r>
      <w:r>
        <w:br/>
      </w:r>
      <w:r>
        <w:br/>
      </w:r>
    </w:p>
    <w:p>
      <w:pPr>
        <w:pStyle w:val="null3"/>
        <w:jc w:val="center"/>
        <w:outlineLvl w:val="2"/>
      </w:pPr>
      <w:r>
        <w:rPr>
          <w:rFonts w:ascii="仿宋_GB2312" w:hAnsi="仿宋_GB2312" w:cs="仿宋_GB2312" w:eastAsia="仿宋_GB2312"/>
          <w:sz w:val="28"/>
          <w:b/>
        </w:rPr>
        <w:t>西安市雁塔区大雁塔小学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西安市雁塔区大雁塔小学</w:t>
      </w:r>
      <w:r>
        <w:rPr>
          <w:rFonts w:ascii="仿宋_GB2312" w:hAnsi="仿宋_GB2312" w:cs="仿宋_GB2312" w:eastAsia="仿宋_GB2312"/>
        </w:rPr>
        <w:t>委托，拟对</w:t>
      </w:r>
      <w:r>
        <w:rPr>
          <w:rFonts w:ascii="仿宋_GB2312" w:hAnsi="仿宋_GB2312" w:cs="仿宋_GB2312" w:eastAsia="仿宋_GB2312"/>
        </w:rPr>
        <w:t>学校部室改造、屋面防水维修项目(二次)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0617-2612GZ1904.1B1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学校部室改造、屋面防水维修项目(二次)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大雁塔小学综合楼、教学楼防水改造及美术室、音乐室、书法室、阅览室装修改造工程。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采购包1（学校部室改造、屋面防水维修项目）：属于专门面向小微企业采购。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1、供应商资质：须具备建筑工程总承包三级及以上资质，且具备有效的安全生产许可证</w:t>
      </w:r>
    </w:p>
    <w:p>
      <w:pPr>
        <w:pStyle w:val="null3"/>
      </w:pPr>
      <w:r>
        <w:rPr>
          <w:rFonts w:ascii="仿宋_GB2312" w:hAnsi="仿宋_GB2312" w:cs="仿宋_GB2312" w:eastAsia="仿宋_GB2312"/>
        </w:rPr>
        <w:t>2、拟派项目负责人资质和专业要求：具有建筑工程专业二级及以上注册建造师执业资格，具有有效的安全生产考核合格证书（建安B证），在本单位注册，且未担任其他在建设工程项目的项目经理：具有建筑工程专业二级及以上注册建造师执业资格，具有有效的安全生产考核合格证书（建安B证），在本单位注册，且未担任其他在建设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西安市雁塔区大雁塔小学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防水卷材、乳胶漆等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代理服务费收费标准：1.固定收费6000元。 2.缴费时间：确定成交人后3日内，由成交人向招标代理机构一次付清招标代理服务费。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西安市雁塔区大雁塔小学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西安市雁塔区大雁塔小学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西安市雁塔区大雁塔小学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424,794.03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学校部室改造、屋面防水维修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425,000.00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标的名称：学校部室改造、屋面防水维修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1.项目名称：</w:t>
            </w:r>
          </w:p>
          <w:p>
            <w:pPr>
              <w:pStyle w:val="null3"/>
              <w:ind w:firstLine="420"/>
              <w:jc w:val="both"/>
            </w:pPr>
            <w:r>
              <w:rPr>
                <w:rFonts w:ascii="仿宋_GB2312" w:hAnsi="仿宋_GB2312" w:cs="仿宋_GB2312" w:eastAsia="仿宋_GB2312"/>
                <w:sz w:val="21"/>
              </w:rPr>
              <w:t>学校部室改造、屋面防水维修项</w:t>
            </w:r>
          </w:p>
          <w:p>
            <w:pPr>
              <w:pStyle w:val="null3"/>
              <w:jc w:val="both"/>
            </w:pPr>
            <w:r>
              <w:rPr>
                <w:rFonts w:ascii="仿宋_GB2312" w:hAnsi="仿宋_GB2312" w:cs="仿宋_GB2312" w:eastAsia="仿宋_GB2312"/>
                <w:sz w:val="21"/>
              </w:rPr>
              <w:t>2.项目概况：</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本项目采购内容为：</w:t>
            </w:r>
            <w:r>
              <w:rPr>
                <w:rFonts w:ascii="仿宋_GB2312" w:hAnsi="仿宋_GB2312" w:cs="仿宋_GB2312" w:eastAsia="仿宋_GB2312"/>
                <w:sz w:val="21"/>
              </w:rPr>
              <w:t>大雁塔小学</w:t>
            </w:r>
            <w:r>
              <w:rPr>
                <w:rFonts w:ascii="仿宋_GB2312" w:hAnsi="仿宋_GB2312" w:cs="仿宋_GB2312" w:eastAsia="仿宋_GB2312"/>
                <w:sz w:val="21"/>
              </w:rPr>
              <w:t>综合楼、教学楼</w:t>
            </w:r>
            <w:r>
              <w:rPr>
                <w:rFonts w:ascii="仿宋_GB2312" w:hAnsi="仿宋_GB2312" w:cs="仿宋_GB2312" w:eastAsia="仿宋_GB2312"/>
                <w:sz w:val="21"/>
              </w:rPr>
              <w:t>防水改造及</w:t>
            </w:r>
            <w:r>
              <w:rPr>
                <w:rFonts w:ascii="仿宋_GB2312" w:hAnsi="仿宋_GB2312" w:cs="仿宋_GB2312" w:eastAsia="仿宋_GB2312"/>
                <w:sz w:val="21"/>
              </w:rPr>
              <w:t>美术室、音乐室、书法室、阅览室</w:t>
            </w:r>
            <w:r>
              <w:rPr>
                <w:rFonts w:ascii="仿宋_GB2312" w:hAnsi="仿宋_GB2312" w:cs="仿宋_GB2312" w:eastAsia="仿宋_GB2312"/>
                <w:sz w:val="21"/>
              </w:rPr>
              <w:t>装修</w:t>
            </w:r>
            <w:r>
              <w:rPr>
                <w:rFonts w:ascii="仿宋_GB2312" w:hAnsi="仿宋_GB2312" w:cs="仿宋_GB2312" w:eastAsia="仿宋_GB2312"/>
                <w:sz w:val="21"/>
              </w:rPr>
              <w:t>改造工程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shd w:fill="FFFFFF" w:val="clear"/>
              </w:rPr>
              <w:t>采购需求：</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rPr>
              <w:t>综合楼、教学楼防水改造</w:t>
            </w:r>
            <w:r>
              <w:rPr>
                <w:rFonts w:ascii="仿宋_GB2312" w:hAnsi="仿宋_GB2312" w:cs="仿宋_GB2312" w:eastAsia="仿宋_GB2312"/>
              </w:rPr>
              <w:t>和对各部室进行装修改造，具体内容详见工程量清单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shd w:fill="FFFFFF" w:val="clear"/>
              </w:rPr>
              <w:t>4.合同履行期限：</w:t>
            </w:r>
            <w:r>
              <w:rPr>
                <w:rFonts w:ascii="仿宋_GB2312" w:hAnsi="仿宋_GB2312" w:cs="仿宋_GB2312" w:eastAsia="仿宋_GB2312"/>
                <w:sz w:val="21"/>
              </w:rPr>
              <w:t>30天(具体以签订合同为准)</w:t>
            </w:r>
          </w:p>
          <w:p>
            <w:pPr>
              <w:pStyle w:val="null3"/>
              <w:jc w:val="both"/>
            </w:pPr>
            <w:r>
              <w:rPr>
                <w:rFonts w:ascii="仿宋_GB2312" w:hAnsi="仿宋_GB2312" w:cs="仿宋_GB2312" w:eastAsia="仿宋_GB2312"/>
                <w:sz w:val="21"/>
                <w:shd w:fill="FFFFFF" w:val="clear"/>
              </w:rPr>
              <w:t>5.质量要求：</w:t>
            </w:r>
            <w:r>
              <w:rPr>
                <w:rFonts w:ascii="仿宋_GB2312" w:hAnsi="仿宋_GB2312" w:cs="仿宋_GB2312" w:eastAsia="仿宋_GB2312"/>
                <w:sz w:val="21"/>
              </w:rPr>
              <w:t>施工符合《屋面工程技术规范》及建筑防水工程相关标准。约定质保期不少于</w:t>
            </w:r>
            <w:r>
              <w:rPr>
                <w:rFonts w:ascii="仿宋_GB2312" w:hAnsi="仿宋_GB2312" w:cs="仿宋_GB2312" w:eastAsia="仿宋_GB2312"/>
                <w:sz w:val="21"/>
              </w:rPr>
              <w:t>5年，质保期内出现渗漏免费返修。验收要求连续下雨或闭水试验不少于24小时，顶层无渗水、无湿痕。本项目的施工符合国家及行业验收合格标准，组织相应人员进行验收。</w:t>
            </w:r>
          </w:p>
          <w:p>
            <w:pPr>
              <w:pStyle w:val="null3"/>
              <w:jc w:val="both"/>
            </w:pPr>
            <w:r>
              <w:rPr>
                <w:rFonts w:ascii="仿宋_GB2312" w:hAnsi="仿宋_GB2312" w:cs="仿宋_GB2312" w:eastAsia="仿宋_GB2312"/>
                <w:sz w:val="21"/>
                <w:shd w:fill="FFFFFF" w:val="clear"/>
              </w:rPr>
              <w:t>6.本项目不接受联合体投标。</w:t>
            </w:r>
          </w:p>
          <w:p>
            <w:pPr>
              <w:pStyle w:val="null3"/>
              <w:jc w:val="both"/>
            </w:pPr>
            <w:r>
              <w:rPr>
                <w:rFonts w:ascii="仿宋_GB2312" w:hAnsi="仿宋_GB2312" w:cs="仿宋_GB2312" w:eastAsia="仿宋_GB2312"/>
                <w:sz w:val="21"/>
                <w:shd w:fill="FFFFFF" w:val="clear"/>
              </w:rPr>
              <w:t>7.工程量清单以电子版附件形式发出。</w:t>
            </w:r>
          </w:p>
          <w:p>
            <w:pPr>
              <w:pStyle w:val="null3"/>
            </w:pPr>
            <w:r>
              <w:rPr>
                <w:rFonts w:ascii="仿宋_GB2312" w:hAnsi="仿宋_GB2312" w:cs="仿宋_GB2312" w:eastAsia="仿宋_GB2312"/>
                <w:sz w:val="32"/>
                <w:b/>
              </w:rPr>
              <w:t>清单编制说明</w:t>
            </w:r>
          </w:p>
          <w:p>
            <w:pPr>
              <w:pStyle w:val="null3"/>
              <w:jc w:val="both"/>
            </w:pPr>
            <w:r>
              <w:rPr>
                <w:rFonts w:ascii="仿宋_GB2312" w:hAnsi="仿宋_GB2312" w:cs="仿宋_GB2312" w:eastAsia="仿宋_GB2312"/>
                <w:sz w:val="21"/>
              </w:rPr>
              <w:t>一、工程基本情况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工程名称：大雁塔小学防水改造及部室装修项目。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建设地点：陕西省</w:t>
            </w:r>
            <w:r>
              <w:rPr>
                <w:rFonts w:ascii="仿宋_GB2312" w:hAnsi="仿宋_GB2312" w:cs="仿宋_GB2312" w:eastAsia="仿宋_GB2312"/>
                <w:sz w:val="21"/>
              </w:rPr>
              <w:t>西安</w:t>
            </w:r>
            <w:r>
              <w:rPr>
                <w:rFonts w:ascii="仿宋_GB2312" w:hAnsi="仿宋_GB2312" w:cs="仿宋_GB2312" w:eastAsia="仿宋_GB2312"/>
                <w:sz w:val="21"/>
              </w:rPr>
              <w:t>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工程概况：大雁塔小学</w:t>
            </w:r>
            <w:r>
              <w:rPr>
                <w:rFonts w:ascii="仿宋_GB2312" w:hAnsi="仿宋_GB2312" w:cs="仿宋_GB2312" w:eastAsia="仿宋_GB2312"/>
                <w:sz w:val="21"/>
              </w:rPr>
              <w:t>综合楼、教学楼</w:t>
            </w:r>
            <w:r>
              <w:rPr>
                <w:rFonts w:ascii="仿宋_GB2312" w:hAnsi="仿宋_GB2312" w:cs="仿宋_GB2312" w:eastAsia="仿宋_GB2312"/>
                <w:sz w:val="21"/>
              </w:rPr>
              <w:t>防水改造及</w:t>
            </w:r>
            <w:r>
              <w:rPr>
                <w:rFonts w:ascii="仿宋_GB2312" w:hAnsi="仿宋_GB2312" w:cs="仿宋_GB2312" w:eastAsia="仿宋_GB2312"/>
                <w:sz w:val="21"/>
              </w:rPr>
              <w:t>美术室、音乐室、书法室、阅览室</w:t>
            </w:r>
            <w:r>
              <w:rPr>
                <w:rFonts w:ascii="仿宋_GB2312" w:hAnsi="仿宋_GB2312" w:cs="仿宋_GB2312" w:eastAsia="仿宋_GB2312"/>
                <w:sz w:val="21"/>
              </w:rPr>
              <w:t>装修</w:t>
            </w:r>
            <w:r>
              <w:rPr>
                <w:rFonts w:ascii="仿宋_GB2312" w:hAnsi="仿宋_GB2312" w:cs="仿宋_GB2312" w:eastAsia="仿宋_GB2312"/>
                <w:sz w:val="21"/>
              </w:rPr>
              <w:t>改造工程。</w:t>
            </w:r>
          </w:p>
          <w:p>
            <w:pPr>
              <w:pStyle w:val="null3"/>
              <w:jc w:val="both"/>
            </w:pPr>
            <w:r>
              <w:rPr>
                <w:rFonts w:ascii="仿宋_GB2312" w:hAnsi="仿宋_GB2312" w:cs="仿宋_GB2312" w:eastAsia="仿宋_GB2312"/>
                <w:sz w:val="21"/>
              </w:rPr>
              <w:t>二、编制范围</w:t>
            </w:r>
          </w:p>
          <w:p>
            <w:pPr>
              <w:pStyle w:val="null3"/>
              <w:jc w:val="both"/>
            </w:pPr>
            <w:r>
              <w:rPr>
                <w:rFonts w:ascii="仿宋_GB2312" w:hAnsi="仿宋_GB2312" w:cs="仿宋_GB2312" w:eastAsia="仿宋_GB2312"/>
                <w:sz w:val="21"/>
              </w:rPr>
              <w:t>本次改造内容包括包含综合楼、教学楼屋面防水拆除、新铺、部室室内装修改造、垃圾外弃、房檐改造等工程内容。</w:t>
            </w:r>
          </w:p>
          <w:p>
            <w:pPr>
              <w:pStyle w:val="null3"/>
              <w:jc w:val="both"/>
            </w:pPr>
            <w:r>
              <w:rPr>
                <w:rFonts w:ascii="仿宋_GB2312" w:hAnsi="仿宋_GB2312" w:cs="仿宋_GB2312" w:eastAsia="仿宋_GB2312"/>
                <w:sz w:val="21"/>
              </w:rPr>
              <w:t>三、编制依据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陕西省工程建设标准《建设工程工程量清单计价计算标准》</w:t>
            </w:r>
            <w:r>
              <w:rPr>
                <w:rFonts w:ascii="仿宋_GB2312" w:hAnsi="仿宋_GB2312" w:cs="仿宋_GB2312" w:eastAsia="仿宋_GB2312"/>
                <w:sz w:val="21"/>
              </w:rPr>
              <w:t>DB61/T5126-2025；</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陕西省工程建设标准《房屋建筑与装饰工程工程量计算标准》</w:t>
            </w:r>
            <w:r>
              <w:rPr>
                <w:rFonts w:ascii="仿宋_GB2312" w:hAnsi="仿宋_GB2312" w:cs="仿宋_GB2312" w:eastAsia="仿宋_GB2312"/>
                <w:sz w:val="21"/>
              </w:rPr>
              <w:t>DB61/T5129-2025；</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《陕西省房屋建筑与装饰工程消耗量定额》《陕西省建设工程施工机械台班费用定额》《陕西省建设工程仪器仪表台班费用定额》；</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(2025)、《陕西省通用安装工程基价表》</w:t>
            </w:r>
            <w:r>
              <w:rPr>
                <w:rFonts w:ascii="仿宋_GB2312" w:hAnsi="仿宋_GB2312" w:cs="仿宋_GB2312" w:eastAsia="仿宋_GB2312"/>
                <w:sz w:val="21"/>
              </w:rPr>
              <w:t>（</w:t>
            </w:r>
            <w:r>
              <w:rPr>
                <w:rFonts w:ascii="仿宋_GB2312" w:hAnsi="仿宋_GB2312" w:cs="仿宋_GB2312" w:eastAsia="仿宋_GB2312"/>
                <w:sz w:val="21"/>
              </w:rPr>
              <w:t>2025)；</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增值税税率按照《关于调整建设工程计价依据增值税税率的通知》（陕建发</w:t>
            </w:r>
            <w:r>
              <w:rPr>
                <w:rFonts w:ascii="仿宋_GB2312" w:hAnsi="仿宋_GB2312" w:cs="仿宋_GB2312" w:eastAsia="仿宋_GB2312"/>
                <w:sz w:val="21"/>
              </w:rPr>
              <w:t>2019〔45〕号）文调整；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人工费综合工种人工工日消耗量按照《陕西省房屋建筑与装饰工程消耗量定额》</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计算，一类工日单价</w:t>
            </w:r>
            <w:r>
              <w:rPr>
                <w:rFonts w:ascii="仿宋_GB2312" w:hAnsi="仿宋_GB2312" w:cs="仿宋_GB2312" w:eastAsia="仿宋_GB2312"/>
                <w:sz w:val="21"/>
              </w:rPr>
              <w:t>155元/工日，二类工日单价190元/工日，三类工日单价215元/工日；</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其他相关的计价依据和办法及相关说明；</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合理施工工期及常规施工工艺、顺序；</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主要材料价格参照《陕西工程造价管理信息（材料信息价）》</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月信息价</w:t>
            </w:r>
            <w:r>
              <w:rPr>
                <w:rFonts w:ascii="仿宋_GB2312" w:hAnsi="仿宋_GB2312" w:cs="仿宋_GB2312" w:eastAsia="仿宋_GB2312"/>
                <w:sz w:val="21"/>
              </w:rPr>
              <w:t>及</w:t>
            </w:r>
            <w:r>
              <w:rPr>
                <w:rFonts w:ascii="仿宋_GB2312" w:hAnsi="仿宋_GB2312" w:cs="仿宋_GB2312" w:eastAsia="仿宋_GB2312"/>
                <w:sz w:val="21"/>
              </w:rPr>
              <w:t>市场价计入；</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本工程采用广联达</w:t>
            </w:r>
            <w:r>
              <w:rPr>
                <w:rFonts w:ascii="仿宋_GB2312" w:hAnsi="仿宋_GB2312" w:cs="仿宋_GB2312" w:eastAsia="仿宋_GB2312"/>
                <w:sz w:val="21"/>
              </w:rPr>
              <w:t>GCCP</w:t>
            </w:r>
            <w:r>
              <w:rPr>
                <w:rFonts w:ascii="仿宋_GB2312" w:hAnsi="仿宋_GB2312" w:cs="仿宋_GB2312" w:eastAsia="仿宋_GB2312"/>
                <w:sz w:val="21"/>
              </w:rPr>
              <w:t>7</w:t>
            </w:r>
            <w:r>
              <w:rPr>
                <w:rFonts w:ascii="仿宋_GB2312" w:hAnsi="仿宋_GB2312" w:cs="仿宋_GB2312" w:eastAsia="仿宋_GB2312"/>
                <w:sz w:val="21"/>
              </w:rPr>
              <w:t>.0（版本为</w:t>
            </w:r>
            <w:r>
              <w:rPr>
                <w:rFonts w:ascii="仿宋_GB2312" w:hAnsi="仿宋_GB2312" w:cs="仿宋_GB2312" w:eastAsia="仿宋_GB2312"/>
                <w:sz w:val="21"/>
              </w:rPr>
              <w:t>7.5000.23.3</w:t>
            </w:r>
            <w:r>
              <w:rPr>
                <w:rFonts w:ascii="仿宋_GB2312" w:hAnsi="仿宋_GB2312" w:cs="仿宋_GB2312" w:eastAsia="仿宋_GB2312"/>
                <w:sz w:val="21"/>
              </w:rPr>
              <w:t>）编制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依据现场实际情况及建设方要求。</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部室装修残损墙面、顶棚，需要铲除墙皮，进行修复后再进行刮腻子、刷乳胶漆工序，投标单位自行报价结算不在调整。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垃圾</w:t>
            </w:r>
            <w:r>
              <w:rPr>
                <w:rFonts w:ascii="仿宋_GB2312" w:hAnsi="仿宋_GB2312" w:cs="仿宋_GB2312" w:eastAsia="仿宋_GB2312"/>
                <w:sz w:val="21"/>
              </w:rPr>
              <w:t>外运按车计，</w:t>
            </w:r>
            <w:r>
              <w:rPr>
                <w:rFonts w:ascii="仿宋_GB2312" w:hAnsi="仿宋_GB2312" w:cs="仿宋_GB2312" w:eastAsia="仿宋_GB2312"/>
                <w:sz w:val="21"/>
              </w:rPr>
              <w:t>运输车按照</w:t>
            </w:r>
            <w:r>
              <w:rPr>
                <w:rFonts w:ascii="仿宋_GB2312" w:hAnsi="仿宋_GB2312" w:cs="仿宋_GB2312" w:eastAsia="仿宋_GB2312"/>
                <w:sz w:val="21"/>
              </w:rPr>
              <w:t>4*2自卸车考虑</w:t>
            </w:r>
            <w:r>
              <w:rPr>
                <w:rFonts w:ascii="仿宋_GB2312" w:hAnsi="仿宋_GB2312" w:cs="仿宋_GB2312" w:eastAsia="仿宋_GB2312"/>
                <w:sz w:val="21"/>
              </w:rPr>
              <w:t>。</w:t>
            </w:r>
          </w:p>
          <w:p>
            <w:pPr>
              <w:pStyle w:val="null3"/>
            </w:pPr>
            <w:r>
              <w:rPr>
                <w:rFonts w:ascii="仿宋_GB2312" w:hAnsi="仿宋_GB2312" w:cs="仿宋_GB2312" w:eastAsia="仿宋_GB2312"/>
                <w:sz w:val="21"/>
              </w:rPr>
              <w:t>3.本项目为小范围改造项目，依据建设方现场指定进行测量，按要求进行计量计价、清单编制。</w:t>
            </w:r>
          </w:p>
          <w:p>
            <w:pPr>
              <w:pStyle w:val="null3"/>
              <w:jc w:val="center"/>
            </w:pPr>
            <w:r>
              <w:rPr>
                <w:rFonts w:ascii="仿宋_GB2312" w:hAnsi="仿宋_GB2312" w:cs="仿宋_GB2312" w:eastAsia="仿宋_GB2312"/>
                <w:b/>
              </w:rPr>
              <w:t>推荐的主要材料品牌表</w:t>
            </w:r>
          </w:p>
          <w:tbl>
            <w:tblPr>
              <w:tblInd w:type="dxa" w:w="120"/>
              <w:tblBorders>
                <w:top w:val="none" w:color="000000" w:sz="4"/>
                <w:left w:val="none" w:color="000000" w:sz="4"/>
                <w:bottom w:val="none" w:color="000000" w:sz="4"/>
                <w:right w:val="none" w:color="000000" w:sz="4"/>
                <w:insideH w:val="none"/>
                <w:insideV w:val="none"/>
              </w:tblBorders>
            </w:tblPr>
            <w:tblGrid>
              <w:gridCol w:w="399"/>
              <w:gridCol w:w="605"/>
              <w:gridCol w:w="1028"/>
              <w:gridCol w:w="520"/>
            </w:tblGrid>
            <w:tr>
              <w:tc>
                <w:tcPr>
                  <w:tcW w:type="dxa" w:w="3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材料名称</w:t>
                  </w:r>
                </w:p>
              </w:tc>
              <w:tc>
                <w:tcPr>
                  <w:tcW w:type="dxa" w:w="10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推荐（或相当于）品牌</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防水卷材</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东方雨虹、卓宝、科顺</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防水胶</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东方雨虹、卓宝、科顺</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乳胶漆</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立邦、多乐士、三棵树</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展示柜</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莫干山、紫柏山、兔宝宝</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实木地板</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大自然、欧宝、德尔</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石膏板</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龙牌、</w:t>
                  </w:r>
                  <w:r>
                    <w:rPr>
                      <w:rFonts w:ascii="仿宋_GB2312" w:hAnsi="仿宋_GB2312" w:cs="仿宋_GB2312" w:eastAsia="仿宋_GB2312"/>
                      <w:sz w:val="19"/>
                    </w:rPr>
                    <w:t>泰山、福贝诺</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胶合板</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兔宝宝、千年舟、水性科天</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备注：所有品牌均为对产品的性能或功能说明，不作指定，供应商应选用同等档次及以上产品，满足采购需求。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符合《屋面工程技术规范》及建筑防水工程相关标准。约定质保期不少于5年，质保期内出现渗漏免费返修。验收要求连续下雨或闭水试验不少于24小时，顶层无渗水、无湿痕。本项目的施工达到国家现行技术规范要求合格标准及满足采购人要求，组织相应人员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法人代表授权书 供应商应提交的相关资格证明材料 供应商无重大违法记录的书面声明格式 陕西省政府采购供应商拒绝政府采购领域商业贿赂承诺书 诚信声明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须具备建筑工程总承包三级及以上资质，且具备有效的安全生产许可证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拟派项目负责人资质和专业要求：具有建筑工程专业二级及以上注册建造师执业资格，具有有效的安全生产考核合格证书（建安B证），在本单位注册，且未担任其他在建设工程项目的项目经理</w:t>
            </w:r>
          </w:p>
        </w:tc>
        <w:tc>
          <w:tcPr>
            <w:tcW w:type="dxa" w:w="3322"/>
          </w:tcPr>
          <w:p>
            <w:pPr>
              <w:pStyle w:val="null3"/>
            </w:pPr>
            <w:r>
              <w:rPr>
                <w:rFonts w:ascii="仿宋_GB2312" w:hAnsi="仿宋_GB2312" w:cs="仿宋_GB2312" w:eastAsia="仿宋_GB2312"/>
              </w:rPr>
              <w:t>具有建筑工程专业二级及以上注册建造师执业资格，具有有效的安全生产考核合格证书（建安B证），在本单位注册，且未担任其他在建设工程项目的项目经理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①施工方案与本项目结合极为紧密，内容详细、完整、全面，所有措施针对性极强，完全适配项目施工特点与招标人需求，可行性极高，计4分； ②施工方案与本项目结合紧密，内容比较完善，措施针对性较强，能够较好适配项目施工特点与招标人需求，整体可行，计3分； ③施工方案与本项目结合较为紧密，内容基本完善，具备一定针对性，能够适配项目施工特点与招标人需求，较为科学合理，计2分； ④施工方案与本项目结合程度一般，内容不够详细，针对性不足，能够适配项目施工需求，可行性一般，计1分； ⑤未与项目结合或未能提供方案的不计分。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充分了解本项目的施工工期及招标人相关要求，特别突出明确针对本项目工期紧、施工任务重的相应工期保证措施，措施详细完善、科学合理，具有较强地针对性，能够切实匹配本项目施工，满足项目施工及招标人相关要求，计4分； ②较为了解本项目的施工工期及招标人相关要求，针对本项目工期紧、施工任务重特点的专项工期保证措施比较完善、科学合理，针对性较强，能够较好匹配本项目施工特点，较好满足项目施工及招标人相关要求，计3分； ③基本了解本项目的施工工期及招标人相关要求，针对本项目工期紧、施工任务重特点的专项工期保证措施基本完善、整体合理，具有一定针对性，能够匹配本项目施工特点，基本满足项目施工及招标人相关要求，计2分； ④对本项目施工工期及招标人相关要求了解程度一般，针对工期紧、施工任务重特点的专项工期保证措施完整性有所欠缺，合理性基本达标，针对性不足，基本能够匹配本项目施工特点，勉强满足最低要求，计1分； ⑤不符合工期要求或未能提供的不计分。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①充分了解本项目的施工情况及要求，安全生产保证措施详细完善、科学合理，具有较强地针对性，能够切实匹配本项目施工，满足项目施工及招标人相关要求，计4分； ②较为了解本项目的施工情况及要求，安全生产保证措施比较完善、科学合理，针对性较强，能够较好匹配本项目施工特点，较好满足项目施工及招标人相关要求，计3分； ③基本了解本项目的施工情况及要求，安全生产保证措施基本完善、整体合理，具有一定针对性，能够匹配本项目施工特点，基本满足项目施工及招标人相关要求，计2分； ④对本项目施工情况及要求了解程度一般，安全生产保证措施完整性有所欠缺，合理性基本达标，针对性不足，基本能够匹配本项目施工特点，勉强满足最低要求，计1分； ⑤不符合工期要求或未能提供的不计分。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确保质量保证措施</w:t>
            </w:r>
          </w:p>
        </w:tc>
        <w:tc>
          <w:tcPr>
            <w:tcW w:type="dxa" w:w="2492"/>
          </w:tcPr>
          <w:p>
            <w:pPr>
              <w:pStyle w:val="null3"/>
            </w:pPr>
            <w:r>
              <w:rPr>
                <w:rFonts w:ascii="仿宋_GB2312" w:hAnsi="仿宋_GB2312" w:cs="仿宋_GB2312" w:eastAsia="仿宋_GB2312"/>
              </w:rPr>
              <w:t>①充分了解本项目的施工情况及要求，质量保证措施详细完善、科学合理，具有较强地针对性，能够切实匹配本项目施工，满足项目施工及招标人相关要求，计4分； ②较为了解本项目的施工情况及要求，质量保证措施比较完善、科学合理，针对性较强，能够较好匹配本项目施工特点，较好满足项目施工及招标人相关要求，计3分； ③基本了解本项目的施工情况及要求，质量保证措施基本完善、整体合理，具有一定针对性，能够匹配本项目施工特点，基本满足项目施工及招标人相关要求，计2分； ④对本项目施工情况及要求了解程度一般，质量保证措施完整性有所欠缺，合理性基本达标，针对性不足，基本能够匹配本项目施工特点，勉强满足最低要求，计1分； ⑤措施与项目实际相符不符或未能提供措施的不计分。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文明、环保施工措施</w:t>
            </w:r>
          </w:p>
        </w:tc>
        <w:tc>
          <w:tcPr>
            <w:tcW w:type="dxa" w:w="2492"/>
          </w:tcPr>
          <w:p>
            <w:pPr>
              <w:pStyle w:val="null3"/>
            </w:pPr>
            <w:r>
              <w:rPr>
                <w:rFonts w:ascii="仿宋_GB2312" w:hAnsi="仿宋_GB2312" w:cs="仿宋_GB2312" w:eastAsia="仿宋_GB2312"/>
              </w:rPr>
              <w:t>①充分了解本项目的施工情况及招标人要求，文明施工及环境保护保证措施详细完善、科学合理，内容应涵盖（不限于）扬尘管控、噪声管控、建筑垃圾（含拆除垃圾）分类清运、污废水排放等内容，具有较强地针对性，能够切实匹配本项目施工，满足项目施工及招标人相关要求，计4分； ②较为了解本项目的施工情况及招标人要求，文明施工及环境保护保证措施比较完善、科学合理，基本覆盖扬尘管控、噪声管控、建筑垃圾（含拆除垃圾）分类清运、污废水排放等核心内容，针对性较强，能够较好匹配本项目施工特点，较好满足项目施工及招标人相关要求，计3分； ③基本了解本项目的施工情况及招标人要求，文明施工及环境保护保证措施基本完善、整体合理，覆盖大部分扬尘管控、噪声管控、建筑垃圾（含拆除垃圾）分类清运、污废水排放等核心内容，具有一定针对性，能够匹配本项目施工特点，基本满足项目施工及招标人相关要求，计2分； ④对本项目施工情况及招标人要求了解程度一般，文明施工及环境保护保证措施完整性有所欠缺，仅覆盖部分扬尘管控、噪声管控、建筑垃圾（含拆除垃圾）分类清运、污废水排放等核心内容，合理性基本达标，针对性不足，基本能够匹配本项目施工特点，勉强满足最低要求，计1分； ⑤措施与项目实际不符或未能提供措施的不计分。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施工机械配备数量充足，类别齐全，且符合本项目施工需求，机械设备投入计划详细完善，科学合理，能够清晰体现进场时间、施工部位等，具有相应完善的配套管理制度；材料投入计划清晰、合理，按施工进度节点列明各阶段主材的进场批次、数量、验收标准；明确机械备用方案和材料应急补货渠道，可应对工期延误风险；所有计划均匹配本项目工期要求和施工需求，计4分； ②施工机械配备数量较为充足、类别基本齐全，较好符合本项目施工需求；机械设备投入计划较为完善、合理，基本能够体现进场时间、施工部位等关键信息，配套管理制度较为完善；材料投入计划较为清晰合理，基本按施工进度节点列明各阶段主材的进场批次、数量、验收标准；基本明确机械备用方案和材料应急补货渠道，能够应对一般工期延误风险；所有计划均较好匹配本项目工期要求和施工需求，计3分； ③施工机械配备数量基本充足、类别覆盖核心需求，基本符合本项目施工需求；机械设备投入计划基本完善、整体合理，能够体现主要设备的进场时间、施工部位，配套管理制度基本健全；材料投入计划基本清晰合理，能够列明主要阶段主材的进场批次、数量、验收标准；具备基本的机械备用方案和材料应急补货渠道，基本能够应对工期延误风险；所有计划均基本匹配本项目工期要求和施工需求，计2分； ④施工机械配备数量和类别基本满足最低施工需求，机械设备投入计划完整性有所欠缺，进场时间、施工部位等信息不够明确，配套管理制度不够完善；材料投入计划合理性一般，仅列明主要主材的进场安排，批次、数量、验收标准不够细化；机械备用方案和材料应急补货渠道有所欠缺，应对工期延误风险的能力不足；计划基本能够匹配本项目工期和施工的最低要求，计1分； ⑤投入计划与项目实际不符或未能提供方案的不计分。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①充分结合高校项目特点，降噪管控、降尘污染管控、通行安全管控、特殊时段适配等各类防控措施全面完善、科学合理，针对性极强，可有效避免施工对校内正常活动的影响，完全满足招标人要求，计4分； ②较好结合高校项目特点，各类防控措施较为完善、合理，针对性较强，能够较好避免施工对校内正常活动的影响，较好满足招标人要求，计3分； ③基本结合高校项目特点，核心防控措施基本完善、整体合理，具备一定针对性，能够基本避免施工对校内正常活动的影响，基本满足招标人要求，计2分； ④对高校项目特点有所考虑，核心防控措施完整性有所欠缺，合理性基本达标，针对性不足，基本能够避免施工对校内主要活动的影响，勉强满足最低要，计1分 ⑤未与高校特点结合的或未能提供措施的不计分。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①汇报沟通措施，详细具体，有相关完善科学的制度规范，具体措施内容科学合理，针对性强，能够很好地适用本项目，计4分； ②汇报沟通措施较为详细，具备基本的制度规范，措施内容较为合理、针对性较强，能够较好适配本项目管理需求，可保障各方信息基本顺畅传递，计3分； ③汇报沟通措施完整性一般，制度规范不够完善，措施内容合理性、针对性存在一定不足，基本能够适配本项目最低管理需求，计2分； ④措施仅为通用表述、无针对性，无法满足本项目管理需求，计1分； ⑤未能提供措施的不计分。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质量保修</w:t>
            </w:r>
          </w:p>
        </w:tc>
        <w:tc>
          <w:tcPr>
            <w:tcW w:type="dxa" w:w="2492"/>
          </w:tcPr>
          <w:p>
            <w:pPr>
              <w:pStyle w:val="null3"/>
            </w:pPr>
            <w:r>
              <w:rPr>
                <w:rFonts w:ascii="仿宋_GB2312" w:hAnsi="仿宋_GB2312" w:cs="仿宋_GB2312" w:eastAsia="仿宋_GB2312"/>
              </w:rPr>
              <w:t>供应商针对本项目在质量保修期内如出现质量问题的解决措施、解决问题的响应时效等进行说明： ①质量问题处置机制详细完善，对于具体质量问题的专项处置流程详细完备、有明确的修复工艺标准和验收要求，对于响应时效、增值服务等能够做出切实可行、满足招标人及项目切实要求的具体承诺，计4分； ②质量问题处置机制较为完善，针对主要质量问题的专项处置流程较为完备，修复工艺标准和验收要求基本明确；响应时效、增值服务等承诺较为合理，能够较好满足招标人及项目实际需求，针对性较强，计3分； ③质量问题处置机制基本完善，针对核心质量问题的专项处置流程基本完备，有基本的修复工艺标准和验收要求；响应时效、增值服务等承诺基本合理，能够满足招标人及项目基本需求，具备一定针对性，计2分； ④质量问题处置机制完整性一般，专项处置流程不够细化，修复工艺标准和验收要求不够明确；响应时效、增值服务等承诺合理性一般，基本能够满足招标人及项目最低需求，针对性不足，计1分； ⑤解决措施和响应时效等脱离项目实际，或未能提供的不计分。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w:t>
            </w:r>
          </w:p>
        </w:tc>
        <w:tc>
          <w:tcPr>
            <w:tcW w:type="dxa" w:w="2492"/>
          </w:tcPr>
          <w:p>
            <w:pPr>
              <w:pStyle w:val="null3"/>
            </w:pPr>
            <w:r>
              <w:rPr>
                <w:rFonts w:ascii="仿宋_GB2312" w:hAnsi="仿宋_GB2312" w:cs="仿宋_GB2312" w:eastAsia="仿宋_GB2312"/>
              </w:rPr>
              <w:t>除项目经理外，项目部还须配备专职的技术负责人、施工员、质量员、材料员、资料员、造价员、安全员等施工现场从业人员（不得身兼岗位），其中施工员要求为土建专业。 ①以上要求的现场从业人员配备齐全，且均具有专业能力的（以学历证书专业、土木建筑类职业资格证书、住房和城乡建设领域施工现场专业人员职业培训合格证书、建筑施工企业安管人员”安全生产考核合格证书等任意一项为参考）得8分，以上两点要求任一不符合的，得0分。 ②以上要求的现场从业人员中具有土木建筑类中级及以上职称的，每人加2分，最高加6分。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供应商近三年（2023年1月1日起至今，以合同签订日期为准），具有建筑工程装修、或改造施工项目业绩，每有1项得5分，最高得25分。 注：提供合同复印件，加盖供应商公章，否则不计分。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供应商拟派项目经理（2023年1月1日起至今，以合同签订日期为准），具有具有建筑工程装修、或改造施工项目业绩（在项目中担任项目经理），每有1项得5分，最高得5分。 注：提供合同复印件，且合同中明确体现项目经理姓名，加盖供应商公章，否则不计分。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供应商拟投入本项目所使用的施工主要材料中的产品属于政府采购优先采购范围的，则每有一项为节能产品或者环境标志产品的得1分，非节能、环境标志产品的不得分。本项最多得4分。 注：属于优先采购范围内的节能产品或者环境标志产品的，提供国家确定的认证机构出具的、处于有效期之内的节能产品、环境标志产品认证证书复印件加盖供应商公章（鲜章）。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供应商需针对本项目按要求提供主材清单（清单内容包括但不限于材料名称、品牌、规格、材质等）及主材检测报告（或技术参数性能证明材料）等资料，根据提供内容的完整程度进行综合评分： ①提供主材技术参数性能优于采购人要求的，计6分； ②提供主材技术参数性能符合采购人要求的，计4分； ③提供主材技术参数性能不满足采购人要求的，计0分。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详见附件：法人代表授权书</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详见附件：磋商报价方案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