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85F9E">
      <w:pPr>
        <w:jc w:val="center"/>
      </w:pPr>
    </w:p>
    <w:p w14:paraId="5CFD7501">
      <w:pPr>
        <w:jc w:val="left"/>
        <w:rPr>
          <w:rFonts w:ascii="黑体" w:eastAsia="黑体"/>
          <w:b/>
          <w:sz w:val="32"/>
          <w:szCs w:val="32"/>
        </w:rPr>
      </w:pPr>
      <w:r>
        <w:rPr>
          <w:rFonts w:hint="eastAsia" w:ascii="宋体" w:hAnsi="宋体" w:cs="宋体"/>
          <w:bCs/>
          <w:szCs w:val="21"/>
        </w:rPr>
        <w:t>合同编号：</w:t>
      </w:r>
    </w:p>
    <w:p w14:paraId="045BC546">
      <w:pPr>
        <w:rPr>
          <w:rFonts w:ascii="黑体" w:eastAsia="黑体"/>
          <w:sz w:val="52"/>
          <w:szCs w:val="52"/>
        </w:rPr>
      </w:pPr>
    </w:p>
    <w:p w14:paraId="7E895B04">
      <w:pPr>
        <w:tabs>
          <w:tab w:val="left" w:pos="5670"/>
        </w:tabs>
        <w:autoSpaceDE w:val="0"/>
        <w:autoSpaceDN w:val="0"/>
        <w:adjustRightInd w:val="0"/>
        <w:snapToGrid w:val="0"/>
        <w:spacing w:line="360" w:lineRule="auto"/>
        <w:jc w:val="center"/>
        <w:rPr>
          <w:rFonts w:ascii="宋体"/>
          <w:b/>
          <w:spacing w:val="-20"/>
          <w:sz w:val="52"/>
          <w:szCs w:val="52"/>
        </w:rPr>
      </w:pPr>
      <w:r>
        <w:rPr>
          <w:rFonts w:hint="eastAsia" w:ascii="宋体" w:hAnsi="宋体"/>
          <w:b/>
          <w:spacing w:val="-20"/>
          <w:sz w:val="52"/>
          <w:szCs w:val="52"/>
        </w:rPr>
        <w:t>西安外国语大学            项目</w:t>
      </w:r>
    </w:p>
    <w:p w14:paraId="7624E95E">
      <w:pPr>
        <w:ind w:firstLine="709" w:firstLineChars="147"/>
        <w:jc w:val="center"/>
        <w:outlineLvl w:val="0"/>
        <w:rPr>
          <w:rFonts w:ascii="宋体"/>
          <w:b/>
          <w:spacing w:val="-20"/>
          <w:sz w:val="52"/>
          <w:szCs w:val="52"/>
        </w:rPr>
      </w:pPr>
      <w:bookmarkStart w:id="0" w:name="_Toc1453"/>
      <w:bookmarkStart w:id="1" w:name="_Toc21010"/>
      <w:bookmarkStart w:id="2" w:name="_Toc4800"/>
      <w:bookmarkStart w:id="3" w:name="_Toc21471"/>
      <w:bookmarkStart w:id="4" w:name="_Toc15229"/>
      <w:bookmarkStart w:id="5" w:name="_Toc27654"/>
      <w:bookmarkStart w:id="6" w:name="_Toc23726"/>
      <w:bookmarkStart w:id="7" w:name="_Toc28338"/>
      <w:bookmarkStart w:id="8" w:name="_Toc7449"/>
      <w:bookmarkStart w:id="9" w:name="_Toc6447"/>
      <w:bookmarkStart w:id="10" w:name="_Toc2063"/>
      <w:bookmarkStart w:id="11" w:name="_Toc4766"/>
      <w:bookmarkStart w:id="12" w:name="_Toc9247"/>
      <w:bookmarkStart w:id="13" w:name="_Toc12015"/>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02D109C9">
      <w:pPr>
        <w:rPr>
          <w:rFonts w:ascii="黑体" w:eastAsia="黑体"/>
          <w:sz w:val="30"/>
          <w:szCs w:val="30"/>
        </w:rPr>
      </w:pPr>
    </w:p>
    <w:p w14:paraId="719C2E8C">
      <w:pPr>
        <w:pStyle w:val="6"/>
      </w:pPr>
    </w:p>
    <w:p w14:paraId="41674039">
      <w:pPr>
        <w:pStyle w:val="6"/>
      </w:pPr>
    </w:p>
    <w:p w14:paraId="18542516">
      <w:pPr>
        <w:pStyle w:val="6"/>
      </w:pPr>
    </w:p>
    <w:p w14:paraId="612E1259">
      <w:pPr>
        <w:pStyle w:val="6"/>
      </w:pPr>
    </w:p>
    <w:p w14:paraId="21D41717">
      <w:pPr>
        <w:pStyle w:val="6"/>
      </w:pPr>
    </w:p>
    <w:p w14:paraId="1B333A2A">
      <w:pPr>
        <w:rPr>
          <w:rFonts w:ascii="黑体" w:eastAsia="黑体"/>
          <w:sz w:val="30"/>
          <w:szCs w:val="30"/>
        </w:rPr>
      </w:pPr>
    </w:p>
    <w:p w14:paraId="34D4D339">
      <w:pPr>
        <w:ind w:firstLine="2080" w:firstLineChars="650"/>
        <w:rPr>
          <w:rFonts w:ascii="宋体"/>
          <w:sz w:val="32"/>
          <w:szCs w:val="32"/>
        </w:rPr>
      </w:pPr>
      <w:r>
        <w:rPr>
          <w:rFonts w:hint="eastAsia" w:ascii="宋体" w:hAnsi="宋体"/>
          <w:sz w:val="32"/>
          <w:szCs w:val="32"/>
        </w:rPr>
        <w:t>甲方：西安外国语大学</w:t>
      </w:r>
    </w:p>
    <w:p w14:paraId="3D3279F4">
      <w:pPr>
        <w:tabs>
          <w:tab w:val="left" w:pos="480"/>
        </w:tabs>
        <w:ind w:firstLine="2080" w:firstLineChars="650"/>
        <w:rPr>
          <w:rFonts w:ascii="宋体"/>
          <w:sz w:val="32"/>
          <w:szCs w:val="32"/>
        </w:rPr>
      </w:pPr>
      <w:r>
        <w:rPr>
          <w:rFonts w:hint="eastAsia" w:ascii="宋体" w:hAnsi="宋体"/>
          <w:sz w:val="32"/>
          <w:szCs w:val="32"/>
        </w:rPr>
        <w:t>乙方：</w:t>
      </w:r>
    </w:p>
    <w:p w14:paraId="51D7A46D">
      <w:pPr>
        <w:pStyle w:val="2"/>
        <w:ind w:firstLine="640"/>
        <w:rPr>
          <w:sz w:val="32"/>
          <w:szCs w:val="32"/>
        </w:rPr>
      </w:pPr>
      <w:r>
        <w:rPr>
          <w:rFonts w:hint="eastAsia" w:hAnsi="宋体"/>
          <w:kern w:val="2"/>
          <w:sz w:val="32"/>
          <w:szCs w:val="32"/>
        </w:rPr>
        <w:t xml:space="preserve">   </w:t>
      </w:r>
      <w:r>
        <w:rPr>
          <w:rFonts w:hAnsi="宋体"/>
          <w:kern w:val="2"/>
          <w:sz w:val="32"/>
          <w:szCs w:val="32"/>
        </w:rPr>
        <w:t xml:space="preserve">      </w:t>
      </w:r>
      <w:r>
        <w:rPr>
          <w:rFonts w:hint="eastAsia" w:hAnsi="宋体"/>
          <w:kern w:val="2"/>
          <w:sz w:val="32"/>
          <w:szCs w:val="32"/>
        </w:rPr>
        <w:t>鉴证方：</w:t>
      </w:r>
    </w:p>
    <w:p w14:paraId="5228D932">
      <w:pPr>
        <w:jc w:val="center"/>
        <w:rPr>
          <w:rFonts w:ascii="黑体" w:eastAsia="黑体"/>
          <w:sz w:val="30"/>
          <w:szCs w:val="30"/>
        </w:rPr>
      </w:pPr>
    </w:p>
    <w:p w14:paraId="4C2AC92F">
      <w:pPr>
        <w:pStyle w:val="6"/>
      </w:pPr>
    </w:p>
    <w:p w14:paraId="4318EDD7">
      <w:pPr>
        <w:pStyle w:val="6"/>
      </w:pPr>
    </w:p>
    <w:p w14:paraId="264CBBA2">
      <w:pPr>
        <w:jc w:val="center"/>
        <w:outlineLvl w:val="0"/>
        <w:rPr>
          <w:rFonts w:ascii="黑体" w:eastAsia="黑体"/>
          <w:sz w:val="32"/>
          <w:szCs w:val="32"/>
        </w:rPr>
      </w:pPr>
      <w:bookmarkStart w:id="14" w:name="_Toc22798"/>
      <w:bookmarkStart w:id="15" w:name="_Toc15790"/>
      <w:bookmarkStart w:id="16" w:name="_Toc4189"/>
      <w:bookmarkStart w:id="17" w:name="_Toc30907"/>
      <w:bookmarkStart w:id="18" w:name="_Toc13740"/>
      <w:bookmarkStart w:id="19" w:name="_Toc27214"/>
      <w:bookmarkStart w:id="20" w:name="_Toc14444"/>
      <w:bookmarkStart w:id="21" w:name="_Toc25053"/>
      <w:bookmarkStart w:id="22" w:name="_Toc21769"/>
      <w:bookmarkStart w:id="23" w:name="_Toc1075"/>
      <w:bookmarkStart w:id="24" w:name="_Toc7714"/>
      <w:bookmarkStart w:id="25" w:name="_Toc29335"/>
      <w:bookmarkStart w:id="26" w:name="_Toc16696"/>
      <w:bookmarkStart w:id="27" w:name="_Toc21875"/>
      <w:r>
        <w:rPr>
          <w:rFonts w:hint="eastAsia" w:ascii="黑体" w:eastAsia="黑体"/>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EDCE38B">
      <w:pPr>
        <w:jc w:val="center"/>
        <w:rPr>
          <w:rFonts w:ascii="黑体" w:eastAsia="黑体"/>
          <w:sz w:val="32"/>
          <w:szCs w:val="32"/>
        </w:rPr>
      </w:pPr>
      <w:r>
        <w:rPr>
          <w:rFonts w:hint="eastAsia" w:ascii="黑体" w:eastAsia="黑体"/>
          <w:sz w:val="32"/>
          <w:szCs w:val="32"/>
        </w:rPr>
        <w:t>中国西安</w:t>
      </w:r>
    </w:p>
    <w:p w14:paraId="58203653">
      <w:pPr>
        <w:rPr>
          <w:rFonts w:ascii="黑体" w:eastAsia="黑体"/>
          <w:sz w:val="32"/>
          <w:szCs w:val="32"/>
        </w:rPr>
      </w:pPr>
      <w:r>
        <w:rPr>
          <w:rFonts w:hint="eastAsia" w:ascii="黑体" w:eastAsia="黑体"/>
          <w:sz w:val="32"/>
          <w:szCs w:val="32"/>
        </w:rPr>
        <w:br w:type="page"/>
      </w:r>
    </w:p>
    <w:p w14:paraId="0EB3281D">
      <w:pPr>
        <w:spacing w:line="520" w:lineRule="exact"/>
        <w:jc w:val="center"/>
        <w:rPr>
          <w:rFonts w:ascii="宋体"/>
          <w:b/>
          <w:sz w:val="44"/>
          <w:szCs w:val="44"/>
        </w:rPr>
      </w:pPr>
      <w:r>
        <w:rPr>
          <w:rFonts w:hint="eastAsia" w:ascii="宋体" w:hAnsi="宋体"/>
          <w:b/>
          <w:sz w:val="44"/>
          <w:szCs w:val="44"/>
        </w:rPr>
        <w:t>供货合同</w:t>
      </w:r>
    </w:p>
    <w:p w14:paraId="430E146C">
      <w:pPr>
        <w:tabs>
          <w:tab w:val="left" w:pos="5670"/>
        </w:tabs>
        <w:autoSpaceDE w:val="0"/>
        <w:autoSpaceDN w:val="0"/>
        <w:adjustRightInd w:val="0"/>
        <w:snapToGrid w:val="0"/>
        <w:spacing w:line="520" w:lineRule="exact"/>
        <w:ind w:firstLine="140" w:firstLineChars="50"/>
        <w:jc w:val="left"/>
        <w:rPr>
          <w:rFonts w:ascii="宋体"/>
          <w:sz w:val="28"/>
          <w:szCs w:val="28"/>
        </w:rPr>
      </w:pPr>
    </w:p>
    <w:p w14:paraId="2F9ADE6E">
      <w:pPr>
        <w:spacing w:line="520" w:lineRule="exact"/>
        <w:ind w:firstLine="562" w:firstLineChars="200"/>
        <w:rPr>
          <w:rFonts w:ascii="宋体"/>
          <w:sz w:val="28"/>
          <w:szCs w:val="28"/>
        </w:rPr>
      </w:pPr>
      <w:r>
        <w:rPr>
          <w:rFonts w:hint="eastAsia" w:ascii="宋体" w:hAnsi="宋体"/>
          <w:b/>
          <w:sz w:val="28"/>
          <w:szCs w:val="28"/>
        </w:rPr>
        <w:t>甲方：</w:t>
      </w:r>
      <w:r>
        <w:rPr>
          <w:rFonts w:hint="eastAsia" w:ascii="宋体" w:hAnsi="宋体"/>
          <w:sz w:val="28"/>
          <w:szCs w:val="28"/>
        </w:rPr>
        <w:t>西安外国语大学</w:t>
      </w:r>
    </w:p>
    <w:p w14:paraId="70A190CA">
      <w:pPr>
        <w:spacing w:line="520" w:lineRule="exact"/>
        <w:ind w:firstLine="562" w:firstLineChars="200"/>
        <w:rPr>
          <w:rFonts w:ascii="宋体"/>
          <w:sz w:val="28"/>
          <w:szCs w:val="28"/>
        </w:rPr>
      </w:pPr>
      <w:r>
        <w:rPr>
          <w:rFonts w:hint="eastAsia" w:ascii="宋体" w:hAnsi="宋体"/>
          <w:b/>
          <w:sz w:val="28"/>
          <w:szCs w:val="28"/>
        </w:rPr>
        <w:t>乙方：</w:t>
      </w:r>
    </w:p>
    <w:p w14:paraId="557EA3C3">
      <w:pPr>
        <w:spacing w:line="520" w:lineRule="exact"/>
        <w:ind w:firstLine="562" w:firstLineChars="200"/>
        <w:rPr>
          <w:rFonts w:ascii="宋体"/>
          <w:sz w:val="28"/>
          <w:szCs w:val="28"/>
        </w:rPr>
      </w:pPr>
      <w:r>
        <w:rPr>
          <w:rFonts w:hint="eastAsia" w:ascii="宋体" w:hAnsi="宋体"/>
          <w:b/>
          <w:sz w:val="28"/>
          <w:szCs w:val="28"/>
        </w:rPr>
        <w:t>鉴证方：</w:t>
      </w:r>
    </w:p>
    <w:p w14:paraId="20EF320C">
      <w:pPr>
        <w:tabs>
          <w:tab w:val="left" w:pos="5670"/>
        </w:tabs>
        <w:autoSpaceDE w:val="0"/>
        <w:autoSpaceDN w:val="0"/>
        <w:adjustRightInd w:val="0"/>
        <w:snapToGrid w:val="0"/>
        <w:spacing w:line="520" w:lineRule="exact"/>
        <w:ind w:firstLine="280" w:firstLineChars="100"/>
        <w:jc w:val="left"/>
        <w:rPr>
          <w:rFonts w:ascii="宋体"/>
          <w:sz w:val="28"/>
          <w:szCs w:val="28"/>
        </w:rPr>
      </w:pPr>
    </w:p>
    <w:p w14:paraId="0BBAD1CC">
      <w:pPr>
        <w:tabs>
          <w:tab w:val="left" w:pos="5670"/>
        </w:tabs>
        <w:autoSpaceDE w:val="0"/>
        <w:autoSpaceDN w:val="0"/>
        <w:adjustRightInd w:val="0"/>
        <w:snapToGrid w:val="0"/>
        <w:spacing w:line="520" w:lineRule="exact"/>
        <w:ind w:firstLine="560" w:firstLineChars="200"/>
        <w:jc w:val="left"/>
        <w:rPr>
          <w:rFonts w:ascii="宋体"/>
          <w:sz w:val="28"/>
          <w:szCs w:val="28"/>
        </w:rPr>
      </w:pPr>
      <w:r>
        <w:rPr>
          <w:rFonts w:hint="eastAsia" w:ascii="宋体" w:hAnsi="宋体"/>
          <w:sz w:val="28"/>
          <w:szCs w:val="28"/>
        </w:rPr>
        <w:t>根据《中华人民共和国政府采购法》、《中华人民共和国招标投标法》、《中华人民共和国民法典》、《中华人民共和国产品质量法》等相关法律、法规以及                           项目招标文件，由</w:t>
      </w:r>
      <w:r>
        <w:rPr>
          <w:rFonts w:hint="eastAsia" w:ascii="宋体" w:hAnsi="宋体"/>
          <w:sz w:val="28"/>
          <w:szCs w:val="28"/>
          <w:u w:val="single"/>
        </w:rPr>
        <w:t>XXXXXXXXXXXX</w:t>
      </w:r>
      <w:r>
        <w:rPr>
          <w:rFonts w:hint="eastAsia" w:ascii="宋体" w:hAnsi="宋体"/>
          <w:sz w:val="28"/>
          <w:szCs w:val="28"/>
        </w:rPr>
        <w:t>组织            (采购方式)，经甲方确认，选定乙方为                   项目的成交单位。甲、乙双方经平等协商，自愿达成如下合同条款。</w:t>
      </w:r>
    </w:p>
    <w:p w14:paraId="6C3B546B">
      <w:pPr>
        <w:numPr>
          <w:ilvl w:val="0"/>
          <w:numId w:val="1"/>
        </w:numPr>
        <w:tabs>
          <w:tab w:val="left" w:pos="320"/>
          <w:tab w:val="left" w:pos="480"/>
          <w:tab w:val="left" w:pos="846"/>
        </w:tabs>
        <w:spacing w:line="520" w:lineRule="exact"/>
        <w:ind w:firstLine="562" w:firstLineChars="200"/>
        <w:rPr>
          <w:rStyle w:val="19"/>
          <w:rFonts w:ascii="宋体" w:hAnsi="宋体" w:eastAsia="宋体"/>
          <w:sz w:val="28"/>
          <w:szCs w:val="28"/>
        </w:rPr>
      </w:pPr>
      <w:bookmarkStart w:id="28" w:name="_Toc4508"/>
      <w:bookmarkStart w:id="29" w:name="_Toc3969"/>
      <w:bookmarkStart w:id="30" w:name="_Toc22380"/>
      <w:bookmarkStart w:id="31" w:name="_Toc20980"/>
      <w:bookmarkStart w:id="32" w:name="_Toc12808"/>
      <w:bookmarkStart w:id="33" w:name="_Toc19329"/>
      <w:bookmarkStart w:id="34" w:name="_Toc6404"/>
      <w:r>
        <w:rPr>
          <w:rStyle w:val="19"/>
          <w:rFonts w:hint="eastAsia" w:ascii="宋体" w:hAnsi="宋体" w:eastAsia="宋体"/>
          <w:sz w:val="28"/>
          <w:szCs w:val="28"/>
        </w:rPr>
        <w:t>合同标的物内容及数量（详见附件</w:t>
      </w:r>
      <w:r>
        <w:rPr>
          <w:rStyle w:val="19"/>
          <w:rFonts w:ascii="宋体" w:hAnsi="宋体" w:eastAsia="宋体"/>
          <w:sz w:val="28"/>
          <w:szCs w:val="28"/>
        </w:rPr>
        <w:t>1</w:t>
      </w:r>
      <w:r>
        <w:rPr>
          <w:rStyle w:val="19"/>
          <w:rFonts w:hint="eastAsia" w:ascii="宋体" w:hAnsi="宋体" w:eastAsia="宋体"/>
          <w:sz w:val="28"/>
          <w:szCs w:val="28"/>
        </w:rPr>
        <w:t>）</w:t>
      </w:r>
      <w:bookmarkEnd w:id="28"/>
      <w:bookmarkEnd w:id="29"/>
      <w:bookmarkEnd w:id="30"/>
      <w:bookmarkEnd w:id="31"/>
      <w:bookmarkEnd w:id="32"/>
    </w:p>
    <w:bookmarkEnd w:id="33"/>
    <w:bookmarkEnd w:id="34"/>
    <w:p w14:paraId="6713CDF8">
      <w:pPr>
        <w:kinsoku w:val="0"/>
        <w:spacing w:line="520" w:lineRule="exact"/>
        <w:ind w:firstLine="700" w:firstLineChars="250"/>
        <w:rPr>
          <w:rFonts w:ascii="黑体" w:hAnsi="宋体" w:eastAsia="黑体"/>
          <w:b/>
          <w:sz w:val="24"/>
        </w:rPr>
      </w:pPr>
      <w:r>
        <w:rPr>
          <w:rFonts w:hint="eastAsia" w:ascii="宋体" w:hAnsi="宋体"/>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2D2EBF7A">
      <w:pPr>
        <w:numPr>
          <w:ilvl w:val="0"/>
          <w:numId w:val="1"/>
        </w:numPr>
        <w:tabs>
          <w:tab w:val="left" w:pos="320"/>
          <w:tab w:val="left" w:pos="480"/>
          <w:tab w:val="left" w:pos="846"/>
        </w:tabs>
        <w:spacing w:line="520" w:lineRule="exact"/>
        <w:ind w:firstLine="562" w:firstLineChars="200"/>
        <w:rPr>
          <w:rStyle w:val="19"/>
          <w:rFonts w:ascii="宋体" w:hAnsi="Calibri" w:eastAsia="宋体"/>
          <w:sz w:val="28"/>
          <w:szCs w:val="28"/>
        </w:rPr>
      </w:pPr>
      <w:bookmarkStart w:id="35" w:name="_Toc5897"/>
      <w:bookmarkStart w:id="36" w:name="_Toc4336"/>
      <w:bookmarkStart w:id="37" w:name="_Toc2435"/>
      <w:bookmarkStart w:id="38" w:name="_Toc31945"/>
      <w:bookmarkStart w:id="39" w:name="_Toc11184"/>
      <w:bookmarkStart w:id="40" w:name="_Toc29232"/>
      <w:bookmarkStart w:id="41" w:name="_Toc12848"/>
      <w:r>
        <w:rPr>
          <w:rStyle w:val="19"/>
          <w:rFonts w:hint="eastAsia" w:ascii="宋体" w:hAnsi="宋体" w:eastAsia="宋体"/>
          <w:sz w:val="28"/>
          <w:szCs w:val="28"/>
        </w:rPr>
        <w:t>合同价款</w:t>
      </w:r>
      <w:bookmarkEnd w:id="35"/>
      <w:bookmarkEnd w:id="36"/>
      <w:bookmarkEnd w:id="37"/>
      <w:bookmarkEnd w:id="38"/>
      <w:bookmarkEnd w:id="39"/>
    </w:p>
    <w:bookmarkEnd w:id="40"/>
    <w:bookmarkEnd w:id="41"/>
    <w:p w14:paraId="15787953">
      <w:pPr>
        <w:spacing w:line="520" w:lineRule="exact"/>
        <w:ind w:firstLine="540" w:firstLineChars="225"/>
        <w:rPr>
          <w:rFonts w:ascii="宋体"/>
          <w:b/>
          <w:sz w:val="28"/>
          <w:szCs w:val="28"/>
        </w:rPr>
      </w:pPr>
      <w:r>
        <w:rPr>
          <w:rFonts w:hint="eastAsia" w:ascii="宋体" w:hAnsi="宋体"/>
          <w:sz w:val="24"/>
        </w:rPr>
        <w:t>（</w:t>
      </w:r>
      <w:r>
        <w:rPr>
          <w:rFonts w:hint="eastAsia" w:ascii="宋体" w:hAnsi="宋体"/>
          <w:sz w:val="28"/>
          <w:szCs w:val="28"/>
        </w:rPr>
        <w:t>一）合同总价（含税）为（大写）：人民币</w:t>
      </w:r>
      <w:r>
        <w:rPr>
          <w:rFonts w:hint="eastAsia" w:ascii="宋体" w:hAnsi="宋体"/>
          <w:b/>
          <w:sz w:val="28"/>
          <w:szCs w:val="28"/>
          <w:u w:val="single"/>
        </w:rPr>
        <w:t>XXXXXX（￥   .00元）</w:t>
      </w:r>
      <w:r>
        <w:rPr>
          <w:rFonts w:hint="eastAsia" w:ascii="宋体" w:hAnsi="宋体"/>
          <w:b/>
          <w:sz w:val="28"/>
          <w:szCs w:val="28"/>
        </w:rPr>
        <w:t>。</w:t>
      </w:r>
    </w:p>
    <w:p w14:paraId="6B5CB20C">
      <w:pPr>
        <w:spacing w:line="520" w:lineRule="exact"/>
        <w:ind w:firstLine="490" w:firstLineChars="175"/>
        <w:rPr>
          <w:rFonts w:ascii="宋体"/>
          <w:sz w:val="28"/>
          <w:szCs w:val="28"/>
        </w:rPr>
      </w:pPr>
      <w:r>
        <w:rPr>
          <w:rFonts w:hint="eastAsia" w:ascii="宋体" w:hAnsi="宋体"/>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1ACB5390">
      <w:pPr>
        <w:spacing w:line="520" w:lineRule="exact"/>
        <w:ind w:firstLine="490" w:firstLineChars="175"/>
        <w:rPr>
          <w:rFonts w:ascii="宋体" w:hAnsi="宋体"/>
          <w:sz w:val="28"/>
          <w:szCs w:val="28"/>
          <w:highlight w:val="none"/>
        </w:rPr>
      </w:pPr>
      <w:r>
        <w:rPr>
          <w:rFonts w:hint="eastAsia" w:ascii="宋体" w:hAnsi="宋体"/>
          <w:sz w:val="28"/>
          <w:szCs w:val="28"/>
        </w:rPr>
        <w:t>（三）合同总价为包死价，不可变更，不受市场价格变化因素的影响</w:t>
      </w:r>
      <w:r>
        <w:rPr>
          <w:rFonts w:ascii="宋体"/>
          <w:sz w:val="28"/>
          <w:szCs w:val="28"/>
          <w:highlight w:val="none"/>
        </w:rPr>
        <w:t>,</w:t>
      </w:r>
      <w:r>
        <w:rPr>
          <w:rFonts w:hint="eastAsia" w:ascii="宋体" w:hAnsi="宋体"/>
          <w:sz w:val="28"/>
          <w:szCs w:val="28"/>
          <w:highlight w:val="none"/>
        </w:rPr>
        <w:t>不受实际供货数量增加的影响。</w:t>
      </w:r>
    </w:p>
    <w:p w14:paraId="7C1CB0BD">
      <w:pPr>
        <w:spacing w:line="520" w:lineRule="exact"/>
        <w:ind w:firstLine="490" w:firstLineChars="175"/>
        <w:rPr>
          <w:rFonts w:ascii="宋体" w:hAnsi="宋体"/>
          <w:sz w:val="28"/>
          <w:szCs w:val="28"/>
          <w:highlight w:val="none"/>
        </w:rPr>
      </w:pPr>
      <w:r>
        <w:rPr>
          <w:rFonts w:hint="eastAsia" w:ascii="宋体" w:hAnsi="宋体"/>
          <w:sz w:val="28"/>
          <w:szCs w:val="28"/>
          <w:highlight w:val="none"/>
        </w:rPr>
        <w:t>(四)乙方在签合同前须向甲方支付合同总价的5%作为履约保证金。</w:t>
      </w:r>
    </w:p>
    <w:p w14:paraId="48B4F975">
      <w:pPr>
        <w:numPr>
          <w:ilvl w:val="0"/>
          <w:numId w:val="1"/>
        </w:numPr>
        <w:tabs>
          <w:tab w:val="left" w:pos="320"/>
          <w:tab w:val="left" w:pos="480"/>
          <w:tab w:val="left" w:pos="846"/>
        </w:tabs>
        <w:spacing w:line="520" w:lineRule="exact"/>
        <w:ind w:firstLine="562" w:firstLineChars="200"/>
        <w:rPr>
          <w:rStyle w:val="19"/>
          <w:rFonts w:ascii="宋体" w:hAnsi="Calibri" w:eastAsia="宋体"/>
          <w:sz w:val="28"/>
          <w:szCs w:val="28"/>
          <w:highlight w:val="none"/>
        </w:rPr>
      </w:pPr>
      <w:bookmarkStart w:id="42" w:name="_Toc22027"/>
      <w:bookmarkStart w:id="43" w:name="_Toc23736"/>
      <w:bookmarkStart w:id="44" w:name="_Toc15256"/>
      <w:bookmarkStart w:id="45" w:name="_Toc32210"/>
      <w:bookmarkStart w:id="46" w:name="_Toc2457"/>
      <w:r>
        <w:rPr>
          <w:rStyle w:val="19"/>
          <w:rFonts w:hint="eastAsia" w:ascii="宋体" w:hAnsi="宋体" w:eastAsia="宋体"/>
          <w:sz w:val="28"/>
          <w:szCs w:val="28"/>
          <w:highlight w:val="none"/>
        </w:rPr>
        <w:t>款项结算</w:t>
      </w:r>
    </w:p>
    <w:bookmarkEnd w:id="42"/>
    <w:bookmarkEnd w:id="43"/>
    <w:bookmarkEnd w:id="44"/>
    <w:bookmarkEnd w:id="45"/>
    <w:bookmarkEnd w:id="46"/>
    <w:p w14:paraId="77ECE795">
      <w:pPr>
        <w:spacing w:line="520" w:lineRule="exact"/>
        <w:ind w:firstLine="490" w:firstLineChars="175"/>
        <w:rPr>
          <w:rFonts w:ascii="宋体"/>
          <w:sz w:val="28"/>
          <w:szCs w:val="28"/>
          <w:highlight w:val="none"/>
        </w:rPr>
      </w:pPr>
      <w:r>
        <w:rPr>
          <w:rFonts w:ascii="宋体" w:hAnsi="宋体"/>
          <w:sz w:val="28"/>
          <w:szCs w:val="28"/>
          <w:highlight w:val="none"/>
        </w:rPr>
        <w:t xml:space="preserve"> (</w:t>
      </w:r>
      <w:r>
        <w:rPr>
          <w:rFonts w:hint="eastAsia" w:ascii="宋体" w:hAnsi="宋体"/>
          <w:sz w:val="28"/>
          <w:szCs w:val="28"/>
          <w:highlight w:val="none"/>
        </w:rPr>
        <w:t>一</w:t>
      </w:r>
      <w:r>
        <w:rPr>
          <w:rFonts w:ascii="宋体" w:hAnsi="宋体"/>
          <w:sz w:val="28"/>
          <w:szCs w:val="28"/>
          <w:highlight w:val="none"/>
        </w:rPr>
        <w:t>)</w:t>
      </w:r>
      <w:r>
        <w:rPr>
          <w:rFonts w:hint="eastAsia" w:ascii="宋体" w:hAnsi="宋体"/>
          <w:sz w:val="28"/>
          <w:szCs w:val="28"/>
          <w:highlight w:val="none"/>
        </w:rPr>
        <w:t>合同签订后，甲方支付合同总价的</w:t>
      </w:r>
      <w:r>
        <w:rPr>
          <w:rFonts w:hint="eastAsia" w:ascii="宋体" w:hAnsi="宋体"/>
          <w:b/>
          <w:bCs/>
          <w:sz w:val="28"/>
          <w:szCs w:val="28"/>
          <w:highlight w:val="none"/>
          <w:u w:val="single"/>
        </w:rPr>
        <w:t>40</w:t>
      </w:r>
      <w:r>
        <w:rPr>
          <w:rFonts w:ascii="宋体" w:hAnsi="宋体"/>
          <w:b/>
          <w:bCs/>
          <w:sz w:val="28"/>
          <w:szCs w:val="28"/>
          <w:highlight w:val="none"/>
          <w:u w:val="single"/>
        </w:rPr>
        <w:t xml:space="preserve"> %</w:t>
      </w:r>
      <w:r>
        <w:rPr>
          <w:rFonts w:hint="eastAsia" w:ascii="宋体" w:hAnsi="宋体"/>
          <w:sz w:val="28"/>
          <w:szCs w:val="28"/>
          <w:highlight w:val="none"/>
        </w:rPr>
        <w:t>，即（大写）：人民币</w:t>
      </w:r>
      <w:r>
        <w:rPr>
          <w:rFonts w:hint="eastAsia" w:ascii="宋体" w:hAnsi="宋体"/>
          <w:b/>
          <w:sz w:val="28"/>
          <w:szCs w:val="28"/>
          <w:highlight w:val="none"/>
          <w:u w:val="single"/>
        </w:rPr>
        <w:t>XXXXX（￥    .00元）</w:t>
      </w:r>
      <w:r>
        <w:rPr>
          <w:rFonts w:hint="eastAsia" w:ascii="宋体" w:hAnsi="宋体"/>
          <w:sz w:val="28"/>
          <w:szCs w:val="28"/>
          <w:highlight w:val="none"/>
        </w:rPr>
        <w:t>；</w:t>
      </w:r>
    </w:p>
    <w:p w14:paraId="304BA9ED">
      <w:pPr>
        <w:spacing w:line="520" w:lineRule="exact"/>
        <w:ind w:firstLine="490" w:firstLineChars="175"/>
        <w:rPr>
          <w:rFonts w:ascii="宋体"/>
          <w:sz w:val="28"/>
          <w:szCs w:val="28"/>
          <w:highlight w:val="none"/>
        </w:rPr>
      </w:pPr>
      <w:r>
        <w:rPr>
          <w:rFonts w:hint="eastAsia" w:ascii="宋体" w:hAnsi="宋体"/>
          <w:sz w:val="28"/>
          <w:szCs w:val="28"/>
          <w:highlight w:val="none"/>
        </w:rPr>
        <w:t>（二）产品安装调试完成，</w:t>
      </w:r>
      <w:r>
        <w:rPr>
          <w:rFonts w:hint="eastAsia" w:ascii="宋体" w:hAnsi="宋体"/>
          <w:sz w:val="28"/>
          <w:szCs w:val="28"/>
          <w:highlight w:val="none"/>
          <w:lang w:val="en-US" w:eastAsia="zh-CN"/>
        </w:rPr>
        <w:t>甲方</w:t>
      </w:r>
      <w:r>
        <w:rPr>
          <w:rFonts w:hint="eastAsia" w:ascii="宋体" w:hAnsi="宋体"/>
          <w:sz w:val="28"/>
          <w:szCs w:val="28"/>
          <w:highlight w:val="none"/>
        </w:rPr>
        <w:t>最终验收合格后，支付合同总价的</w:t>
      </w:r>
      <w:r>
        <w:rPr>
          <w:rFonts w:hint="eastAsia" w:ascii="宋体" w:hAnsi="宋体"/>
          <w:sz w:val="28"/>
          <w:szCs w:val="28"/>
          <w:highlight w:val="none"/>
          <w:u w:val="single"/>
        </w:rPr>
        <w:t>60</w:t>
      </w:r>
      <w:r>
        <w:rPr>
          <w:rFonts w:ascii="宋体" w:hAnsi="宋体"/>
          <w:b/>
          <w:bCs/>
          <w:sz w:val="28"/>
          <w:szCs w:val="28"/>
          <w:highlight w:val="none"/>
          <w:u w:val="single"/>
        </w:rPr>
        <w:t>%</w:t>
      </w:r>
      <w:r>
        <w:rPr>
          <w:rFonts w:hint="eastAsia" w:ascii="宋体" w:hAnsi="宋体"/>
          <w:sz w:val="28"/>
          <w:szCs w:val="28"/>
          <w:highlight w:val="none"/>
        </w:rPr>
        <w:t>，即（大写）：人民币XXXXX</w:t>
      </w:r>
      <w:r>
        <w:rPr>
          <w:rFonts w:hint="eastAsia" w:ascii="宋体" w:hAnsi="宋体"/>
          <w:b/>
          <w:sz w:val="28"/>
          <w:szCs w:val="28"/>
          <w:highlight w:val="none"/>
          <w:u w:val="single"/>
        </w:rPr>
        <w:t>整（￥    .00元）</w:t>
      </w:r>
      <w:r>
        <w:rPr>
          <w:rFonts w:hint="eastAsia" w:ascii="宋体" w:hAnsi="宋体"/>
          <w:sz w:val="28"/>
          <w:szCs w:val="28"/>
          <w:highlight w:val="none"/>
        </w:rPr>
        <w:t>；</w:t>
      </w:r>
    </w:p>
    <w:p w14:paraId="57FD3896">
      <w:pPr>
        <w:spacing w:line="520" w:lineRule="exact"/>
        <w:ind w:firstLine="490" w:firstLineChars="175"/>
        <w:rPr>
          <w:rFonts w:ascii="宋体" w:hAnsi="宋体"/>
          <w:sz w:val="28"/>
          <w:szCs w:val="28"/>
          <w:highlight w:val="none"/>
        </w:rPr>
      </w:pPr>
      <w:r>
        <w:rPr>
          <w:rFonts w:hint="eastAsia" w:ascii="宋体" w:hAnsi="宋体"/>
          <w:sz w:val="28"/>
          <w:szCs w:val="28"/>
          <w:highlight w:val="none"/>
        </w:rPr>
        <w:t>（三）合同总价的</w:t>
      </w:r>
      <w:r>
        <w:rPr>
          <w:rFonts w:hint="eastAsia" w:ascii="宋体" w:hAnsi="宋体"/>
          <w:sz w:val="28"/>
          <w:szCs w:val="28"/>
          <w:highlight w:val="none"/>
          <w:u w:val="single"/>
        </w:rPr>
        <w:t>5</w:t>
      </w:r>
      <w:r>
        <w:rPr>
          <w:rFonts w:ascii="宋体" w:hAnsi="宋体"/>
          <w:b/>
          <w:bCs/>
          <w:sz w:val="28"/>
          <w:szCs w:val="28"/>
          <w:highlight w:val="none"/>
          <w:u w:val="single"/>
        </w:rPr>
        <w:t>%</w:t>
      </w:r>
      <w:r>
        <w:rPr>
          <w:rFonts w:hint="eastAsia" w:ascii="宋体" w:hAnsi="宋体"/>
          <w:sz w:val="28"/>
          <w:szCs w:val="28"/>
          <w:highlight w:val="none"/>
        </w:rPr>
        <w:t>的履约保证金，即（大写）：人民币</w:t>
      </w:r>
      <w:r>
        <w:rPr>
          <w:rFonts w:hint="eastAsia" w:ascii="宋体" w:hAnsi="宋体"/>
          <w:b/>
          <w:sz w:val="28"/>
          <w:szCs w:val="28"/>
          <w:highlight w:val="none"/>
          <w:u w:val="single"/>
        </w:rPr>
        <w:t>XXXXX（￥    .00元）</w:t>
      </w:r>
      <w:r>
        <w:rPr>
          <w:rFonts w:hint="eastAsia" w:ascii="宋体" w:hAnsi="宋体"/>
          <w:sz w:val="28"/>
          <w:szCs w:val="28"/>
          <w:highlight w:val="none"/>
        </w:rPr>
        <w:t>。在乙方全部履行完毕合同内容，约定的售后服务及其他义务，且经甲方及使用单位确认无质量及服务问题后，甲方退还全部的履约保证金</w:t>
      </w:r>
      <w:r>
        <w:rPr>
          <w:rFonts w:hint="eastAsia" w:ascii="宋体" w:hAnsi="宋体"/>
          <w:b/>
          <w:sz w:val="28"/>
          <w:szCs w:val="28"/>
          <w:highlight w:val="none"/>
        </w:rPr>
        <w:t>，</w:t>
      </w:r>
      <w:r>
        <w:rPr>
          <w:rFonts w:hint="eastAsia" w:ascii="宋体" w:hAnsi="宋体"/>
          <w:sz w:val="28"/>
          <w:szCs w:val="28"/>
          <w:highlight w:val="none"/>
        </w:rPr>
        <w:t>即：人民币</w:t>
      </w:r>
      <w:r>
        <w:rPr>
          <w:rFonts w:hint="eastAsia" w:ascii="宋体" w:hAnsi="宋体"/>
          <w:b/>
          <w:sz w:val="28"/>
          <w:szCs w:val="28"/>
          <w:highlight w:val="none"/>
          <w:u w:val="single"/>
        </w:rPr>
        <w:t>XXXXX（￥    .00元）</w:t>
      </w:r>
      <w:r>
        <w:rPr>
          <w:rFonts w:hint="eastAsia" w:ascii="宋体" w:hAnsi="宋体"/>
          <w:sz w:val="28"/>
          <w:szCs w:val="28"/>
          <w:highlight w:val="none"/>
        </w:rPr>
        <w:t>。乙方承诺的质保期内仍须按原有承诺承担相关义务，否则甲方将追究乙方的相关法律责任。</w:t>
      </w:r>
    </w:p>
    <w:p w14:paraId="2BC7BDB8">
      <w:pPr>
        <w:spacing w:line="520" w:lineRule="exact"/>
        <w:ind w:firstLine="490" w:firstLineChars="175"/>
        <w:rPr>
          <w:rFonts w:ascii="宋体"/>
          <w:sz w:val="28"/>
          <w:szCs w:val="28"/>
          <w:highlight w:val="none"/>
        </w:rPr>
      </w:pPr>
      <w:r>
        <w:rPr>
          <w:rFonts w:hint="eastAsia" w:ascii="宋体" w:hAnsi="宋体"/>
          <w:sz w:val="28"/>
          <w:szCs w:val="28"/>
          <w:highlight w:val="none"/>
        </w:rPr>
        <w:t>（四）付款方式：银行转帐。甲方付款前，乙方应先向甲方提供等额发票，否则甲方有权暂不付款，乙方仍应履行合同义务。</w:t>
      </w:r>
    </w:p>
    <w:p w14:paraId="42E67A15">
      <w:pPr>
        <w:pStyle w:val="9"/>
        <w:adjustRightInd w:val="0"/>
        <w:snapToGrid w:val="0"/>
        <w:spacing w:line="520" w:lineRule="exact"/>
        <w:ind w:firstLine="560" w:firstLineChars="200"/>
        <w:rPr>
          <w:rFonts w:hAnsi="宋体"/>
          <w:sz w:val="28"/>
          <w:szCs w:val="28"/>
          <w:highlight w:val="none"/>
        </w:rPr>
      </w:pPr>
      <w:r>
        <w:rPr>
          <w:rFonts w:hint="eastAsia" w:hAnsi="宋体"/>
          <w:sz w:val="28"/>
          <w:szCs w:val="28"/>
          <w:highlight w:val="none"/>
        </w:rPr>
        <w:t>货款支付单位为：西安外国语大学</w:t>
      </w:r>
    </w:p>
    <w:p w14:paraId="3D673695">
      <w:pPr>
        <w:spacing w:line="520" w:lineRule="exact"/>
        <w:ind w:firstLine="560" w:firstLineChars="200"/>
        <w:rPr>
          <w:rFonts w:ascii="宋体" w:hAnsi="宋体"/>
          <w:sz w:val="28"/>
          <w:szCs w:val="28"/>
          <w:highlight w:val="none"/>
        </w:rPr>
      </w:pPr>
      <w:r>
        <w:rPr>
          <w:rFonts w:hint="eastAsia" w:ascii="宋体" w:hAnsi="宋体"/>
          <w:sz w:val="28"/>
          <w:szCs w:val="28"/>
          <w:highlight w:val="none"/>
        </w:rPr>
        <w:t>发票开具的“购货单位（人）名称”为：西安外国语大学</w:t>
      </w:r>
    </w:p>
    <w:p w14:paraId="45B4E638">
      <w:pPr>
        <w:pStyle w:val="2"/>
        <w:spacing w:line="520" w:lineRule="exact"/>
        <w:ind w:firstLine="560"/>
        <w:rPr>
          <w:rFonts w:hAnsi="宋体"/>
          <w:kern w:val="2"/>
          <w:sz w:val="28"/>
          <w:szCs w:val="28"/>
          <w:highlight w:val="none"/>
        </w:rPr>
      </w:pPr>
      <w:r>
        <w:rPr>
          <w:rFonts w:hint="eastAsia" w:hAnsi="宋体"/>
          <w:kern w:val="2"/>
          <w:sz w:val="28"/>
          <w:szCs w:val="28"/>
          <w:highlight w:val="none"/>
        </w:rPr>
        <w:t>乙方收款信息如下：</w:t>
      </w:r>
    </w:p>
    <w:p w14:paraId="2BA10EA3">
      <w:pPr>
        <w:spacing w:line="520" w:lineRule="exact"/>
        <w:ind w:firstLine="560" w:firstLineChars="200"/>
        <w:rPr>
          <w:rFonts w:hAnsi="宋体"/>
          <w:sz w:val="28"/>
          <w:szCs w:val="28"/>
          <w:highlight w:val="none"/>
        </w:rPr>
      </w:pPr>
      <w:r>
        <w:rPr>
          <w:rFonts w:hint="eastAsia" w:hAnsi="宋体"/>
          <w:sz w:val="28"/>
          <w:szCs w:val="28"/>
          <w:highlight w:val="none"/>
        </w:rPr>
        <w:t>单位名称：</w:t>
      </w:r>
    </w:p>
    <w:p w14:paraId="6BD6D682">
      <w:pPr>
        <w:spacing w:line="520" w:lineRule="exact"/>
        <w:ind w:firstLine="560" w:firstLineChars="200"/>
        <w:rPr>
          <w:rFonts w:ascii="宋体" w:hAnsi="宋体"/>
          <w:sz w:val="28"/>
          <w:szCs w:val="28"/>
          <w:highlight w:val="none"/>
        </w:rPr>
      </w:pPr>
      <w:r>
        <w:rPr>
          <w:rFonts w:hint="eastAsia" w:ascii="宋体" w:hAnsi="宋体"/>
          <w:sz w:val="28"/>
          <w:szCs w:val="28"/>
          <w:highlight w:val="none"/>
        </w:rPr>
        <w:t>开户行：</w:t>
      </w:r>
    </w:p>
    <w:p w14:paraId="223BD0A1">
      <w:pPr>
        <w:spacing w:line="520" w:lineRule="exact"/>
        <w:ind w:firstLine="560" w:firstLineChars="200"/>
        <w:rPr>
          <w:rFonts w:ascii="宋体" w:hAnsi="宋体"/>
          <w:sz w:val="28"/>
          <w:szCs w:val="28"/>
          <w:highlight w:val="none"/>
        </w:rPr>
      </w:pPr>
      <w:r>
        <w:rPr>
          <w:rFonts w:hint="eastAsia" w:ascii="宋体" w:hAnsi="宋体"/>
          <w:sz w:val="28"/>
          <w:szCs w:val="28"/>
          <w:highlight w:val="none"/>
        </w:rPr>
        <w:t>银行账号：</w:t>
      </w:r>
    </w:p>
    <w:p w14:paraId="69548DD3">
      <w:pPr>
        <w:numPr>
          <w:ilvl w:val="0"/>
          <w:numId w:val="1"/>
        </w:numPr>
        <w:tabs>
          <w:tab w:val="left" w:pos="320"/>
          <w:tab w:val="left" w:pos="480"/>
          <w:tab w:val="left" w:pos="846"/>
        </w:tabs>
        <w:spacing w:line="520" w:lineRule="exact"/>
        <w:ind w:firstLine="562" w:firstLineChars="200"/>
        <w:rPr>
          <w:rStyle w:val="19"/>
          <w:rFonts w:ascii="宋体" w:hAnsi="Calibri" w:eastAsia="宋体"/>
          <w:sz w:val="28"/>
          <w:szCs w:val="28"/>
          <w:highlight w:val="none"/>
        </w:rPr>
      </w:pPr>
      <w:bookmarkStart w:id="47" w:name="_Toc13373"/>
      <w:bookmarkStart w:id="48" w:name="_Toc21065"/>
      <w:bookmarkStart w:id="49" w:name="_Toc2489"/>
      <w:bookmarkStart w:id="50" w:name="_Toc12099"/>
      <w:bookmarkStart w:id="51" w:name="_Toc14402"/>
      <w:r>
        <w:rPr>
          <w:rStyle w:val="19"/>
          <w:rFonts w:hint="eastAsia" w:ascii="宋体" w:hAnsi="宋体" w:eastAsia="宋体"/>
          <w:sz w:val="28"/>
          <w:szCs w:val="28"/>
          <w:highlight w:val="none"/>
        </w:rPr>
        <w:t>交货</w:t>
      </w:r>
    </w:p>
    <w:bookmarkEnd w:id="47"/>
    <w:bookmarkEnd w:id="48"/>
    <w:bookmarkEnd w:id="49"/>
    <w:bookmarkEnd w:id="50"/>
    <w:bookmarkEnd w:id="51"/>
    <w:p w14:paraId="78BE6D94">
      <w:pPr>
        <w:spacing w:line="520" w:lineRule="exact"/>
        <w:ind w:firstLine="490" w:firstLineChars="175"/>
        <w:rPr>
          <w:rFonts w:ascii="宋体"/>
          <w:sz w:val="28"/>
          <w:szCs w:val="28"/>
          <w:highlight w:val="none"/>
        </w:rPr>
      </w:pPr>
      <w:r>
        <w:rPr>
          <w:rFonts w:hint="eastAsia" w:ascii="宋体" w:hAnsi="宋体"/>
          <w:sz w:val="28"/>
          <w:szCs w:val="28"/>
          <w:highlight w:val="none"/>
        </w:rPr>
        <w:t>（一）交货地点：甲方指定地点。</w:t>
      </w:r>
    </w:p>
    <w:p w14:paraId="1EB8CE70">
      <w:pPr>
        <w:spacing w:line="520" w:lineRule="exact"/>
        <w:ind w:firstLine="490" w:firstLineChars="175"/>
        <w:rPr>
          <w:rFonts w:ascii="宋体"/>
          <w:sz w:val="28"/>
          <w:szCs w:val="28"/>
          <w:highlight w:val="none"/>
        </w:rPr>
      </w:pPr>
      <w:r>
        <w:rPr>
          <w:rFonts w:hint="eastAsia" w:ascii="宋体" w:hAnsi="宋体"/>
          <w:sz w:val="28"/>
          <w:szCs w:val="28"/>
          <w:highlight w:val="none"/>
        </w:rPr>
        <w:t>（二）交货期：乙方应在合同签订之日起45个日历日内完成供货、安装、调试并通过甲方的交付检验。</w:t>
      </w:r>
    </w:p>
    <w:p w14:paraId="3582C7C0">
      <w:pPr>
        <w:numPr>
          <w:ilvl w:val="0"/>
          <w:numId w:val="1"/>
        </w:numPr>
        <w:tabs>
          <w:tab w:val="left" w:pos="320"/>
          <w:tab w:val="left" w:pos="480"/>
          <w:tab w:val="left" w:pos="846"/>
        </w:tabs>
        <w:spacing w:line="520" w:lineRule="exact"/>
        <w:ind w:firstLine="562" w:firstLineChars="200"/>
        <w:rPr>
          <w:rStyle w:val="19"/>
          <w:rFonts w:ascii="宋体" w:hAnsi="Calibri" w:eastAsia="宋体"/>
          <w:sz w:val="28"/>
          <w:szCs w:val="28"/>
          <w:highlight w:val="none"/>
        </w:rPr>
      </w:pPr>
      <w:bookmarkStart w:id="52" w:name="_Toc17205"/>
      <w:bookmarkStart w:id="53" w:name="_Toc26987"/>
      <w:bookmarkStart w:id="54" w:name="_Toc3727"/>
      <w:bookmarkStart w:id="55" w:name="_Toc10224"/>
      <w:bookmarkStart w:id="56" w:name="_Toc4533"/>
      <w:r>
        <w:rPr>
          <w:rStyle w:val="19"/>
          <w:rFonts w:hint="eastAsia" w:ascii="宋体" w:hAnsi="宋体" w:eastAsia="宋体"/>
          <w:sz w:val="28"/>
          <w:szCs w:val="28"/>
          <w:highlight w:val="none"/>
        </w:rPr>
        <w:t>包装和运输</w:t>
      </w:r>
    </w:p>
    <w:bookmarkEnd w:id="52"/>
    <w:bookmarkEnd w:id="53"/>
    <w:bookmarkEnd w:id="54"/>
    <w:bookmarkEnd w:id="55"/>
    <w:bookmarkEnd w:id="56"/>
    <w:p w14:paraId="7845E2CD">
      <w:pPr>
        <w:spacing w:line="520" w:lineRule="exact"/>
        <w:ind w:firstLine="490" w:firstLineChars="175"/>
        <w:rPr>
          <w:rFonts w:ascii="宋体"/>
          <w:sz w:val="28"/>
          <w:szCs w:val="28"/>
          <w:highlight w:val="none"/>
        </w:rPr>
      </w:pPr>
      <w:r>
        <w:rPr>
          <w:rFonts w:hint="eastAsia" w:ascii="宋体" w:hAnsi="宋体"/>
          <w:sz w:val="28"/>
          <w:szCs w:val="28"/>
          <w:highlight w:val="none"/>
        </w:rPr>
        <w:t>（一）运输由乙方负责，运杂费已包含在合同总价内。</w:t>
      </w:r>
    </w:p>
    <w:p w14:paraId="1DD806D4">
      <w:pPr>
        <w:spacing w:line="520" w:lineRule="exact"/>
        <w:ind w:firstLine="490" w:firstLineChars="175"/>
        <w:rPr>
          <w:rFonts w:ascii="宋体"/>
          <w:sz w:val="28"/>
          <w:szCs w:val="28"/>
          <w:highlight w:val="none"/>
        </w:rPr>
      </w:pPr>
      <w:r>
        <w:rPr>
          <w:rFonts w:hint="eastAsia" w:ascii="宋体" w:hAnsi="宋体"/>
          <w:sz w:val="28"/>
          <w:szCs w:val="28"/>
          <w:highlight w:val="none"/>
        </w:rPr>
        <w:t>（二）运输方式由乙方自行选择，包装必须符合国家标准行业标准，满足航空、铁路或公路运输以及货物装卸要求，保证甲方收到的是无任何损伤的货物，否则，因此造成的损失由乙方自行承担。同时，乙方必须保证如期交付，不得断货，否则，因断货造成的损失由乙方负责赔偿。</w:t>
      </w:r>
    </w:p>
    <w:p w14:paraId="5503FACD">
      <w:pPr>
        <w:spacing w:line="520" w:lineRule="exact"/>
        <w:ind w:firstLine="490" w:firstLineChars="175"/>
        <w:rPr>
          <w:rFonts w:ascii="宋体"/>
          <w:sz w:val="28"/>
          <w:szCs w:val="28"/>
          <w:highlight w:val="none"/>
        </w:rPr>
      </w:pPr>
      <w:r>
        <w:rPr>
          <w:rFonts w:hint="eastAsia" w:ascii="宋体" w:hAnsi="宋体"/>
          <w:sz w:val="28"/>
          <w:szCs w:val="28"/>
          <w:highlight w:val="none"/>
        </w:rPr>
        <w:t>（三）除合同另有规定外，乙方提供的全部货物，均应按标准保护措施进行包装。包装应适应于远距离运输、防潮、防震、防锈和防野蛮装卸，以确保货物安全无损运抵项目现场。</w:t>
      </w:r>
    </w:p>
    <w:p w14:paraId="1FC521C5">
      <w:pPr>
        <w:spacing w:line="520" w:lineRule="exact"/>
        <w:ind w:firstLine="490" w:firstLineChars="175"/>
        <w:rPr>
          <w:rFonts w:ascii="宋体"/>
          <w:sz w:val="28"/>
          <w:szCs w:val="28"/>
          <w:highlight w:val="none"/>
        </w:rPr>
      </w:pPr>
      <w:bookmarkStart w:id="57" w:name="_Toc19125"/>
      <w:bookmarkStart w:id="58" w:name="_Toc4898"/>
      <w:bookmarkStart w:id="59" w:name="_Toc6336"/>
      <w:bookmarkStart w:id="60" w:name="_Toc1417"/>
      <w:bookmarkStart w:id="61" w:name="_Toc7496"/>
      <w:r>
        <w:rPr>
          <w:rFonts w:hint="eastAsia" w:ascii="宋体" w:hAnsi="宋体"/>
          <w:sz w:val="28"/>
          <w:szCs w:val="28"/>
          <w:highlight w:val="none"/>
        </w:rPr>
        <w:t>（四）乙方提供的产品及相关快递服务的包装要求，按照《商品包装政府采购需求标准（试行）》《快递包装政府采购需求标准（试行）》执行。</w:t>
      </w:r>
    </w:p>
    <w:p w14:paraId="2C4B7B80">
      <w:pPr>
        <w:numPr>
          <w:ilvl w:val="0"/>
          <w:numId w:val="1"/>
        </w:numPr>
        <w:tabs>
          <w:tab w:val="left" w:pos="320"/>
          <w:tab w:val="left" w:pos="480"/>
          <w:tab w:val="left" w:pos="846"/>
        </w:tabs>
        <w:spacing w:line="520" w:lineRule="exact"/>
        <w:ind w:firstLine="562" w:firstLineChars="200"/>
        <w:rPr>
          <w:rStyle w:val="19"/>
          <w:rFonts w:ascii="宋体" w:hAnsi="Calibri" w:eastAsia="宋体"/>
          <w:sz w:val="28"/>
          <w:szCs w:val="28"/>
          <w:highlight w:val="none"/>
        </w:rPr>
      </w:pPr>
      <w:r>
        <w:rPr>
          <w:rStyle w:val="19"/>
          <w:rFonts w:hint="eastAsia" w:ascii="宋体" w:hAnsi="宋体" w:eastAsia="宋体"/>
          <w:sz w:val="28"/>
          <w:szCs w:val="28"/>
          <w:highlight w:val="none"/>
        </w:rPr>
        <w:t>质量保证</w:t>
      </w:r>
    </w:p>
    <w:bookmarkEnd w:id="57"/>
    <w:bookmarkEnd w:id="58"/>
    <w:bookmarkEnd w:id="59"/>
    <w:bookmarkEnd w:id="60"/>
    <w:bookmarkEnd w:id="61"/>
    <w:p w14:paraId="0BF6A42B">
      <w:pPr>
        <w:spacing w:line="520" w:lineRule="exact"/>
        <w:ind w:firstLine="490" w:firstLineChars="175"/>
        <w:rPr>
          <w:rFonts w:ascii="宋体"/>
          <w:sz w:val="28"/>
          <w:szCs w:val="28"/>
        </w:rPr>
      </w:pPr>
      <w:bookmarkStart w:id="62" w:name="_Toc9757"/>
      <w:bookmarkStart w:id="63" w:name="_Toc15780"/>
      <w:bookmarkStart w:id="64" w:name="_Toc8526"/>
      <w:bookmarkStart w:id="65" w:name="_Toc27865"/>
      <w:bookmarkStart w:id="66" w:name="_Toc13552"/>
      <w:r>
        <w:rPr>
          <w:rFonts w:hint="eastAsia" w:ascii="宋体" w:hAnsi="宋体"/>
          <w:sz w:val="28"/>
          <w:szCs w:val="28"/>
        </w:rPr>
        <w:t>（一）乙方保证其提供给甲方的货物符合国家现行同类货物质量标准，是设计科学、技术成熟、工艺精良，用优质材料制造的、先进的、原厂生产的未曾使用过的、全新的合格产品。</w:t>
      </w:r>
    </w:p>
    <w:p w14:paraId="26F36792">
      <w:pPr>
        <w:spacing w:line="520" w:lineRule="exact"/>
        <w:ind w:firstLine="490" w:firstLineChars="175"/>
        <w:rPr>
          <w:rFonts w:ascii="宋体"/>
          <w:sz w:val="28"/>
          <w:szCs w:val="28"/>
        </w:rPr>
      </w:pPr>
      <w:r>
        <w:rPr>
          <w:rFonts w:hint="eastAsia" w:ascii="宋体" w:hAnsi="宋体"/>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3978D45E">
      <w:pPr>
        <w:spacing w:line="520" w:lineRule="exact"/>
        <w:ind w:firstLine="490" w:firstLineChars="175"/>
        <w:rPr>
          <w:rFonts w:ascii="宋体"/>
          <w:sz w:val="28"/>
          <w:szCs w:val="28"/>
        </w:rPr>
      </w:pPr>
      <w:r>
        <w:rPr>
          <w:rFonts w:hint="eastAsia" w:ascii="宋体" w:hAnsi="宋体"/>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6177C90D">
      <w:pPr>
        <w:spacing w:line="520" w:lineRule="exact"/>
        <w:ind w:firstLine="490" w:firstLineChars="175"/>
        <w:rPr>
          <w:rFonts w:ascii="宋体"/>
          <w:sz w:val="28"/>
          <w:szCs w:val="28"/>
        </w:rPr>
      </w:pPr>
      <w:r>
        <w:rPr>
          <w:rFonts w:hint="eastAsia" w:ascii="宋体" w:hAnsi="宋体"/>
          <w:sz w:val="28"/>
          <w:szCs w:val="28"/>
        </w:rPr>
        <w:t>（四）乙方负责安装调试及维护过程中的安全，如造成人员伤亡、财产损失的，由乙方负责解决并承担全部责任。</w:t>
      </w:r>
    </w:p>
    <w:p w14:paraId="3D219898">
      <w:pPr>
        <w:tabs>
          <w:tab w:val="left" w:pos="320"/>
          <w:tab w:val="left" w:pos="480"/>
          <w:tab w:val="left" w:pos="846"/>
        </w:tabs>
        <w:spacing w:line="520" w:lineRule="exact"/>
        <w:ind w:firstLine="560" w:firstLineChars="200"/>
        <w:rPr>
          <w:rFonts w:ascii="宋体" w:hAnsi="宋体"/>
          <w:sz w:val="28"/>
          <w:szCs w:val="28"/>
        </w:rPr>
      </w:pPr>
      <w:r>
        <w:rPr>
          <w:rFonts w:hint="eastAsia" w:ascii="宋体" w:hAnsi="宋体"/>
          <w:sz w:val="28"/>
          <w:szCs w:val="28"/>
        </w:rPr>
        <w:t>（五）货物自终验通过且投入使用</w:t>
      </w:r>
      <w:r>
        <w:rPr>
          <w:rFonts w:ascii="宋体" w:hAnsi="宋体"/>
          <w:sz w:val="28"/>
          <w:szCs w:val="28"/>
        </w:rPr>
        <w:t>1</w:t>
      </w:r>
      <w:r>
        <w:rPr>
          <w:rFonts w:hint="eastAsia" w:ascii="宋体" w:hAnsi="宋体"/>
          <w:sz w:val="28"/>
          <w:szCs w:val="28"/>
        </w:rPr>
        <w:t>个月内，如出现质量问题，乙方应按甲方的选择进行换货或退货直至达到甲方要求，并按合同总价的</w:t>
      </w:r>
      <w:r>
        <w:rPr>
          <w:rFonts w:hint="eastAsia" w:ascii="宋体" w:hAnsi="宋体"/>
          <w:sz w:val="28"/>
          <w:szCs w:val="28"/>
          <w:u w:val="single"/>
        </w:rPr>
        <w:t>5</w:t>
      </w:r>
      <w:r>
        <w:rPr>
          <w:rFonts w:ascii="宋体" w:hAnsi="宋体"/>
          <w:sz w:val="28"/>
          <w:szCs w:val="28"/>
          <w:u w:val="single"/>
        </w:rPr>
        <w:t xml:space="preserve"> %</w:t>
      </w:r>
      <w:r>
        <w:rPr>
          <w:rFonts w:hint="eastAsia" w:ascii="宋体" w:hAnsi="宋体"/>
          <w:sz w:val="28"/>
          <w:szCs w:val="28"/>
        </w:rPr>
        <w:t>向甲方支付违约金；终验通过且投入使用</w:t>
      </w:r>
      <w:r>
        <w:rPr>
          <w:rFonts w:ascii="宋体" w:hAnsi="宋体"/>
          <w:sz w:val="28"/>
          <w:szCs w:val="28"/>
        </w:rPr>
        <w:t>2</w:t>
      </w:r>
      <w:r>
        <w:rPr>
          <w:rFonts w:hint="eastAsia" w:ascii="宋体" w:hAnsi="宋体"/>
          <w:sz w:val="28"/>
          <w:szCs w:val="28"/>
        </w:rPr>
        <w:t>至</w:t>
      </w:r>
      <w:r>
        <w:rPr>
          <w:rFonts w:ascii="宋体" w:hAnsi="宋体"/>
          <w:sz w:val="28"/>
          <w:szCs w:val="28"/>
        </w:rPr>
        <w:t>3</w:t>
      </w:r>
      <w:r>
        <w:rPr>
          <w:rFonts w:hint="eastAsia" w:ascii="宋体" w:hAnsi="宋体"/>
          <w:sz w:val="28"/>
          <w:szCs w:val="28"/>
        </w:rPr>
        <w:t>个月内，如出现质量问题，乙方应按甲方的要求进行换货，并按合同总价的</w:t>
      </w:r>
      <w:r>
        <w:rPr>
          <w:rFonts w:hint="eastAsia" w:ascii="宋体" w:hAnsi="宋体"/>
          <w:sz w:val="28"/>
          <w:szCs w:val="28"/>
          <w:u w:val="single"/>
        </w:rPr>
        <w:t>10</w:t>
      </w:r>
      <w:r>
        <w:rPr>
          <w:rFonts w:ascii="宋体" w:hAnsi="宋体"/>
          <w:sz w:val="28"/>
          <w:szCs w:val="28"/>
          <w:u w:val="single"/>
        </w:rPr>
        <w:t xml:space="preserve"> %</w:t>
      </w:r>
      <w:r>
        <w:rPr>
          <w:rFonts w:hint="eastAsia" w:ascii="宋体" w:hAnsi="宋体"/>
          <w:sz w:val="28"/>
          <w:szCs w:val="28"/>
        </w:rPr>
        <w:t>向甲方支付违约金。终验通过不免除乙方对货物质量问题按本合同约定承担责任。</w:t>
      </w:r>
    </w:p>
    <w:p w14:paraId="1D5A51D8">
      <w:pPr>
        <w:tabs>
          <w:tab w:val="left" w:pos="320"/>
          <w:tab w:val="left" w:pos="480"/>
          <w:tab w:val="left" w:pos="846"/>
        </w:tabs>
        <w:spacing w:line="520" w:lineRule="exact"/>
        <w:rPr>
          <w:rStyle w:val="19"/>
          <w:rFonts w:ascii="宋体" w:hAnsi="Calibri" w:eastAsia="宋体"/>
          <w:sz w:val="28"/>
          <w:szCs w:val="28"/>
          <w:highlight w:val="none"/>
        </w:rPr>
      </w:pPr>
      <w:r>
        <w:rPr>
          <w:rStyle w:val="19"/>
          <w:rFonts w:hint="eastAsia" w:ascii="宋体" w:hAnsi="宋体" w:eastAsia="宋体"/>
          <w:sz w:val="28"/>
          <w:szCs w:val="28"/>
          <w:highlight w:val="none"/>
        </w:rPr>
        <w:t>七、质保期及售后服务</w:t>
      </w:r>
    </w:p>
    <w:bookmarkEnd w:id="62"/>
    <w:bookmarkEnd w:id="63"/>
    <w:bookmarkEnd w:id="64"/>
    <w:bookmarkEnd w:id="65"/>
    <w:bookmarkEnd w:id="66"/>
    <w:p w14:paraId="5F9886C0">
      <w:pPr>
        <w:spacing w:line="520" w:lineRule="exact"/>
        <w:ind w:firstLine="490" w:firstLineChars="175"/>
        <w:rPr>
          <w:rFonts w:ascii="宋体"/>
          <w:sz w:val="28"/>
          <w:szCs w:val="28"/>
          <w:highlight w:val="none"/>
        </w:rPr>
      </w:pPr>
      <w:r>
        <w:rPr>
          <w:rFonts w:hint="eastAsia" w:ascii="宋体" w:hAnsi="宋体"/>
          <w:sz w:val="28"/>
          <w:szCs w:val="28"/>
          <w:highlight w:val="none"/>
        </w:rPr>
        <w:t>（一）质保期为产品最终验收合格之日起</w:t>
      </w:r>
      <w:r>
        <w:rPr>
          <w:rFonts w:hint="eastAsia" w:ascii="宋体" w:hAnsi="宋体"/>
          <w:sz w:val="28"/>
          <w:szCs w:val="28"/>
          <w:highlight w:val="none"/>
          <w:u w:val="single"/>
        </w:rPr>
        <w:t>3</w:t>
      </w:r>
      <w:r>
        <w:rPr>
          <w:rFonts w:hint="eastAsia" w:ascii="宋体" w:hAnsi="宋体"/>
          <w:sz w:val="28"/>
          <w:szCs w:val="28"/>
          <w:highlight w:val="none"/>
        </w:rPr>
        <w:t>年。质保期内，任何由制造商选材和制造不当引起的质量问题，乙方负责维修或更换原厂配件，甲方不负担任何维修费用（含人工费）。质保期内，项目责任工程师每年免费提供不小于2次上门保养服务，免费提供保养用的全部零部件（原厂）。质保期满前1个月，乙方免费提供一次全面的检查、维护，并出具正式检查报告，如发现潜在问题，应负责完全排除。</w:t>
      </w:r>
    </w:p>
    <w:p w14:paraId="5C67BAA9">
      <w:pPr>
        <w:spacing w:line="520" w:lineRule="exact"/>
        <w:ind w:firstLine="560" w:firstLineChars="200"/>
        <w:rPr>
          <w:rFonts w:ascii="宋体"/>
          <w:sz w:val="28"/>
          <w:szCs w:val="28"/>
          <w:highlight w:val="none"/>
        </w:rPr>
      </w:pPr>
      <w:r>
        <w:rPr>
          <w:rFonts w:hint="eastAsia" w:ascii="宋体" w:hAnsi="宋体"/>
          <w:sz w:val="28"/>
          <w:szCs w:val="28"/>
          <w:highlight w:val="none"/>
        </w:rPr>
        <w:t>（二）售后服务响应时间（质保期内）：7天*16小时/天即时响应（包括电话响应）；电话响应无法解决时，24小时内到达现场。采购人反映的问题应在48小时内解决，如在48小时内无法解决或修复，则由乙方提供部件冗余服务或采取应急措施，提供相同产品或不低于故障产品规格档次的备用产品供甲方使用，以确保货物的正常使用。48小时后，未解决之问题每超过24小时，乙方应按合同价的千分之一支付违约金。</w:t>
      </w:r>
    </w:p>
    <w:p w14:paraId="5FE28C5E">
      <w:pPr>
        <w:spacing w:line="520" w:lineRule="exact"/>
        <w:ind w:firstLine="560" w:firstLineChars="200"/>
        <w:rPr>
          <w:rFonts w:ascii="宋体"/>
          <w:sz w:val="28"/>
          <w:szCs w:val="28"/>
          <w:highlight w:val="none"/>
        </w:rPr>
      </w:pPr>
      <w:r>
        <w:rPr>
          <w:rFonts w:hint="eastAsia" w:ascii="宋体" w:hAnsi="宋体"/>
          <w:sz w:val="28"/>
          <w:szCs w:val="28"/>
          <w:highlight w:val="none"/>
        </w:rPr>
        <w:t>（三）乙方应在合同生效后的1个月内向甲方提供详细的软硬件使用说明并提供免费技术咨询。设备、系统安装调试完成后，甲方应按照乙方指定时间、指定地点、指定频次开展培训。培训内容包括设备的技术原理、操作方法、数据处理、基本维护等。</w:t>
      </w:r>
    </w:p>
    <w:p w14:paraId="62752ED0">
      <w:pPr>
        <w:spacing w:line="520" w:lineRule="exact"/>
        <w:ind w:firstLine="560" w:firstLineChars="200"/>
        <w:rPr>
          <w:rFonts w:ascii="宋体" w:hAnsi="宋体" w:eastAsia="宋体" w:cs="Times New Roman"/>
          <w:sz w:val="28"/>
          <w:szCs w:val="28"/>
          <w:highlight w:val="none"/>
        </w:rPr>
      </w:pPr>
      <w:r>
        <w:rPr>
          <w:rFonts w:hint="eastAsia" w:ascii="宋体" w:hAnsi="宋体"/>
          <w:sz w:val="28"/>
          <w:szCs w:val="28"/>
          <w:highlight w:val="none"/>
        </w:rPr>
        <w:t>（四）</w:t>
      </w:r>
      <w:r>
        <w:rPr>
          <w:rFonts w:hint="eastAsia" w:ascii="宋体" w:hAnsi="宋体" w:eastAsia="宋体" w:cs="Times New Roman"/>
          <w:sz w:val="28"/>
          <w:szCs w:val="28"/>
          <w:highlight w:val="none"/>
        </w:rPr>
        <w:t>与使用设备相配套的软件5年内由</w:t>
      </w:r>
      <w:r>
        <w:rPr>
          <w:rFonts w:hint="eastAsia" w:ascii="宋体" w:hAnsi="宋体"/>
          <w:sz w:val="28"/>
          <w:szCs w:val="28"/>
          <w:highlight w:val="none"/>
        </w:rPr>
        <w:t>乙方</w:t>
      </w:r>
      <w:r>
        <w:rPr>
          <w:rFonts w:hint="eastAsia" w:ascii="宋体" w:hAnsi="宋体" w:eastAsia="宋体" w:cs="Times New Roman"/>
          <w:sz w:val="28"/>
          <w:szCs w:val="28"/>
          <w:highlight w:val="none"/>
        </w:rPr>
        <w:t>负责免费更新升级。</w:t>
      </w:r>
    </w:p>
    <w:p w14:paraId="16272DF0">
      <w:pPr>
        <w:tabs>
          <w:tab w:val="left" w:pos="320"/>
          <w:tab w:val="left" w:pos="480"/>
          <w:tab w:val="left" w:pos="846"/>
        </w:tabs>
        <w:spacing w:line="520" w:lineRule="exact"/>
        <w:rPr>
          <w:rStyle w:val="19"/>
          <w:rFonts w:ascii="宋体" w:hAnsi="Calibri" w:eastAsia="宋体"/>
          <w:sz w:val="28"/>
          <w:szCs w:val="28"/>
          <w:highlight w:val="none"/>
        </w:rPr>
      </w:pPr>
      <w:bookmarkStart w:id="67" w:name="_Toc31591"/>
      <w:bookmarkStart w:id="68" w:name="_Toc22298"/>
      <w:bookmarkStart w:id="69" w:name="_Toc28619"/>
      <w:bookmarkStart w:id="70" w:name="_Toc7405"/>
      <w:bookmarkStart w:id="71" w:name="_Toc628"/>
      <w:r>
        <w:rPr>
          <w:rStyle w:val="19"/>
          <w:rFonts w:hint="eastAsia" w:ascii="宋体" w:hAnsi="宋体"/>
          <w:sz w:val="28"/>
          <w:szCs w:val="28"/>
          <w:highlight w:val="none"/>
        </w:rPr>
        <w:t>八、</w:t>
      </w:r>
      <w:r>
        <w:rPr>
          <w:rStyle w:val="19"/>
          <w:rFonts w:hint="eastAsia" w:ascii="宋体" w:hAnsi="宋体" w:eastAsia="宋体"/>
          <w:sz w:val="28"/>
          <w:szCs w:val="28"/>
          <w:highlight w:val="none"/>
        </w:rPr>
        <w:t>技术与服务</w:t>
      </w:r>
    </w:p>
    <w:bookmarkEnd w:id="67"/>
    <w:bookmarkEnd w:id="68"/>
    <w:bookmarkEnd w:id="69"/>
    <w:bookmarkEnd w:id="70"/>
    <w:bookmarkEnd w:id="71"/>
    <w:p w14:paraId="583547C2">
      <w:pPr>
        <w:spacing w:line="520" w:lineRule="exact"/>
        <w:ind w:firstLine="490" w:firstLineChars="175"/>
        <w:rPr>
          <w:rFonts w:ascii="宋体"/>
          <w:sz w:val="28"/>
          <w:szCs w:val="28"/>
        </w:rPr>
      </w:pPr>
      <w:bookmarkStart w:id="72" w:name="_Toc13467"/>
      <w:bookmarkStart w:id="73" w:name="_Toc3128"/>
      <w:bookmarkStart w:id="74" w:name="_Toc25817"/>
      <w:bookmarkStart w:id="75" w:name="_Toc14495"/>
      <w:r>
        <w:rPr>
          <w:rFonts w:hint="eastAsia" w:ascii="宋体" w:hAnsi="宋体"/>
          <w:sz w:val="28"/>
          <w:szCs w:val="28"/>
        </w:rPr>
        <w:t>（一）乙方应在交付货物同时向甲方交付以下技术资料：</w:t>
      </w:r>
    </w:p>
    <w:p w14:paraId="42DF6126">
      <w:pPr>
        <w:spacing w:line="520" w:lineRule="exact"/>
        <w:ind w:firstLine="490" w:firstLineChars="175"/>
        <w:rPr>
          <w:rFonts w:ascii="宋体" w:hAnsi="宋体"/>
          <w:sz w:val="28"/>
          <w:szCs w:val="28"/>
        </w:rPr>
      </w:pPr>
      <w:r>
        <w:rPr>
          <w:rFonts w:ascii="宋体" w:hAnsi="宋体"/>
          <w:sz w:val="28"/>
          <w:szCs w:val="28"/>
        </w:rPr>
        <w:t>1</w:t>
      </w:r>
      <w:r>
        <w:rPr>
          <w:rFonts w:hint="eastAsia" w:ascii="宋体" w:hAnsi="宋体"/>
          <w:sz w:val="28"/>
          <w:szCs w:val="28"/>
        </w:rPr>
        <w:t>、产品目录；</w:t>
      </w:r>
      <w:r>
        <w:rPr>
          <w:rFonts w:ascii="宋体" w:hAnsi="宋体"/>
          <w:sz w:val="28"/>
          <w:szCs w:val="28"/>
        </w:rPr>
        <w:t>2</w:t>
      </w:r>
      <w:r>
        <w:rPr>
          <w:rFonts w:hint="eastAsia" w:ascii="宋体" w:hAnsi="宋体"/>
          <w:sz w:val="28"/>
          <w:szCs w:val="28"/>
        </w:rPr>
        <w:t>、产品合格证、使用说明书（中文）；</w:t>
      </w:r>
      <w:r>
        <w:rPr>
          <w:rFonts w:ascii="宋体" w:hAnsi="宋体"/>
          <w:sz w:val="28"/>
          <w:szCs w:val="28"/>
        </w:rPr>
        <w:t>3</w:t>
      </w:r>
      <w:r>
        <w:rPr>
          <w:rFonts w:hint="eastAsia" w:ascii="宋体" w:hAnsi="宋体"/>
          <w:sz w:val="28"/>
          <w:szCs w:val="28"/>
        </w:rPr>
        <w:t>、进口货物，须提供原产地证明书、设备商检证明和报关单等进口凭证；</w:t>
      </w:r>
      <w:r>
        <w:rPr>
          <w:rFonts w:ascii="宋体" w:hAnsi="宋体"/>
          <w:sz w:val="28"/>
          <w:szCs w:val="28"/>
        </w:rPr>
        <w:t>4</w:t>
      </w:r>
      <w:r>
        <w:rPr>
          <w:rFonts w:hint="eastAsia" w:ascii="宋体" w:hAnsi="宋体"/>
          <w:sz w:val="28"/>
          <w:szCs w:val="28"/>
        </w:rPr>
        <w:t>、操作手册和安装、调试、维修手册或服务指南；</w:t>
      </w:r>
      <w:r>
        <w:rPr>
          <w:rFonts w:ascii="宋体" w:hAnsi="宋体"/>
          <w:sz w:val="28"/>
          <w:szCs w:val="28"/>
        </w:rPr>
        <w:t>5</w:t>
      </w:r>
      <w:r>
        <w:rPr>
          <w:rFonts w:hint="eastAsia" w:ascii="宋体" w:hAnsi="宋体"/>
          <w:sz w:val="28"/>
          <w:szCs w:val="28"/>
        </w:rPr>
        <w:t>、制造厂家的检验测试报告或产品出厂检测报告；</w:t>
      </w:r>
      <w:r>
        <w:rPr>
          <w:rFonts w:ascii="宋体" w:hAnsi="宋体"/>
          <w:sz w:val="28"/>
          <w:szCs w:val="28"/>
        </w:rPr>
        <w:t>6</w:t>
      </w:r>
      <w:r>
        <w:rPr>
          <w:rFonts w:hint="eastAsia" w:ascii="宋体" w:hAnsi="宋体"/>
          <w:sz w:val="28"/>
          <w:szCs w:val="28"/>
        </w:rPr>
        <w:t>、质量保证书、保修单；7、发票；8、其它资料。</w:t>
      </w:r>
    </w:p>
    <w:p w14:paraId="7695AB83">
      <w:pPr>
        <w:spacing w:line="520" w:lineRule="exact"/>
        <w:ind w:firstLine="490" w:firstLineChars="175"/>
        <w:rPr>
          <w:rFonts w:ascii="宋体"/>
          <w:sz w:val="28"/>
          <w:szCs w:val="28"/>
        </w:rPr>
      </w:pPr>
      <w:r>
        <w:rPr>
          <w:rFonts w:hint="eastAsia" w:ascii="宋体" w:hAnsi="宋体"/>
          <w:sz w:val="28"/>
          <w:szCs w:val="28"/>
        </w:rPr>
        <w:t>（二）乙方以招标文件、投标文件、澄清表（函）、合同和随货物的相关文件为准向甲方进行服务承诺。</w:t>
      </w:r>
    </w:p>
    <w:p w14:paraId="21DAECFA">
      <w:pPr>
        <w:spacing w:line="520" w:lineRule="exact"/>
        <w:ind w:firstLine="490" w:firstLineChars="175"/>
        <w:rPr>
          <w:rFonts w:ascii="宋体"/>
          <w:sz w:val="28"/>
          <w:szCs w:val="28"/>
        </w:rPr>
      </w:pPr>
      <w:r>
        <w:rPr>
          <w:rFonts w:hint="eastAsia" w:ascii="宋体" w:hAnsi="宋体"/>
          <w:sz w:val="28"/>
          <w:szCs w:val="28"/>
        </w:rPr>
        <w:t>（三）乙方应向甲方提供下列所有服务（如果有的话）：</w:t>
      </w:r>
    </w:p>
    <w:p w14:paraId="5D87A902">
      <w:pPr>
        <w:spacing w:line="520" w:lineRule="exact"/>
        <w:ind w:firstLine="490" w:firstLineChars="175"/>
        <w:rPr>
          <w:rFonts w:ascii="宋体"/>
          <w:sz w:val="28"/>
          <w:szCs w:val="28"/>
        </w:rPr>
      </w:pPr>
      <w:r>
        <w:rPr>
          <w:rFonts w:ascii="宋体" w:hAnsi="宋体"/>
          <w:sz w:val="28"/>
          <w:szCs w:val="28"/>
        </w:rPr>
        <w:t>1</w:t>
      </w:r>
      <w:r>
        <w:rPr>
          <w:rFonts w:hint="eastAsia" w:ascii="宋体" w:hAnsi="宋体"/>
          <w:sz w:val="28"/>
          <w:szCs w:val="28"/>
        </w:rPr>
        <w:t>、实施或监督所供货物的现场组装和</w:t>
      </w:r>
      <w:r>
        <w:rPr>
          <w:rFonts w:ascii="宋体" w:hAnsi="宋体"/>
          <w:sz w:val="28"/>
          <w:szCs w:val="28"/>
        </w:rPr>
        <w:t>/</w:t>
      </w:r>
      <w:r>
        <w:rPr>
          <w:rFonts w:hint="eastAsia" w:ascii="宋体" w:hAnsi="宋体"/>
          <w:sz w:val="28"/>
          <w:szCs w:val="28"/>
        </w:rPr>
        <w:t>或试运行；</w:t>
      </w:r>
      <w:r>
        <w:rPr>
          <w:rFonts w:hint="eastAsia" w:ascii="宋体" w:hAnsi="宋体" w:cs="宋体"/>
          <w:sz w:val="28"/>
          <w:szCs w:val="28"/>
        </w:rPr>
        <w:t>如若本项目有隐蔽工程，须甲方使用单位签字确认后方可进行下一步工作。</w:t>
      </w:r>
    </w:p>
    <w:p w14:paraId="6A5C59BF">
      <w:pPr>
        <w:spacing w:line="520" w:lineRule="exact"/>
        <w:ind w:firstLine="490" w:firstLineChars="175"/>
        <w:rPr>
          <w:rFonts w:ascii="宋体"/>
          <w:sz w:val="28"/>
          <w:szCs w:val="28"/>
        </w:rPr>
      </w:pPr>
      <w:r>
        <w:rPr>
          <w:rFonts w:ascii="宋体" w:hAnsi="宋体"/>
          <w:sz w:val="28"/>
          <w:szCs w:val="28"/>
        </w:rPr>
        <w:t>2</w:t>
      </w:r>
      <w:r>
        <w:rPr>
          <w:rFonts w:hint="eastAsia" w:ascii="宋体" w:hAnsi="宋体"/>
          <w:sz w:val="28"/>
          <w:szCs w:val="28"/>
        </w:rPr>
        <w:t>、提供货物组装和</w:t>
      </w:r>
      <w:r>
        <w:rPr>
          <w:rFonts w:ascii="宋体" w:hAnsi="宋体"/>
          <w:sz w:val="28"/>
          <w:szCs w:val="28"/>
        </w:rPr>
        <w:t>/</w:t>
      </w:r>
      <w:r>
        <w:rPr>
          <w:rFonts w:hint="eastAsia" w:ascii="宋体" w:hAnsi="宋体"/>
          <w:sz w:val="28"/>
          <w:szCs w:val="28"/>
        </w:rPr>
        <w:t>或维修所需的工具；</w:t>
      </w:r>
    </w:p>
    <w:p w14:paraId="29E967E2">
      <w:pPr>
        <w:spacing w:line="520" w:lineRule="exact"/>
        <w:ind w:firstLine="490" w:firstLineChars="175"/>
        <w:rPr>
          <w:rFonts w:ascii="宋体"/>
          <w:sz w:val="28"/>
          <w:szCs w:val="28"/>
        </w:rPr>
      </w:pPr>
      <w:r>
        <w:rPr>
          <w:rFonts w:ascii="宋体" w:hAnsi="宋体"/>
          <w:sz w:val="28"/>
          <w:szCs w:val="28"/>
        </w:rPr>
        <w:t>3</w:t>
      </w:r>
      <w:r>
        <w:rPr>
          <w:rFonts w:hint="eastAsia" w:ascii="宋体" w:hAnsi="宋体"/>
          <w:sz w:val="28"/>
          <w:szCs w:val="28"/>
        </w:rPr>
        <w:t>、为所供货物的每一适当的单台设备提供详细的操作和维护手册；</w:t>
      </w:r>
    </w:p>
    <w:p w14:paraId="4292BAA5">
      <w:pPr>
        <w:spacing w:line="520" w:lineRule="exact"/>
        <w:ind w:firstLine="490" w:firstLineChars="175"/>
        <w:rPr>
          <w:rFonts w:ascii="宋体"/>
          <w:sz w:val="28"/>
          <w:szCs w:val="28"/>
        </w:rPr>
      </w:pPr>
      <w:r>
        <w:rPr>
          <w:rFonts w:ascii="宋体" w:hAnsi="宋体"/>
          <w:sz w:val="28"/>
          <w:szCs w:val="28"/>
        </w:rPr>
        <w:t>4</w:t>
      </w:r>
      <w:r>
        <w:rPr>
          <w:rFonts w:hint="eastAsia" w:ascii="宋体" w:hAnsi="宋体"/>
          <w:sz w:val="28"/>
          <w:szCs w:val="28"/>
        </w:rPr>
        <w:t>、在双方商定的一定期限内对所供货物实施运行或监督或维护或修理，但前提条件是该服务并不能免除乙方在合同质保期内所承担的义务；</w:t>
      </w:r>
    </w:p>
    <w:p w14:paraId="3B94E2C6">
      <w:pPr>
        <w:spacing w:line="520" w:lineRule="exact"/>
        <w:ind w:firstLine="490" w:firstLineChars="175"/>
        <w:rPr>
          <w:rFonts w:ascii="宋体"/>
          <w:sz w:val="28"/>
          <w:szCs w:val="28"/>
        </w:rPr>
      </w:pPr>
      <w:r>
        <w:rPr>
          <w:rFonts w:ascii="宋体" w:hAnsi="宋体"/>
          <w:sz w:val="28"/>
          <w:szCs w:val="28"/>
        </w:rPr>
        <w:t>5</w:t>
      </w:r>
      <w:r>
        <w:rPr>
          <w:rFonts w:hint="eastAsia" w:ascii="宋体" w:hAnsi="宋体"/>
          <w:sz w:val="28"/>
          <w:szCs w:val="28"/>
        </w:rPr>
        <w:t>、乙方和</w:t>
      </w:r>
      <w:r>
        <w:rPr>
          <w:rFonts w:ascii="宋体" w:hAnsi="宋体"/>
          <w:sz w:val="28"/>
          <w:szCs w:val="28"/>
        </w:rPr>
        <w:t>/</w:t>
      </w:r>
      <w:r>
        <w:rPr>
          <w:rFonts w:hint="eastAsia" w:ascii="宋体" w:hAnsi="宋体"/>
          <w:sz w:val="28"/>
          <w:szCs w:val="28"/>
        </w:rPr>
        <w:t>或制造厂家在项目现场就所供货物进行组装、试运行、运行、维护和</w:t>
      </w:r>
      <w:r>
        <w:rPr>
          <w:rFonts w:ascii="宋体" w:hAnsi="宋体"/>
          <w:sz w:val="28"/>
          <w:szCs w:val="28"/>
        </w:rPr>
        <w:t>/</w:t>
      </w:r>
      <w:r>
        <w:rPr>
          <w:rFonts w:hint="eastAsia" w:ascii="宋体" w:hAnsi="宋体"/>
          <w:sz w:val="28"/>
          <w:szCs w:val="28"/>
        </w:rPr>
        <w:t>或修理、软硬件升级。</w:t>
      </w:r>
    </w:p>
    <w:p w14:paraId="0DBD719E">
      <w:pPr>
        <w:spacing w:line="520" w:lineRule="exact"/>
        <w:ind w:firstLine="490" w:firstLineChars="175"/>
        <w:rPr>
          <w:rFonts w:ascii="宋体"/>
          <w:sz w:val="28"/>
          <w:szCs w:val="28"/>
        </w:rPr>
      </w:pPr>
      <w:r>
        <w:rPr>
          <w:rFonts w:ascii="宋体" w:hAnsi="宋体"/>
          <w:sz w:val="28"/>
          <w:szCs w:val="28"/>
        </w:rPr>
        <w:t>6</w:t>
      </w:r>
      <w:r>
        <w:rPr>
          <w:rFonts w:hint="eastAsia" w:ascii="宋体" w:hAnsi="宋体"/>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12AE948E">
      <w:pPr>
        <w:pStyle w:val="6"/>
        <w:spacing w:line="520" w:lineRule="exact"/>
        <w:ind w:firstLine="560" w:firstLineChars="200"/>
      </w:pPr>
      <w:r>
        <w:rPr>
          <w:rFonts w:hint="eastAsia" w:ascii="宋体" w:hAnsi="宋体"/>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2120EE9D">
      <w:pPr>
        <w:tabs>
          <w:tab w:val="left" w:pos="320"/>
          <w:tab w:val="left" w:pos="480"/>
          <w:tab w:val="left" w:pos="846"/>
        </w:tabs>
        <w:spacing w:line="520" w:lineRule="exact"/>
        <w:rPr>
          <w:rStyle w:val="19"/>
          <w:rFonts w:ascii="宋体" w:hAnsi="Calibri" w:eastAsia="宋体"/>
          <w:sz w:val="28"/>
          <w:szCs w:val="28"/>
          <w:highlight w:val="none"/>
        </w:rPr>
      </w:pPr>
      <w:r>
        <w:rPr>
          <w:rStyle w:val="19"/>
          <w:rFonts w:hint="eastAsia" w:ascii="宋体" w:hAnsi="宋体"/>
          <w:sz w:val="28"/>
          <w:szCs w:val="28"/>
          <w:highlight w:val="none"/>
        </w:rPr>
        <w:t>九、</w:t>
      </w:r>
      <w:r>
        <w:rPr>
          <w:rStyle w:val="19"/>
          <w:rFonts w:hint="eastAsia" w:ascii="宋体" w:hAnsi="宋体" w:eastAsia="宋体"/>
          <w:sz w:val="28"/>
          <w:szCs w:val="28"/>
          <w:highlight w:val="none"/>
        </w:rPr>
        <w:t>验收</w:t>
      </w:r>
      <w:bookmarkEnd w:id="72"/>
      <w:bookmarkEnd w:id="73"/>
    </w:p>
    <w:bookmarkEnd w:id="74"/>
    <w:bookmarkEnd w:id="75"/>
    <w:p w14:paraId="019D9002">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验收分初次开箱验收、甲方使用单位初步验收和甲方最终验收三个阶段，以最终验收为准。</w:t>
      </w:r>
    </w:p>
    <w:p w14:paraId="4A30AFA8">
      <w:pPr>
        <w:spacing w:line="520" w:lineRule="exact"/>
        <w:ind w:firstLine="490" w:firstLineChars="175"/>
        <w:rPr>
          <w:rFonts w:ascii="宋体" w:hAnsi="宋体" w:eastAsia="宋体" w:cs="Times New Roman"/>
          <w:sz w:val="28"/>
          <w:szCs w:val="28"/>
          <w:highlight w:val="none"/>
        </w:rPr>
      </w:pPr>
      <w:r>
        <w:rPr>
          <w:rFonts w:hint="eastAsia" w:ascii="宋体" w:hAnsi="宋体"/>
          <w:sz w:val="28"/>
          <w:szCs w:val="28"/>
          <w:highlight w:val="none"/>
        </w:rPr>
        <w:t>（一）</w:t>
      </w:r>
      <w:r>
        <w:rPr>
          <w:rFonts w:hint="eastAsia" w:ascii="宋体" w:hAnsi="宋体" w:eastAsia="宋体" w:cs="Times New Roman"/>
          <w:sz w:val="28"/>
          <w:szCs w:val="28"/>
          <w:highlight w:val="none"/>
        </w:rPr>
        <w:t>初次开箱验收</w:t>
      </w:r>
    </w:p>
    <w:p w14:paraId="693F3BEE">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设备到货后，甲方、乙方双方共同开箱验收。在检查货物原产地、型号、规格、配置符合合同要求后，由乙方负责安装调试、甲方负责技术验收（乙方协助），验收以国内行业标准或合同文本货物供货配置清单中描述的有关技术要求为准。</w:t>
      </w:r>
    </w:p>
    <w:p w14:paraId="6E60D8F4">
      <w:pPr>
        <w:spacing w:line="520" w:lineRule="exact"/>
        <w:ind w:firstLine="490" w:firstLineChars="175"/>
        <w:rPr>
          <w:rFonts w:ascii="宋体" w:hAnsi="宋体" w:eastAsia="宋体" w:cs="Times New Roman"/>
          <w:sz w:val="28"/>
          <w:szCs w:val="28"/>
          <w:highlight w:val="none"/>
        </w:rPr>
      </w:pPr>
      <w:r>
        <w:rPr>
          <w:rFonts w:hint="eastAsia" w:ascii="宋体" w:hAnsi="宋体"/>
          <w:sz w:val="28"/>
          <w:szCs w:val="28"/>
          <w:highlight w:val="none"/>
        </w:rPr>
        <w:t>（二）</w:t>
      </w:r>
      <w:r>
        <w:rPr>
          <w:rFonts w:hint="eastAsia" w:ascii="宋体" w:hAnsi="宋体" w:eastAsia="宋体" w:cs="Times New Roman"/>
          <w:sz w:val="28"/>
          <w:szCs w:val="28"/>
          <w:highlight w:val="none"/>
        </w:rPr>
        <w:t>甲方使用单位初步验收</w:t>
      </w:r>
    </w:p>
    <w:p w14:paraId="3047BAA8">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在设备安装调试运行正常后，进行试运行测试，通过试运行测试后进入试运行，试运行不少于7日。试运行期间由乙方向甲方提供详细的试运行报告，报告中至少应详细记录各种实测、运行数据。项目试运行正常后，乙方向甲方使用单位申请初步验收。初步验收由甲方使用单位按试运行报告及合同约定，现场查看货物使用情况。初验完成后，乙方填写初验验收报告并经甲方使用单位确认。</w:t>
      </w:r>
    </w:p>
    <w:p w14:paraId="634CAB07">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设备整机自安装之日起1个月内，如果设备不能正常工作或不能达到设备性能指标，在乙方尽快、尽力排除故障的前提下，仍不能解决问题，甲方有权要求乙方更换部件或全部新品以解决问题。乙方应在接到甲方书面申请（传真、电子邮件有效）后，在1个月内从原厂运出更换部件或更换新品，费用由乙方承担。新品或新部件到货安装后1个月内，仍不能正常工作或不能满足设备验收指标要求，甲方有权利要求再次换货。设备首次安装之日起4个月内，如果设备仍不能正常工作或不能满足设备验收指标要求的，甲方有权单方解除合同，乙方应无条件退还已收取的全部货款，并按合同总价30%向甲方支付违约金。履约保证金不予退还。履约保证金及违约金不足弥补甲方损失的，由乙方负责赔偿。</w:t>
      </w:r>
    </w:p>
    <w:p w14:paraId="4D18DD9C">
      <w:pPr>
        <w:spacing w:line="520" w:lineRule="exact"/>
        <w:ind w:firstLine="490" w:firstLineChars="175"/>
        <w:rPr>
          <w:rFonts w:ascii="宋体" w:hAnsi="宋体" w:eastAsia="宋体" w:cs="Times New Roman"/>
          <w:sz w:val="28"/>
          <w:szCs w:val="28"/>
          <w:highlight w:val="none"/>
        </w:rPr>
      </w:pPr>
      <w:r>
        <w:rPr>
          <w:rFonts w:hint="eastAsia" w:ascii="宋体" w:hAnsi="宋体"/>
          <w:sz w:val="28"/>
          <w:szCs w:val="28"/>
          <w:highlight w:val="none"/>
        </w:rPr>
        <w:t>（三）</w:t>
      </w:r>
      <w:r>
        <w:rPr>
          <w:rFonts w:hint="eastAsia" w:ascii="宋体" w:hAnsi="宋体" w:eastAsia="宋体" w:cs="Times New Roman"/>
          <w:sz w:val="28"/>
          <w:szCs w:val="28"/>
          <w:highlight w:val="none"/>
        </w:rPr>
        <w:t>甲方最终验收</w:t>
      </w:r>
    </w:p>
    <w:p w14:paraId="484FB39C">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甲方使用单位根据初验结果，向学校提交最终验收申请，由学校组织校内相关部门及有关专家进行项目的最终验收。验收依据为合同文本、招投标文件和国内相应的标准、规范，合同内所列功能参数逐条验收，并符合甲方稳定安全正常使用的需求。验收合格后，甲方填写终验验收单，并由乙方向甲方提交设备所包含的所有资料，以便甲方使用单位日后管理和维护。验收不合格的，限期整改，整改过程中产生的费用和设备发生的一切损失由乙方承担；整改超过二次的，甲方有权单方解除合同，乙方应无条件退还已收取的全部货款，并按合同总价30%向采购人支付违约金。履约保证金不予退还。履约保证金及违约金不足弥补甲方损失的，由乙方负责赔偿。</w:t>
      </w:r>
    </w:p>
    <w:p w14:paraId="33B8C243">
      <w:pPr>
        <w:tabs>
          <w:tab w:val="left" w:pos="320"/>
          <w:tab w:val="left" w:pos="480"/>
          <w:tab w:val="left" w:pos="846"/>
        </w:tabs>
        <w:spacing w:line="520" w:lineRule="exact"/>
        <w:rPr>
          <w:rStyle w:val="19"/>
          <w:rFonts w:ascii="宋体" w:hAnsi="Calibri" w:eastAsia="宋体"/>
          <w:sz w:val="28"/>
          <w:szCs w:val="28"/>
          <w:highlight w:val="none"/>
        </w:rPr>
      </w:pPr>
      <w:bookmarkStart w:id="76" w:name="_Toc6380"/>
      <w:bookmarkStart w:id="77" w:name="_Toc27411"/>
      <w:bookmarkStart w:id="78" w:name="_Toc9050"/>
      <w:bookmarkStart w:id="79" w:name="_Toc1430"/>
      <w:bookmarkStart w:id="80" w:name="_Toc5522"/>
      <w:r>
        <w:rPr>
          <w:rStyle w:val="19"/>
          <w:rFonts w:hint="eastAsia" w:ascii="宋体" w:hAnsi="宋体"/>
          <w:sz w:val="28"/>
          <w:szCs w:val="28"/>
          <w:highlight w:val="none"/>
        </w:rPr>
        <w:t>十、</w:t>
      </w:r>
      <w:r>
        <w:rPr>
          <w:rStyle w:val="19"/>
          <w:rFonts w:hint="eastAsia" w:ascii="宋体" w:hAnsi="宋体" w:eastAsia="宋体"/>
          <w:sz w:val="28"/>
          <w:szCs w:val="28"/>
          <w:highlight w:val="none"/>
        </w:rPr>
        <w:t>违约责任</w:t>
      </w:r>
    </w:p>
    <w:bookmarkEnd w:id="76"/>
    <w:bookmarkEnd w:id="77"/>
    <w:bookmarkEnd w:id="78"/>
    <w:bookmarkEnd w:id="79"/>
    <w:bookmarkEnd w:id="80"/>
    <w:p w14:paraId="0F1BB51C">
      <w:pPr>
        <w:spacing w:line="520" w:lineRule="exact"/>
        <w:ind w:firstLine="490" w:firstLineChars="175"/>
        <w:rPr>
          <w:rFonts w:ascii="宋体"/>
          <w:sz w:val="28"/>
          <w:szCs w:val="28"/>
          <w:highlight w:val="none"/>
        </w:rPr>
      </w:pPr>
      <w:r>
        <w:rPr>
          <w:rFonts w:hint="eastAsia" w:ascii="宋体" w:hAnsi="宋体"/>
          <w:sz w:val="28"/>
          <w:szCs w:val="28"/>
          <w:highlight w:val="none"/>
        </w:rPr>
        <w:t>（一）除合同约定的违约责任之外，双方按《政府采购法》《中华人民共和国民法典》中的相关条款执行。</w:t>
      </w:r>
    </w:p>
    <w:p w14:paraId="37CB9804">
      <w:pPr>
        <w:spacing w:line="520" w:lineRule="exact"/>
        <w:ind w:firstLine="490" w:firstLineChars="175"/>
        <w:rPr>
          <w:rFonts w:ascii="宋体"/>
          <w:sz w:val="28"/>
          <w:szCs w:val="28"/>
          <w:highlight w:val="none"/>
        </w:rPr>
      </w:pPr>
      <w:r>
        <w:rPr>
          <w:rFonts w:hint="eastAsia" w:ascii="宋体" w:hAnsi="宋体"/>
          <w:sz w:val="28"/>
          <w:szCs w:val="28"/>
          <w:highlight w:val="none"/>
        </w:rPr>
        <w:t>（二）乙方提供的货物不符合合同要求，或者不能满足招标文件技术要求，乙方必须无条件退换直到合格。否则，甲方有权终止合同，并对乙方的违约行为报监管机构进行相应的处罚。</w:t>
      </w:r>
    </w:p>
    <w:p w14:paraId="3222402C">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三）除因不可抗力，乙方逾期交货，免除乙方逾期交货责任。自不可抗力风险解除后，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w:t>
      </w:r>
    </w:p>
    <w:p w14:paraId="691A19A1">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7214CAF4">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（五）</w:t>
      </w:r>
      <w:bookmarkStart w:id="81" w:name="_Toc4469"/>
      <w:bookmarkStart w:id="82" w:name="_Toc3011"/>
      <w:bookmarkStart w:id="83" w:name="_Toc28511"/>
      <w:bookmarkStart w:id="84" w:name="_Toc25987"/>
      <w:bookmarkStart w:id="85" w:name="_Toc9462"/>
      <w:r>
        <w:rPr>
          <w:rFonts w:hint="eastAsia" w:ascii="宋体" w:hAnsi="宋体" w:eastAsia="宋体" w:cs="Times New Roman"/>
          <w:sz w:val="28"/>
          <w:szCs w:val="28"/>
          <w:highlight w:val="none"/>
        </w:rPr>
        <w:t>乙方所供货物在合理使用期限内，因质量或安装问题造成甲方或第三方人身伤亡、财产损失的，乙方应负责解决并承担赔偿责任；乙方应按甲方要求采取退货、换货等方式处理，退换货的一切费用由乙方承担。</w:t>
      </w:r>
    </w:p>
    <w:p w14:paraId="7905AC83">
      <w:pPr>
        <w:spacing w:line="520" w:lineRule="exact"/>
        <w:ind w:firstLine="492" w:firstLineChars="175"/>
        <w:rPr>
          <w:rStyle w:val="19"/>
          <w:rFonts w:ascii="宋体" w:hAnsi="宋体" w:eastAsia="宋体"/>
          <w:b w:val="0"/>
          <w:sz w:val="28"/>
          <w:szCs w:val="28"/>
          <w:highlight w:val="none"/>
        </w:rPr>
      </w:pPr>
      <w:r>
        <w:rPr>
          <w:rStyle w:val="19"/>
          <w:rFonts w:hint="eastAsia" w:ascii="宋体" w:hAnsi="宋体" w:eastAsia="宋体"/>
          <w:sz w:val="28"/>
          <w:highlight w:val="none"/>
        </w:rPr>
        <w:t>十一、</w:t>
      </w:r>
      <w:r>
        <w:rPr>
          <w:rStyle w:val="19"/>
          <w:rFonts w:hint="eastAsia" w:ascii="宋体" w:hAnsi="宋体" w:eastAsia="宋体"/>
          <w:sz w:val="28"/>
          <w:szCs w:val="28"/>
          <w:highlight w:val="none"/>
        </w:rPr>
        <w:t>保密条款</w:t>
      </w:r>
    </w:p>
    <w:p w14:paraId="31930256">
      <w:pPr>
        <w:adjustRightInd w:val="0"/>
        <w:snapToGrid w:val="0"/>
        <w:spacing w:line="520" w:lineRule="exact"/>
        <w:ind w:firstLine="697" w:firstLineChars="249"/>
        <w:rPr>
          <w:rFonts w:ascii="宋体"/>
          <w:sz w:val="28"/>
          <w:szCs w:val="28"/>
        </w:rPr>
      </w:pPr>
      <w:r>
        <w:rPr>
          <w:rFonts w:hint="eastAsia" w:ascii="宋体" w:hAnsi="宋体"/>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38B8C8AF">
      <w:pPr>
        <w:tabs>
          <w:tab w:val="left" w:pos="320"/>
          <w:tab w:val="left" w:pos="480"/>
          <w:tab w:val="left" w:pos="846"/>
        </w:tabs>
        <w:spacing w:line="520" w:lineRule="exact"/>
        <w:ind w:left="562"/>
        <w:rPr>
          <w:rStyle w:val="19"/>
          <w:rFonts w:ascii="宋体" w:hAnsi="Calibri" w:eastAsia="宋体"/>
          <w:sz w:val="28"/>
          <w:szCs w:val="28"/>
          <w:highlight w:val="none"/>
        </w:rPr>
      </w:pPr>
      <w:r>
        <w:rPr>
          <w:rStyle w:val="19"/>
          <w:rFonts w:hint="eastAsia" w:ascii="宋体" w:hAnsi="宋体" w:eastAsia="宋体"/>
          <w:sz w:val="28"/>
          <w:szCs w:val="28"/>
          <w:highlight w:val="none"/>
        </w:rPr>
        <w:t>十二、合同争议解决的方式</w:t>
      </w:r>
    </w:p>
    <w:bookmarkEnd w:id="81"/>
    <w:bookmarkEnd w:id="82"/>
    <w:bookmarkEnd w:id="83"/>
    <w:bookmarkEnd w:id="84"/>
    <w:bookmarkEnd w:id="85"/>
    <w:p w14:paraId="11CB0955">
      <w:pPr>
        <w:spacing w:line="520" w:lineRule="exact"/>
        <w:ind w:firstLine="490" w:firstLineChars="175"/>
        <w:rPr>
          <w:rFonts w:ascii="宋体"/>
          <w:sz w:val="28"/>
          <w:szCs w:val="28"/>
        </w:rPr>
      </w:pPr>
      <w:bookmarkStart w:id="86" w:name="_Toc31037"/>
      <w:bookmarkStart w:id="87" w:name="_Toc31635"/>
      <w:bookmarkStart w:id="88" w:name="_Toc10769"/>
      <w:bookmarkStart w:id="89" w:name="_Toc27709"/>
      <w:bookmarkStart w:id="90" w:name="_Toc7322"/>
      <w:r>
        <w:rPr>
          <w:rFonts w:hint="eastAsia" w:ascii="宋体" w:hAnsi="宋体"/>
          <w:sz w:val="28"/>
          <w:szCs w:val="28"/>
        </w:rPr>
        <w:t>本合同在履</w:t>
      </w:r>
      <w:bookmarkStart w:id="97" w:name="_GoBack"/>
      <w:bookmarkEnd w:id="97"/>
      <w:r>
        <w:rPr>
          <w:rFonts w:hint="eastAsia" w:ascii="宋体" w:hAnsi="宋体"/>
          <w:sz w:val="28"/>
          <w:szCs w:val="28"/>
        </w:rPr>
        <w:t>行过程中发生的争议，由甲、乙双方协商解决，协商不成的，提交甲方所在地有管辖权的人民法院裁决。</w:t>
      </w:r>
    </w:p>
    <w:p w14:paraId="3392B680">
      <w:pPr>
        <w:tabs>
          <w:tab w:val="left" w:pos="320"/>
          <w:tab w:val="left" w:pos="480"/>
          <w:tab w:val="left" w:pos="846"/>
        </w:tabs>
        <w:spacing w:line="520" w:lineRule="exact"/>
        <w:ind w:left="562"/>
        <w:rPr>
          <w:rStyle w:val="19"/>
          <w:rFonts w:ascii="宋体" w:hAnsi="Calibri" w:eastAsia="宋体"/>
          <w:sz w:val="28"/>
          <w:szCs w:val="28"/>
          <w:highlight w:val="none"/>
        </w:rPr>
      </w:pPr>
      <w:r>
        <w:rPr>
          <w:rStyle w:val="19"/>
          <w:rFonts w:hint="eastAsia" w:ascii="宋体" w:hAnsi="宋体" w:eastAsia="宋体"/>
          <w:sz w:val="28"/>
          <w:szCs w:val="28"/>
          <w:highlight w:val="none"/>
        </w:rPr>
        <w:t>十三、其他事项</w:t>
      </w:r>
    </w:p>
    <w:bookmarkEnd w:id="86"/>
    <w:bookmarkEnd w:id="87"/>
    <w:bookmarkEnd w:id="88"/>
    <w:bookmarkEnd w:id="89"/>
    <w:bookmarkEnd w:id="90"/>
    <w:p w14:paraId="2FED229B">
      <w:pPr>
        <w:spacing w:line="520" w:lineRule="exact"/>
        <w:ind w:firstLine="490" w:firstLineChars="175"/>
        <w:rPr>
          <w:rFonts w:ascii="宋体"/>
          <w:sz w:val="28"/>
          <w:szCs w:val="28"/>
        </w:rPr>
      </w:pPr>
      <w:bookmarkStart w:id="91" w:name="_Toc24532"/>
      <w:bookmarkStart w:id="92" w:name="_Toc29072"/>
      <w:bookmarkStart w:id="93" w:name="_Toc26214"/>
      <w:bookmarkStart w:id="94" w:name="_Toc2128"/>
      <w:bookmarkStart w:id="95" w:name="_Toc26525"/>
      <w:r>
        <w:rPr>
          <w:rFonts w:hint="eastAsia" w:ascii="宋体" w:hAnsi="宋体"/>
          <w:sz w:val="28"/>
          <w:szCs w:val="28"/>
        </w:rPr>
        <w:t>（一）招标文件、投标文件、澄清表（函）、中标通知书、合同附件均成为合同不可分割的部分。</w:t>
      </w:r>
    </w:p>
    <w:p w14:paraId="419106A9">
      <w:pPr>
        <w:spacing w:line="520" w:lineRule="exact"/>
        <w:ind w:firstLine="490" w:firstLineChars="175"/>
        <w:rPr>
          <w:rFonts w:ascii="宋体"/>
          <w:sz w:val="28"/>
          <w:szCs w:val="28"/>
        </w:rPr>
      </w:pPr>
      <w:r>
        <w:rPr>
          <w:rFonts w:hint="eastAsia" w:ascii="宋体" w:hAnsi="宋体"/>
          <w:sz w:val="28"/>
          <w:szCs w:val="28"/>
        </w:rPr>
        <w:t>（二）合同未尽事宜，由甲、乙双方协商并签订书面协议予以约定。</w:t>
      </w:r>
    </w:p>
    <w:p w14:paraId="0128604E">
      <w:pPr>
        <w:tabs>
          <w:tab w:val="left" w:pos="320"/>
          <w:tab w:val="left" w:pos="480"/>
          <w:tab w:val="left" w:pos="846"/>
        </w:tabs>
        <w:spacing w:line="520" w:lineRule="exact"/>
        <w:ind w:left="562"/>
        <w:rPr>
          <w:rStyle w:val="19"/>
          <w:rFonts w:ascii="宋体" w:hAnsi="Calibri" w:eastAsia="宋体"/>
          <w:sz w:val="28"/>
          <w:szCs w:val="28"/>
          <w:highlight w:val="none"/>
        </w:rPr>
      </w:pPr>
      <w:r>
        <w:rPr>
          <w:rStyle w:val="19"/>
          <w:rFonts w:hint="eastAsia" w:ascii="宋体" w:hAnsi="宋体" w:eastAsia="宋体"/>
          <w:sz w:val="28"/>
          <w:szCs w:val="28"/>
          <w:highlight w:val="none"/>
        </w:rPr>
        <w:t>十四、合同生效</w:t>
      </w:r>
    </w:p>
    <w:bookmarkEnd w:id="91"/>
    <w:bookmarkEnd w:id="92"/>
    <w:bookmarkEnd w:id="93"/>
    <w:bookmarkEnd w:id="94"/>
    <w:bookmarkEnd w:id="95"/>
    <w:p w14:paraId="09A3C515">
      <w:pPr>
        <w:pStyle w:val="6"/>
        <w:spacing w:line="520" w:lineRule="exact"/>
        <w:rPr>
          <w:rFonts w:ascii="宋体" w:hAnsi="宋体"/>
          <w:sz w:val="28"/>
          <w:szCs w:val="28"/>
          <w:highlight w:val="none"/>
        </w:rPr>
      </w:pPr>
      <w:r>
        <w:rPr>
          <w:rFonts w:hint="eastAsia" w:ascii="宋体" w:hAnsi="宋体"/>
          <w:sz w:val="28"/>
          <w:szCs w:val="28"/>
          <w:highlight w:val="none"/>
        </w:rPr>
        <w:t>本合同一式玖份，甲方陆份，乙方贰份、鉴证方壹份，甲、乙双方签字盖章后生效。（合同的服务承诺则长期有效）。</w:t>
      </w:r>
    </w:p>
    <w:tbl>
      <w:tblPr>
        <w:tblStyle w:val="14"/>
        <w:tblW w:w="9363" w:type="dxa"/>
        <w:jc w:val="center"/>
        <w:tblLayout w:type="fixed"/>
        <w:tblCellMar>
          <w:top w:w="0" w:type="dxa"/>
          <w:left w:w="108" w:type="dxa"/>
          <w:bottom w:w="0" w:type="dxa"/>
          <w:right w:w="108" w:type="dxa"/>
        </w:tblCellMar>
      </w:tblPr>
      <w:tblGrid>
        <w:gridCol w:w="3780"/>
        <w:gridCol w:w="2837"/>
        <w:gridCol w:w="2746"/>
      </w:tblGrid>
      <w:tr w14:paraId="6CDF36F1">
        <w:tblPrEx>
          <w:tblCellMar>
            <w:top w:w="0" w:type="dxa"/>
            <w:left w:w="108" w:type="dxa"/>
            <w:bottom w:w="0" w:type="dxa"/>
            <w:right w:w="108" w:type="dxa"/>
          </w:tblCellMar>
        </w:tblPrEx>
        <w:trPr>
          <w:jc w:val="center"/>
        </w:trPr>
        <w:tc>
          <w:tcPr>
            <w:tcW w:w="3780" w:type="dxa"/>
            <w:vAlign w:val="center"/>
          </w:tcPr>
          <w:p w14:paraId="092B7526">
            <w:pPr>
              <w:spacing w:line="520" w:lineRule="exact"/>
              <w:rPr>
                <w:rFonts w:ascii="宋体"/>
                <w:sz w:val="24"/>
                <w:highlight w:val="none"/>
              </w:rPr>
            </w:pPr>
            <w:r>
              <w:rPr>
                <w:rFonts w:hint="eastAsia" w:ascii="宋体" w:hAnsi="宋体"/>
                <w:b/>
                <w:bCs/>
                <w:sz w:val="24"/>
                <w:highlight w:val="none"/>
              </w:rPr>
              <w:t>甲方：西安外国语大学（盖章）</w:t>
            </w:r>
          </w:p>
        </w:tc>
        <w:tc>
          <w:tcPr>
            <w:tcW w:w="2837" w:type="dxa"/>
            <w:vAlign w:val="center"/>
          </w:tcPr>
          <w:p w14:paraId="79528F4E">
            <w:pPr>
              <w:spacing w:line="520" w:lineRule="exact"/>
              <w:rPr>
                <w:rFonts w:ascii="宋体"/>
                <w:sz w:val="24"/>
                <w:highlight w:val="none"/>
              </w:rPr>
            </w:pPr>
            <w:r>
              <w:rPr>
                <w:rFonts w:hint="eastAsia" w:ascii="宋体" w:hAnsi="宋体"/>
                <w:b/>
                <w:bCs/>
                <w:sz w:val="24"/>
                <w:highlight w:val="none"/>
              </w:rPr>
              <w:t>乙方：XXXXXXXX（盖章）</w:t>
            </w:r>
          </w:p>
        </w:tc>
        <w:tc>
          <w:tcPr>
            <w:tcW w:w="2746" w:type="dxa"/>
            <w:vMerge w:val="restart"/>
          </w:tcPr>
          <w:p w14:paraId="480F0ED2">
            <w:pPr>
              <w:spacing w:line="520" w:lineRule="exact"/>
              <w:rPr>
                <w:rFonts w:ascii="宋体"/>
                <w:sz w:val="24"/>
                <w:highlight w:val="none"/>
              </w:rPr>
            </w:pPr>
            <w:r>
              <w:rPr>
                <w:rFonts w:hint="eastAsia" w:ascii="宋体" w:hAnsi="宋体"/>
                <w:b/>
                <w:bCs/>
                <w:sz w:val="24"/>
                <w:highlight w:val="none"/>
              </w:rPr>
              <w:t>鉴证方：XXXXXXXX（盖章）</w:t>
            </w:r>
          </w:p>
        </w:tc>
      </w:tr>
      <w:tr w14:paraId="60402993">
        <w:tblPrEx>
          <w:tblCellMar>
            <w:top w:w="0" w:type="dxa"/>
            <w:left w:w="108" w:type="dxa"/>
            <w:bottom w:w="0" w:type="dxa"/>
            <w:right w:w="108" w:type="dxa"/>
          </w:tblCellMar>
        </w:tblPrEx>
        <w:trPr>
          <w:jc w:val="center"/>
        </w:trPr>
        <w:tc>
          <w:tcPr>
            <w:tcW w:w="3780" w:type="dxa"/>
            <w:vAlign w:val="center"/>
          </w:tcPr>
          <w:p w14:paraId="1AD86587">
            <w:pPr>
              <w:spacing w:line="520" w:lineRule="exact"/>
              <w:rPr>
                <w:rFonts w:ascii="宋体"/>
                <w:sz w:val="24"/>
                <w:highlight w:val="none"/>
              </w:rPr>
            </w:pPr>
            <w:r>
              <w:rPr>
                <w:rFonts w:hint="eastAsia" w:ascii="宋体" w:hAnsi="宋体"/>
                <w:b/>
                <w:bCs/>
                <w:sz w:val="24"/>
                <w:highlight w:val="none"/>
              </w:rPr>
              <w:t>法人或委托代理人：</w:t>
            </w:r>
          </w:p>
        </w:tc>
        <w:tc>
          <w:tcPr>
            <w:tcW w:w="2837" w:type="dxa"/>
            <w:vAlign w:val="center"/>
          </w:tcPr>
          <w:p w14:paraId="71302170">
            <w:pPr>
              <w:spacing w:line="520" w:lineRule="exact"/>
              <w:rPr>
                <w:rFonts w:ascii="宋体"/>
                <w:sz w:val="24"/>
                <w:highlight w:val="none"/>
              </w:rPr>
            </w:pPr>
            <w:r>
              <w:rPr>
                <w:rFonts w:hint="eastAsia" w:ascii="宋体" w:hAnsi="宋体"/>
                <w:b/>
                <w:bCs/>
                <w:sz w:val="24"/>
                <w:highlight w:val="none"/>
              </w:rPr>
              <w:t>法人或委托代理人：</w:t>
            </w:r>
          </w:p>
        </w:tc>
        <w:tc>
          <w:tcPr>
            <w:tcW w:w="2746" w:type="dxa"/>
            <w:vMerge w:val="continue"/>
            <w:vAlign w:val="center"/>
          </w:tcPr>
          <w:p w14:paraId="5FDE9C0A">
            <w:pPr>
              <w:spacing w:line="520" w:lineRule="exact"/>
              <w:rPr>
                <w:rFonts w:ascii="宋体"/>
                <w:sz w:val="24"/>
                <w:highlight w:val="none"/>
              </w:rPr>
            </w:pPr>
          </w:p>
        </w:tc>
      </w:tr>
      <w:tr w14:paraId="73E6132C">
        <w:tblPrEx>
          <w:tblCellMar>
            <w:top w:w="0" w:type="dxa"/>
            <w:left w:w="108" w:type="dxa"/>
            <w:bottom w:w="0" w:type="dxa"/>
            <w:right w:w="108" w:type="dxa"/>
          </w:tblCellMar>
        </w:tblPrEx>
        <w:trPr>
          <w:jc w:val="center"/>
        </w:trPr>
        <w:tc>
          <w:tcPr>
            <w:tcW w:w="3780" w:type="dxa"/>
            <w:vAlign w:val="center"/>
          </w:tcPr>
          <w:p w14:paraId="508F595C">
            <w:pPr>
              <w:spacing w:line="520" w:lineRule="exact"/>
              <w:rPr>
                <w:rFonts w:ascii="宋体"/>
                <w:sz w:val="24"/>
                <w:highlight w:val="none"/>
              </w:rPr>
            </w:pPr>
            <w:r>
              <w:rPr>
                <w:rFonts w:hint="eastAsia" w:ascii="宋体" w:hAnsi="宋体"/>
                <w:b/>
                <w:bCs/>
                <w:sz w:val="24"/>
                <w:highlight w:val="none"/>
              </w:rPr>
              <w:t>户名：西安外国语大学</w:t>
            </w:r>
          </w:p>
        </w:tc>
        <w:tc>
          <w:tcPr>
            <w:tcW w:w="2837" w:type="dxa"/>
            <w:vAlign w:val="center"/>
          </w:tcPr>
          <w:p w14:paraId="28D7C026">
            <w:pPr>
              <w:spacing w:line="520" w:lineRule="exact"/>
              <w:rPr>
                <w:rFonts w:ascii="宋体"/>
                <w:sz w:val="24"/>
                <w:highlight w:val="none"/>
              </w:rPr>
            </w:pPr>
            <w:r>
              <w:rPr>
                <w:rFonts w:hint="eastAsia" w:ascii="宋体" w:hAnsi="宋体"/>
                <w:b/>
                <w:bCs/>
                <w:sz w:val="24"/>
                <w:highlight w:val="none"/>
              </w:rPr>
              <w:t>户名：</w:t>
            </w:r>
          </w:p>
        </w:tc>
        <w:tc>
          <w:tcPr>
            <w:tcW w:w="2746" w:type="dxa"/>
            <w:vMerge w:val="continue"/>
            <w:vAlign w:val="center"/>
          </w:tcPr>
          <w:p w14:paraId="382C9F6D">
            <w:pPr>
              <w:spacing w:line="520" w:lineRule="exact"/>
              <w:rPr>
                <w:rFonts w:ascii="宋体"/>
                <w:sz w:val="24"/>
                <w:highlight w:val="none"/>
              </w:rPr>
            </w:pPr>
          </w:p>
        </w:tc>
      </w:tr>
      <w:tr w14:paraId="24AEE200">
        <w:tblPrEx>
          <w:tblCellMar>
            <w:top w:w="0" w:type="dxa"/>
            <w:left w:w="108" w:type="dxa"/>
            <w:bottom w:w="0" w:type="dxa"/>
            <w:right w:w="108" w:type="dxa"/>
          </w:tblCellMar>
        </w:tblPrEx>
        <w:trPr>
          <w:jc w:val="center"/>
        </w:trPr>
        <w:tc>
          <w:tcPr>
            <w:tcW w:w="3780" w:type="dxa"/>
            <w:vAlign w:val="center"/>
          </w:tcPr>
          <w:p w14:paraId="60C1507E">
            <w:pPr>
              <w:spacing w:line="520" w:lineRule="exact"/>
              <w:rPr>
                <w:rFonts w:ascii="宋体" w:hAnsi="宋体"/>
                <w:sz w:val="24"/>
                <w:highlight w:val="none"/>
              </w:rPr>
            </w:pPr>
            <w:r>
              <w:rPr>
                <w:rFonts w:hint="eastAsia" w:ascii="宋体" w:hAnsi="宋体"/>
                <w:b/>
                <w:bCs/>
                <w:sz w:val="24"/>
                <w:highlight w:val="none"/>
              </w:rPr>
              <w:t>开户行：</w:t>
            </w:r>
          </w:p>
        </w:tc>
        <w:tc>
          <w:tcPr>
            <w:tcW w:w="2837" w:type="dxa"/>
            <w:vAlign w:val="center"/>
          </w:tcPr>
          <w:p w14:paraId="250A8B27">
            <w:pPr>
              <w:spacing w:line="520" w:lineRule="exact"/>
              <w:rPr>
                <w:rFonts w:ascii="宋体"/>
                <w:sz w:val="24"/>
                <w:highlight w:val="none"/>
              </w:rPr>
            </w:pPr>
            <w:r>
              <w:rPr>
                <w:rFonts w:hint="eastAsia" w:ascii="宋体" w:hAnsi="宋体"/>
                <w:b/>
                <w:bCs/>
                <w:sz w:val="24"/>
                <w:highlight w:val="none"/>
              </w:rPr>
              <w:t>开户行：</w:t>
            </w:r>
          </w:p>
        </w:tc>
        <w:tc>
          <w:tcPr>
            <w:tcW w:w="2746" w:type="dxa"/>
            <w:vAlign w:val="center"/>
          </w:tcPr>
          <w:p w14:paraId="31F091FC">
            <w:pPr>
              <w:spacing w:line="520" w:lineRule="exact"/>
              <w:rPr>
                <w:rFonts w:ascii="宋体"/>
                <w:sz w:val="24"/>
                <w:highlight w:val="none"/>
              </w:rPr>
            </w:pPr>
            <w:r>
              <w:rPr>
                <w:rFonts w:hint="eastAsia" w:ascii="宋体" w:hAnsi="宋体"/>
                <w:b/>
                <w:bCs/>
                <w:sz w:val="24"/>
                <w:highlight w:val="none"/>
              </w:rPr>
              <w:t>代表签字：</w:t>
            </w:r>
          </w:p>
        </w:tc>
      </w:tr>
      <w:tr w14:paraId="01ED08F0">
        <w:tblPrEx>
          <w:tblCellMar>
            <w:top w:w="0" w:type="dxa"/>
            <w:left w:w="108" w:type="dxa"/>
            <w:bottom w:w="0" w:type="dxa"/>
            <w:right w:w="108" w:type="dxa"/>
          </w:tblCellMar>
        </w:tblPrEx>
        <w:trPr>
          <w:jc w:val="center"/>
        </w:trPr>
        <w:tc>
          <w:tcPr>
            <w:tcW w:w="3780" w:type="dxa"/>
            <w:vAlign w:val="center"/>
          </w:tcPr>
          <w:p w14:paraId="05463870">
            <w:pPr>
              <w:spacing w:line="520" w:lineRule="exact"/>
              <w:rPr>
                <w:rFonts w:ascii="宋体"/>
                <w:sz w:val="24"/>
                <w:highlight w:val="none"/>
              </w:rPr>
            </w:pPr>
            <w:r>
              <w:rPr>
                <w:rFonts w:hint="eastAsia" w:ascii="宋体" w:hAnsi="宋体"/>
                <w:b/>
                <w:bCs/>
                <w:sz w:val="24"/>
                <w:highlight w:val="none"/>
              </w:rPr>
              <w:t>账号：</w:t>
            </w:r>
          </w:p>
        </w:tc>
        <w:tc>
          <w:tcPr>
            <w:tcW w:w="2837" w:type="dxa"/>
            <w:vAlign w:val="center"/>
          </w:tcPr>
          <w:p w14:paraId="4FFE8FC2">
            <w:pPr>
              <w:spacing w:line="520" w:lineRule="exact"/>
              <w:rPr>
                <w:rFonts w:ascii="宋体"/>
                <w:sz w:val="24"/>
                <w:highlight w:val="none"/>
              </w:rPr>
            </w:pPr>
            <w:r>
              <w:rPr>
                <w:rFonts w:hint="eastAsia" w:ascii="宋体" w:hAnsi="宋体"/>
                <w:b/>
                <w:bCs/>
                <w:sz w:val="24"/>
                <w:highlight w:val="none"/>
              </w:rPr>
              <w:t>账号：</w:t>
            </w:r>
          </w:p>
        </w:tc>
        <w:tc>
          <w:tcPr>
            <w:tcW w:w="2746" w:type="dxa"/>
            <w:vAlign w:val="center"/>
          </w:tcPr>
          <w:p w14:paraId="2C059BD1">
            <w:pPr>
              <w:spacing w:line="520" w:lineRule="exact"/>
              <w:rPr>
                <w:rFonts w:ascii="宋体"/>
                <w:sz w:val="24"/>
                <w:highlight w:val="none"/>
              </w:rPr>
            </w:pPr>
          </w:p>
        </w:tc>
      </w:tr>
      <w:tr w14:paraId="5713B7FE">
        <w:tblPrEx>
          <w:tblCellMar>
            <w:top w:w="0" w:type="dxa"/>
            <w:left w:w="108" w:type="dxa"/>
            <w:bottom w:w="0" w:type="dxa"/>
            <w:right w:w="108" w:type="dxa"/>
          </w:tblCellMar>
        </w:tblPrEx>
        <w:trPr>
          <w:jc w:val="center"/>
        </w:trPr>
        <w:tc>
          <w:tcPr>
            <w:tcW w:w="3780" w:type="dxa"/>
            <w:vAlign w:val="center"/>
          </w:tcPr>
          <w:p w14:paraId="6025E3E9">
            <w:pPr>
              <w:spacing w:line="520" w:lineRule="exact"/>
              <w:rPr>
                <w:rFonts w:ascii="宋体"/>
                <w:sz w:val="24"/>
                <w:highlight w:val="none"/>
              </w:rPr>
            </w:pPr>
            <w:r>
              <w:rPr>
                <w:rFonts w:hint="eastAsia" w:ascii="宋体" w:hAnsi="宋体"/>
                <w:b/>
                <w:bCs/>
                <w:sz w:val="24"/>
                <w:highlight w:val="none"/>
              </w:rPr>
              <w:t>电话：</w:t>
            </w:r>
          </w:p>
        </w:tc>
        <w:tc>
          <w:tcPr>
            <w:tcW w:w="2837" w:type="dxa"/>
            <w:vAlign w:val="center"/>
          </w:tcPr>
          <w:p w14:paraId="1D094C64">
            <w:pPr>
              <w:spacing w:line="520" w:lineRule="exact"/>
              <w:rPr>
                <w:rFonts w:ascii="宋体"/>
                <w:sz w:val="24"/>
                <w:highlight w:val="none"/>
              </w:rPr>
            </w:pPr>
            <w:r>
              <w:rPr>
                <w:rFonts w:hint="eastAsia" w:ascii="宋体" w:hAnsi="宋体"/>
                <w:b/>
                <w:bCs/>
                <w:sz w:val="24"/>
                <w:highlight w:val="none"/>
              </w:rPr>
              <w:t>电话</w:t>
            </w:r>
            <w:r>
              <w:rPr>
                <w:rFonts w:ascii="宋体" w:hAnsi="宋体"/>
                <w:b/>
                <w:bCs/>
                <w:sz w:val="24"/>
                <w:highlight w:val="none"/>
              </w:rPr>
              <w:t>:</w:t>
            </w:r>
          </w:p>
        </w:tc>
        <w:tc>
          <w:tcPr>
            <w:tcW w:w="2746" w:type="dxa"/>
            <w:vAlign w:val="center"/>
          </w:tcPr>
          <w:p w14:paraId="3D7ADB2B">
            <w:pPr>
              <w:spacing w:line="520" w:lineRule="exact"/>
              <w:rPr>
                <w:rFonts w:ascii="宋体"/>
                <w:sz w:val="24"/>
                <w:highlight w:val="none"/>
              </w:rPr>
            </w:pPr>
            <w:r>
              <w:rPr>
                <w:rFonts w:hint="eastAsia" w:ascii="宋体" w:hAnsi="宋体"/>
                <w:b/>
                <w:bCs/>
                <w:sz w:val="24"/>
                <w:highlight w:val="none"/>
              </w:rPr>
              <w:t>电话：</w:t>
            </w:r>
          </w:p>
        </w:tc>
      </w:tr>
      <w:tr w14:paraId="7D4260A5">
        <w:tblPrEx>
          <w:tblCellMar>
            <w:top w:w="0" w:type="dxa"/>
            <w:left w:w="108" w:type="dxa"/>
            <w:bottom w:w="0" w:type="dxa"/>
            <w:right w:w="108" w:type="dxa"/>
          </w:tblCellMar>
        </w:tblPrEx>
        <w:trPr>
          <w:jc w:val="center"/>
        </w:trPr>
        <w:tc>
          <w:tcPr>
            <w:tcW w:w="3780" w:type="dxa"/>
            <w:vAlign w:val="center"/>
          </w:tcPr>
          <w:p w14:paraId="1EF15FC7">
            <w:pPr>
              <w:spacing w:line="520" w:lineRule="exact"/>
              <w:rPr>
                <w:rFonts w:ascii="宋体"/>
                <w:sz w:val="24"/>
                <w:highlight w:val="none"/>
              </w:rPr>
            </w:pPr>
            <w:r>
              <w:rPr>
                <w:rFonts w:hint="eastAsia" w:ascii="宋体" w:hAnsi="宋体"/>
                <w:b/>
                <w:bCs/>
                <w:sz w:val="24"/>
                <w:highlight w:val="none"/>
              </w:rPr>
              <w:t>地址：西安市长安区文苑南路</w:t>
            </w:r>
          </w:p>
        </w:tc>
        <w:tc>
          <w:tcPr>
            <w:tcW w:w="2837" w:type="dxa"/>
            <w:vAlign w:val="center"/>
          </w:tcPr>
          <w:p w14:paraId="205CA22A">
            <w:pPr>
              <w:spacing w:line="520" w:lineRule="exact"/>
              <w:rPr>
                <w:rFonts w:ascii="宋体"/>
                <w:sz w:val="24"/>
                <w:highlight w:val="none"/>
              </w:rPr>
            </w:pPr>
            <w:r>
              <w:rPr>
                <w:rFonts w:hint="eastAsia" w:ascii="宋体" w:hAnsi="宋体"/>
                <w:b/>
                <w:bCs/>
                <w:sz w:val="24"/>
                <w:highlight w:val="none"/>
              </w:rPr>
              <w:t>地址：</w:t>
            </w:r>
          </w:p>
        </w:tc>
        <w:tc>
          <w:tcPr>
            <w:tcW w:w="2746" w:type="dxa"/>
            <w:vAlign w:val="center"/>
          </w:tcPr>
          <w:p w14:paraId="1A6D973A">
            <w:pPr>
              <w:spacing w:line="520" w:lineRule="exact"/>
              <w:rPr>
                <w:rFonts w:ascii="宋体"/>
                <w:sz w:val="24"/>
                <w:highlight w:val="none"/>
              </w:rPr>
            </w:pPr>
            <w:r>
              <w:rPr>
                <w:rFonts w:hint="eastAsia" w:ascii="宋体" w:hAnsi="宋体"/>
                <w:b/>
                <w:bCs/>
                <w:sz w:val="24"/>
                <w:highlight w:val="none"/>
              </w:rPr>
              <w:t>地址：</w:t>
            </w:r>
          </w:p>
        </w:tc>
      </w:tr>
      <w:tr w14:paraId="52218E57">
        <w:tblPrEx>
          <w:tblCellMar>
            <w:top w:w="0" w:type="dxa"/>
            <w:left w:w="108" w:type="dxa"/>
            <w:bottom w:w="0" w:type="dxa"/>
            <w:right w:w="108" w:type="dxa"/>
          </w:tblCellMar>
        </w:tblPrEx>
        <w:trPr>
          <w:jc w:val="center"/>
        </w:trPr>
        <w:tc>
          <w:tcPr>
            <w:tcW w:w="3780" w:type="dxa"/>
            <w:vAlign w:val="center"/>
          </w:tcPr>
          <w:p w14:paraId="35ABC77C">
            <w:pPr>
              <w:spacing w:line="520" w:lineRule="exact"/>
              <w:rPr>
                <w:rFonts w:ascii="宋体"/>
                <w:sz w:val="24"/>
                <w:highlight w:val="none"/>
              </w:rPr>
            </w:pPr>
            <w:r>
              <w:rPr>
                <w:rFonts w:hint="eastAsia" w:ascii="宋体" w:hAnsi="宋体"/>
                <w:b/>
                <w:bCs/>
                <w:sz w:val="24"/>
                <w:highlight w:val="none"/>
              </w:rPr>
              <w:t>日期</w:t>
            </w:r>
            <w:r>
              <w:rPr>
                <w:rFonts w:ascii="宋体" w:hAnsi="宋体"/>
                <w:b/>
                <w:bCs/>
                <w:sz w:val="24"/>
                <w:highlight w:val="none"/>
              </w:rPr>
              <w:t>:</w:t>
            </w:r>
            <w:r>
              <w:rPr>
                <w:rFonts w:hint="eastAsia" w:ascii="宋体" w:hAnsi="宋体"/>
                <w:b/>
                <w:bCs/>
                <w:sz w:val="24"/>
                <w:highlight w:val="none"/>
              </w:rPr>
              <w:t xml:space="preserve">     年   月   日</w:t>
            </w:r>
          </w:p>
        </w:tc>
        <w:tc>
          <w:tcPr>
            <w:tcW w:w="2837" w:type="dxa"/>
            <w:vAlign w:val="center"/>
          </w:tcPr>
          <w:p w14:paraId="6DF07230">
            <w:pPr>
              <w:spacing w:line="520" w:lineRule="exact"/>
              <w:rPr>
                <w:rFonts w:ascii="宋体"/>
                <w:sz w:val="24"/>
                <w:highlight w:val="none"/>
              </w:rPr>
            </w:pPr>
            <w:r>
              <w:rPr>
                <w:rFonts w:hint="eastAsia" w:ascii="宋体" w:hAnsi="宋体"/>
                <w:b/>
                <w:bCs/>
                <w:sz w:val="24"/>
                <w:highlight w:val="none"/>
              </w:rPr>
              <w:t>日期</w:t>
            </w:r>
            <w:r>
              <w:rPr>
                <w:rFonts w:ascii="宋体" w:hAnsi="宋体"/>
                <w:b/>
                <w:bCs/>
                <w:sz w:val="24"/>
                <w:highlight w:val="none"/>
              </w:rPr>
              <w:t>:</w:t>
            </w:r>
            <w:r>
              <w:rPr>
                <w:rFonts w:hint="eastAsia" w:ascii="宋体" w:hAnsi="宋体"/>
                <w:b/>
                <w:bCs/>
                <w:sz w:val="24"/>
                <w:highlight w:val="none"/>
              </w:rPr>
              <w:t xml:space="preserve">     年  月   日</w:t>
            </w:r>
          </w:p>
        </w:tc>
        <w:tc>
          <w:tcPr>
            <w:tcW w:w="2746" w:type="dxa"/>
            <w:vAlign w:val="center"/>
          </w:tcPr>
          <w:p w14:paraId="2CD65F5F">
            <w:pPr>
              <w:spacing w:line="520" w:lineRule="exact"/>
              <w:rPr>
                <w:rFonts w:ascii="宋体"/>
                <w:sz w:val="24"/>
                <w:highlight w:val="none"/>
              </w:rPr>
            </w:pPr>
            <w:r>
              <w:rPr>
                <w:rFonts w:hint="eastAsia" w:ascii="宋体" w:hAnsi="宋体"/>
                <w:b/>
                <w:bCs/>
                <w:sz w:val="24"/>
                <w:highlight w:val="none"/>
              </w:rPr>
              <w:t>日期</w:t>
            </w:r>
            <w:r>
              <w:rPr>
                <w:rFonts w:ascii="宋体" w:hAnsi="宋体"/>
                <w:b/>
                <w:bCs/>
                <w:sz w:val="24"/>
                <w:highlight w:val="none"/>
              </w:rPr>
              <w:t>:</w:t>
            </w:r>
            <w:r>
              <w:rPr>
                <w:rFonts w:hint="eastAsia" w:ascii="宋体" w:hAnsi="宋体"/>
                <w:b/>
                <w:bCs/>
                <w:sz w:val="24"/>
                <w:highlight w:val="none"/>
              </w:rPr>
              <w:t xml:space="preserve">  年  月   日</w:t>
            </w:r>
          </w:p>
        </w:tc>
      </w:tr>
    </w:tbl>
    <w:p w14:paraId="55487CB9">
      <w:pPr>
        <w:rPr>
          <w:highlight w:val="none"/>
        </w:rPr>
      </w:pPr>
      <w:r>
        <w:rPr>
          <w:highlight w:val="none"/>
        </w:rPr>
        <w:br w:type="page"/>
      </w:r>
    </w:p>
    <w:p w14:paraId="7C807E68">
      <w:pPr>
        <w:tabs>
          <w:tab w:val="left" w:pos="320"/>
          <w:tab w:val="left" w:pos="480"/>
          <w:tab w:val="left" w:pos="846"/>
        </w:tabs>
        <w:spacing w:line="520" w:lineRule="exact"/>
        <w:ind w:left="400" w:leftChars="200"/>
      </w:pPr>
      <w:bookmarkStart w:id="96" w:name="_Toc30979"/>
      <w:r>
        <w:rPr>
          <w:rStyle w:val="19"/>
          <w:rFonts w:hint="eastAsia"/>
          <w:szCs w:val="22"/>
        </w:rPr>
        <w:t>附件：</w:t>
      </w:r>
      <w:bookmarkEnd w:id="96"/>
    </w:p>
    <w:p w14:paraId="0B756BE5">
      <w:pPr>
        <w:rPr>
          <w:color w:val="auto"/>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AC5218"/>
    <w:rsid w:val="10D3313C"/>
    <w:rsid w:val="264F0079"/>
    <w:rsid w:val="2B617603"/>
    <w:rsid w:val="36DE2219"/>
    <w:rsid w:val="403B217E"/>
    <w:rsid w:val="58BC239B"/>
    <w:rsid w:val="64DF3A6C"/>
    <w:rsid w:val="79E76FE5"/>
    <w:rsid w:val="7F441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3">
    <w:name w:val="heading 2"/>
    <w:basedOn w:val="1"/>
    <w:next w:val="1"/>
    <w:link w:val="19"/>
    <w:qFormat/>
    <w:uiPriority w:val="1"/>
    <w:pPr>
      <w:ind w:left="501" w:hanging="401"/>
      <w:outlineLvl w:val="1"/>
    </w:pPr>
    <w:rPr>
      <w:rFonts w:ascii="Microsoft JhengHei" w:hAnsi="Microsoft JhengHei" w:eastAsia="Microsoft JhengHei" w:cs="Microsoft JhengHei"/>
      <w:b/>
      <w:bCs/>
      <w:szCs w:val="32"/>
    </w:rPr>
  </w:style>
  <w:style w:type="paragraph" w:styleId="4">
    <w:name w:val="heading 3"/>
    <w:basedOn w:val="1"/>
    <w:next w:val="1"/>
    <w:qFormat/>
    <w:uiPriority w:val="1"/>
    <w:pPr>
      <w:ind w:left="726" w:hanging="489"/>
      <w:outlineLvl w:val="2"/>
    </w:pPr>
    <w:rPr>
      <w:rFonts w:ascii="宋体" w:hAnsi="宋体" w:eastAsia="宋体" w:cs="宋体"/>
      <w:sz w:val="28"/>
      <w:szCs w:val="28"/>
    </w:rPr>
  </w:style>
  <w:style w:type="paragraph" w:styleId="5">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styleId="6">
    <w:name w:val="Normal Indent"/>
    <w:basedOn w:val="1"/>
    <w:qFormat/>
    <w:uiPriority w:val="0"/>
    <w:pPr>
      <w:wordWrap/>
      <w:autoSpaceDE/>
      <w:autoSpaceDN/>
      <w:ind w:firstLine="420" w:firstLineChars="200"/>
    </w:pPr>
    <w:rPr>
      <w:rFonts w:ascii="Times New Roman"/>
      <w:sz w:val="21"/>
    </w:rPr>
  </w:style>
  <w:style w:type="paragraph" w:styleId="7">
    <w:name w:val="Body Text"/>
    <w:basedOn w:val="1"/>
    <w:qFormat/>
    <w:uiPriority w:val="1"/>
    <w:rPr>
      <w:rFonts w:ascii="宋体" w:hAnsi="宋体" w:eastAsia="宋体" w:cs="宋体"/>
      <w:sz w:val="21"/>
      <w:szCs w:val="21"/>
    </w:r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rPr>
  </w:style>
  <w:style w:type="paragraph" w:styleId="10">
    <w:name w:val="Body Text Indent 2"/>
    <w:basedOn w:val="1"/>
    <w:qFormat/>
    <w:uiPriority w:val="0"/>
    <w:pPr>
      <w:ind w:left="555"/>
    </w:pPr>
    <w:rPr>
      <w:sz w:val="28"/>
      <w:szCs w:val="20"/>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Body Text First Indent 2"/>
    <w:basedOn w:val="8"/>
    <w:qFormat/>
    <w:uiPriority w:val="0"/>
    <w:pPr>
      <w:spacing w:after="0"/>
      <w:ind w:left="0" w:leftChars="0" w:firstLine="420" w:firstLineChars="200"/>
    </w:pPr>
  </w:style>
  <w:style w:type="paragraph" w:customStyle="1" w:styleId="1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7">
    <w:name w:val="List Paragraph"/>
    <w:basedOn w:val="1"/>
    <w:qFormat/>
    <w:uiPriority w:val="1"/>
    <w:pPr>
      <w:ind w:left="100" w:firstLine="420"/>
    </w:pPr>
    <w:rPr>
      <w:rFonts w:ascii="宋体" w:hAnsi="宋体" w:eastAsia="宋体" w:cs="宋体"/>
    </w:rPr>
  </w:style>
  <w:style w:type="paragraph" w:customStyle="1" w:styleId="18">
    <w:name w:val="Table Paragraph"/>
    <w:basedOn w:val="1"/>
    <w:qFormat/>
    <w:uiPriority w:val="1"/>
    <w:rPr>
      <w:rFonts w:ascii="宋体" w:hAnsi="宋体" w:eastAsia="宋体" w:cs="宋体"/>
    </w:rPr>
  </w:style>
  <w:style w:type="character" w:customStyle="1" w:styleId="19">
    <w:name w:val="标题 2 Char1"/>
    <w:basedOn w:val="15"/>
    <w:link w:val="3"/>
    <w:qFormat/>
    <w:uiPriority w:val="99"/>
    <w:rPr>
      <w:rFonts w:ascii="Microsoft JhengHei" w:hAnsi="Microsoft JhengHei" w:eastAsia="Microsoft JhengHei" w:cs="Microsoft JhengHei"/>
      <w:b/>
      <w:bCs/>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6242</Words>
  <Characters>6633</Characters>
  <Lines>0</Lines>
  <Paragraphs>0</Paragraphs>
  <TotalTime>1</TotalTime>
  <ScaleCrop>false</ScaleCrop>
  <LinksUpToDate>false</LinksUpToDate>
  <CharactersWithSpaces>6759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puppet</cp:lastModifiedBy>
  <dcterms:modified xsi:type="dcterms:W3CDTF">2026-05-22T10:17:22Z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1C5C188EE19943F0A7F30E53E3656961_12</vt:lpwstr>
  </property>
  <property fmtid="{D5CDD505-2E9C-101B-9397-08002B2CF9AE}" pid="4" name="KSOTemplateDocerSaveRecord">
    <vt:lpwstr>eyJoZGlkIjoiNzQ1ZjFhODQ2YTk0OWE2MWRiZGI1ZjhkYjY1YjEzNGMiLCJ1c2VySWQiOiI2NjUzNDI1ODcifQ==</vt:lpwstr>
  </property>
</Properties>
</file>