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版本号：0617-2624HZ091520260717001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血液成分分离机采购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0617-2624HZ0915</w:t>
      </w:r>
      <w:r>
        <w:br/>
      </w:r>
      <w:r>
        <w:br/>
      </w:r>
      <w:r>
        <w:br/>
      </w:r>
    </w:p>
    <w:p>
      <w:pPr>
        <w:pStyle w:val="null3"/>
        <w:jc w:val="center"/>
        <w:outlineLvl w:val="2"/>
      </w:pPr>
      <w:r>
        <w:rPr>
          <w:rFonts w:ascii="仿宋_GB2312" w:hAnsi="仿宋_GB2312" w:cs="仿宋_GB2312" w:eastAsia="仿宋_GB2312"/>
          <w:sz w:val="28"/>
          <w:b/>
        </w:rPr>
        <w:t>咸阳市中心医院</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咸阳市中心医院</w:t>
      </w:r>
      <w:r>
        <w:rPr>
          <w:rFonts w:ascii="仿宋_GB2312" w:hAnsi="仿宋_GB2312" w:cs="仿宋_GB2312" w:eastAsia="仿宋_GB2312"/>
        </w:rPr>
        <w:t>委托，拟对</w:t>
      </w:r>
      <w:r>
        <w:rPr>
          <w:rFonts w:ascii="仿宋_GB2312" w:hAnsi="仿宋_GB2312" w:cs="仿宋_GB2312" w:eastAsia="仿宋_GB2312"/>
        </w:rPr>
        <w:t>血液成分分离机采购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0617-2624HZ0915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血液成分分离机采购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咸阳市中心医院血液成分分离机采购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1、法定代表人授权委托书：法定代表人参加投标的，须出示法定代表人身份证明及法定代表人身份证复印件；法定代表人授权他人参加投标的，须提供法定代表人授权委托书及被授权人身份证复印件。</w:t>
      </w:r>
    </w:p>
    <w:p>
      <w:pPr>
        <w:pStyle w:val="null3"/>
      </w:pPr>
      <w:r>
        <w:rPr>
          <w:rFonts w:ascii="仿宋_GB2312" w:hAnsi="仿宋_GB2312" w:cs="仿宋_GB2312" w:eastAsia="仿宋_GB2312"/>
        </w:rPr>
        <w:t>2、信用查询：投标人不得为“信用中国”网站（www.creditchina.gov.cn）中列入“失信被执行人”（中国执行信息公开网http://zxgk.court.gov.cn/shixin）和“重大税收违法失信主体”，不得为中国政府采购网（www.ccgp.gov.cn）政府采购“严重违法失信行为信息记录”中被财政部门禁止参加政府采购活动的供应商。</w:t>
      </w:r>
    </w:p>
    <w:p>
      <w:pPr>
        <w:pStyle w:val="null3"/>
      </w:pPr>
      <w:r>
        <w:rPr>
          <w:rFonts w:ascii="仿宋_GB2312" w:hAnsi="仿宋_GB2312" w:cs="仿宋_GB2312" w:eastAsia="仿宋_GB2312"/>
        </w:rPr>
        <w:t>3、投标人符合《医疗器械监督管理条例》和《医疗器械经营监督管理办法》等相关的规定：投标人符合《医疗器械监督管理条例》和《医疗器械经营监督管理办法》等相关的规定（投标人须具备与所投医疗器械相符的销售资格，提供相应的医疗器械经营许可证或备案凭证）。</w:t>
      </w:r>
    </w:p>
    <w:p>
      <w:pPr>
        <w:pStyle w:val="null3"/>
      </w:pPr>
      <w:r>
        <w:rPr>
          <w:rFonts w:ascii="仿宋_GB2312" w:hAnsi="仿宋_GB2312" w:cs="仿宋_GB2312" w:eastAsia="仿宋_GB2312"/>
        </w:rPr>
        <w:t>4、本项目不接受由咸阳市中心医院职工及其亲属投资举办的企业参加投标：本项目不接受由咸阳市中心医院职工及其亲属投资举办的企业参加投标（提供承诺函）。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咸阳市中心医院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咸阳市人民东路78号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咸阳市中心医院经办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029-33287237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王崇博、张宇鑫、周小方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029-85592879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咸阳市财政局政府采购管理科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赵书龙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33213484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代理服务费收费标准：1.确定中标人后3日内，由中标人向采购代理机构一次付清采购代理服务费。 2.采购代理服务费的金额按照原国家发展计划委员会计价格[2002]1980号文件、《国家发展和改革委员会办公厅关于招标代理服务收费有关问题的通知》（发改办价格〔2003〕857号）的规定及咸阳市中心医院规定执行： 中标金额＜100万元 按照标准下浮30%收取； 100万元≤中标金额＜200万元 按照标准下浮35%收取； 200万元≤中标金额＜500万元 按照标准下浮40%收取； 500万元≤中标金额＜1000万元 按照标准下浮45%收取； 中标金额≥1000万元 按照标准下浮50%收取。 3.银行信息: 户 名：西北（陕西）国际招标有限公司 开户银行：交通银行西安长安大学支行 账 号：611301151018010003843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咸阳市中心医院</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咸阳市中心医院</w:t>
      </w:r>
      <w:r>
        <w:rPr>
          <w:rFonts w:ascii="仿宋_GB2312" w:hAnsi="仿宋_GB2312" w:cs="仿宋_GB2312" w:eastAsia="仿宋_GB2312"/>
        </w:rPr>
        <w:t>负责解释。除上述招标文件内容，其他内容由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咸阳市中心医院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联系人：西北招标公司监督处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地址：西安市南二环西段58号成长大厦12楼 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咸阳市中心医院血液成分分离机采购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血液成分分离机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标的名称：血液成分分离机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一、招标内容一览表：</w:t>
            </w:r>
          </w:p>
          <w:tbl>
            <w:tblPr>
              <w:tblBorders>
                <w:top w:val="none" w:color="000000" w:sz="4"/>
                <w:left w:val="none" w:color="000000" w:sz="4"/>
                <w:bottom w:val="none" w:color="000000" w:sz="4"/>
                <w:right w:val="none" w:color="000000" w:sz="4"/>
                <w:insideH w:val="none"/>
                <w:insideV w:val="none"/>
              </w:tblBorders>
            </w:tblPr>
            <w:tblGrid>
              <w:gridCol w:w="605"/>
              <w:gridCol w:w="375"/>
              <w:gridCol w:w="666"/>
              <w:gridCol w:w="896"/>
            </w:tblGrid>
            <w:tr>
              <w:tc>
                <w:tcPr>
                  <w:tcW w:type="dxa" w:w="605"/>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spacing w:before="240" w:after="240"/>
                    <w:jc w:val="center"/>
                  </w:pPr>
                  <w:r>
                    <w:rPr>
                      <w:rFonts w:ascii="仿宋_GB2312" w:hAnsi="仿宋_GB2312" w:cs="仿宋_GB2312" w:eastAsia="仿宋_GB2312"/>
                      <w:sz w:val="24"/>
                      <w:b/>
                    </w:rPr>
                    <w:t>货物名称</w:t>
                  </w:r>
                </w:p>
              </w:tc>
              <w:tc>
                <w:tcPr>
                  <w:tcW w:type="dxa" w:w="375"/>
                  <w:tcBorders>
                    <w:top w:val="doub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40" w:after="240"/>
                    <w:jc w:val="center"/>
                  </w:pPr>
                  <w:r>
                    <w:rPr>
                      <w:rFonts w:ascii="仿宋_GB2312" w:hAnsi="仿宋_GB2312" w:cs="仿宋_GB2312" w:eastAsia="仿宋_GB2312"/>
                      <w:sz w:val="24"/>
                      <w:b/>
                    </w:rPr>
                    <w:t>数量</w:t>
                  </w:r>
                </w:p>
                <w:p>
                  <w:pPr>
                    <w:pStyle w:val="null3"/>
                    <w:spacing w:before="240" w:after="240"/>
                    <w:jc w:val="center"/>
                  </w:pPr>
                  <w:r>
                    <w:rPr>
                      <w:rFonts w:ascii="仿宋_GB2312" w:hAnsi="仿宋_GB2312" w:cs="仿宋_GB2312" w:eastAsia="仿宋_GB2312"/>
                      <w:sz w:val="24"/>
                      <w:b/>
                    </w:rPr>
                    <w:t>（台</w:t>
                  </w:r>
                  <w:r>
                    <w:rPr>
                      <w:rFonts w:ascii="仿宋_GB2312" w:hAnsi="仿宋_GB2312" w:cs="仿宋_GB2312" w:eastAsia="仿宋_GB2312"/>
                      <w:sz w:val="24"/>
                      <w:b/>
                    </w:rPr>
                    <w:t>/套）</w:t>
                  </w:r>
                </w:p>
              </w:tc>
              <w:tc>
                <w:tcPr>
                  <w:tcW w:type="dxa" w:w="666"/>
                  <w:tcBorders>
                    <w:top w:val="doub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40" w:after="240"/>
                    <w:jc w:val="center"/>
                  </w:pPr>
                  <w:r>
                    <w:rPr>
                      <w:rFonts w:ascii="仿宋_GB2312" w:hAnsi="仿宋_GB2312" w:cs="仿宋_GB2312" w:eastAsia="仿宋_GB2312"/>
                      <w:sz w:val="24"/>
                      <w:b/>
                    </w:rPr>
                    <w:t>是否接受进口产品</w:t>
                  </w:r>
                </w:p>
              </w:tc>
              <w:tc>
                <w:tcPr>
                  <w:tcW w:type="dxa" w:w="896"/>
                  <w:tcBorders>
                    <w:top w:val="doub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spacing w:before="240" w:after="240"/>
                    <w:jc w:val="center"/>
                  </w:pPr>
                  <w:r>
                    <w:rPr>
                      <w:rFonts w:ascii="仿宋_GB2312" w:hAnsi="仿宋_GB2312" w:cs="仿宋_GB2312" w:eastAsia="仿宋_GB2312"/>
                      <w:sz w:val="21"/>
                    </w:rPr>
                    <w:t>★</w:t>
                  </w:r>
                  <w:r>
                    <w:rPr>
                      <w:rFonts w:ascii="仿宋_GB2312" w:hAnsi="仿宋_GB2312" w:cs="仿宋_GB2312" w:eastAsia="仿宋_GB2312"/>
                      <w:sz w:val="24"/>
                      <w:b/>
                    </w:rPr>
                    <w:t>交货期</w:t>
                  </w:r>
                </w:p>
              </w:tc>
            </w:tr>
            <w:tr>
              <w:tc>
                <w:tcPr>
                  <w:tcW w:type="dxa" w:w="605"/>
                  <w:tcBorders>
                    <w:top w:val="non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血液成分分离机</w:t>
                  </w:r>
                </w:p>
              </w:tc>
              <w:tc>
                <w:tcPr>
                  <w:tcW w:type="dxa" w:w="375"/>
                  <w:tcBorders>
                    <w:top w:val="non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spacing w:after="60"/>
                    <w:ind w:left="60" w:right="60"/>
                    <w:jc w:val="center"/>
                  </w:pPr>
                  <w:r>
                    <w:rPr>
                      <w:rFonts w:ascii="仿宋_GB2312" w:hAnsi="仿宋_GB2312" w:cs="仿宋_GB2312" w:eastAsia="仿宋_GB2312"/>
                      <w:sz w:val="24"/>
                    </w:rPr>
                    <w:t>1</w:t>
                  </w:r>
                </w:p>
              </w:tc>
              <w:tc>
                <w:tcPr>
                  <w:tcW w:type="dxa" w:w="666"/>
                  <w:tcBorders>
                    <w:top w:val="non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spacing w:after="60"/>
                    <w:ind w:left="60" w:right="60"/>
                    <w:jc w:val="center"/>
                  </w:pPr>
                  <w:r>
                    <w:rPr>
                      <w:rFonts w:ascii="仿宋_GB2312" w:hAnsi="仿宋_GB2312" w:cs="仿宋_GB2312" w:eastAsia="仿宋_GB2312"/>
                      <w:sz w:val="24"/>
                    </w:rPr>
                    <w:t>接受</w:t>
                  </w:r>
                </w:p>
              </w:tc>
              <w:tc>
                <w:tcPr>
                  <w:tcW w:type="dxa" w:w="896"/>
                  <w:tcBorders>
                    <w:top w:val="none" w:color="000000" w:sz="4"/>
                    <w:left w:val="none" w:color="000000" w:sz="4"/>
                    <w:bottom w:val="double" w:color="000000" w:sz="4"/>
                    <w:right w:val="double" w:color="000000" w:sz="4"/>
                  </w:tcBorders>
                  <w:tcMar>
                    <w:top w:type="dxa" w:w="0"/>
                    <w:left w:type="dxa" w:w="105"/>
                    <w:bottom w:type="dxa" w:w="0"/>
                    <w:right w:type="dxa" w:w="105"/>
                  </w:tcMar>
                  <w:vAlign w:val="top"/>
                </w:tcPr>
                <w:p>
                  <w:pPr>
                    <w:pStyle w:val="null3"/>
                    <w:spacing w:before="240" w:after="240"/>
                    <w:jc w:val="center"/>
                  </w:pPr>
                  <w:r>
                    <w:rPr>
                      <w:rFonts w:ascii="仿宋_GB2312" w:hAnsi="仿宋_GB2312" w:cs="仿宋_GB2312" w:eastAsia="仿宋_GB2312"/>
                      <w:sz w:val="24"/>
                    </w:rPr>
                    <w:t>签订采购合同后，</w:t>
                  </w:r>
                  <w:r>
                    <w:rPr>
                      <w:rFonts w:ascii="仿宋_GB2312" w:hAnsi="仿宋_GB2312" w:cs="仿宋_GB2312" w:eastAsia="仿宋_GB2312"/>
                      <w:sz w:val="24"/>
                    </w:rPr>
                    <w:t>90天到货</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二、技术规范</w:t>
            </w:r>
          </w:p>
          <w:p>
            <w:pPr>
              <w:pStyle w:val="null3"/>
              <w:jc w:val="both"/>
            </w:pPr>
            <w:r>
              <w:rPr>
                <w:rFonts w:ascii="仿宋_GB2312" w:hAnsi="仿宋_GB2312" w:cs="仿宋_GB2312" w:eastAsia="仿宋_GB2312"/>
                <w:sz w:val="24"/>
                <w:shd w:fill="FFFFFF" w:val="clear"/>
              </w:rPr>
              <w:t>★2.1货</w:t>
            </w:r>
            <w:r>
              <w:rPr>
                <w:rFonts w:ascii="仿宋_GB2312" w:hAnsi="仿宋_GB2312" w:cs="仿宋_GB2312" w:eastAsia="仿宋_GB2312"/>
                <w:sz w:val="24"/>
                <w:shd w:fill="FFFFFF" w:val="clear"/>
              </w:rPr>
              <w:t>物的合格性证明文件：符合《医疗器械监督管理条例》的投标产品须提供有效的</w:t>
            </w:r>
            <w:r>
              <w:rPr>
                <w:rFonts w:ascii="仿宋_GB2312" w:hAnsi="仿宋_GB2312" w:cs="仿宋_GB2312" w:eastAsia="仿宋_GB2312"/>
                <w:sz w:val="24"/>
                <w:shd w:fill="FFFFFF" w:val="clear"/>
              </w:rPr>
              <w:t>“中华人民共和国医疗器械注册证”</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w:t>
            </w:r>
            <w:r>
              <w:rPr>
                <w:rFonts w:ascii="仿宋_GB2312" w:hAnsi="仿宋_GB2312" w:cs="仿宋_GB2312" w:eastAsia="仿宋_GB2312"/>
                <w:sz w:val="24"/>
                <w:b/>
              </w:rPr>
              <w:t>三、商务要求</w:t>
            </w:r>
          </w:p>
          <w:p>
            <w:pPr>
              <w:pStyle w:val="null3"/>
              <w:jc w:val="both"/>
            </w:pPr>
            <w:r>
              <w:rPr>
                <w:rFonts w:ascii="仿宋_GB2312" w:hAnsi="仿宋_GB2312" w:cs="仿宋_GB2312" w:eastAsia="仿宋_GB2312"/>
                <w:sz w:val="24"/>
              </w:rPr>
              <w:t>★3.1商务条款和</w:t>
            </w:r>
            <w:r>
              <w:rPr>
                <w:rFonts w:ascii="仿宋_GB2312" w:hAnsi="仿宋_GB2312" w:cs="仿宋_GB2312" w:eastAsia="仿宋_GB2312"/>
                <w:sz w:val="24"/>
              </w:rPr>
              <w:t>合同条款的全部内容。</w:t>
            </w:r>
          </w:p>
          <w:p>
            <w:pPr>
              <w:pStyle w:val="null3"/>
            </w:pPr>
            <w:r>
              <w:rPr>
                <w:rFonts w:ascii="仿宋_GB2312" w:hAnsi="仿宋_GB2312" w:cs="仿宋_GB2312" w:eastAsia="仿宋_GB2312"/>
                <w:sz w:val="24"/>
              </w:rPr>
              <w:t>注：</w:t>
            </w:r>
            <w:r>
              <w:rPr>
                <w:rFonts w:ascii="仿宋_GB2312" w:hAnsi="仿宋_GB2312" w:cs="仿宋_GB2312" w:eastAsia="仿宋_GB2312"/>
                <w:sz w:val="24"/>
              </w:rPr>
              <w:t>“★”</w:t>
            </w:r>
            <w:r>
              <w:rPr>
                <w:rFonts w:ascii="仿宋_GB2312" w:hAnsi="仿宋_GB2312" w:cs="仿宋_GB2312" w:eastAsia="仿宋_GB2312"/>
                <w:sz w:val="24"/>
              </w:rPr>
              <w:t>号标记的条款为技术和商务的实质性要求和条件，若偏离则为无效投标。</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4"/>
                <w:b/>
              </w:rPr>
              <w:t>四、技术要求</w:t>
            </w:r>
          </w:p>
          <w:p>
            <w:pPr>
              <w:pStyle w:val="null3"/>
              <w:jc w:val="both"/>
            </w:pPr>
            <w:r>
              <w:rPr>
                <w:rFonts w:ascii="仿宋_GB2312" w:hAnsi="仿宋_GB2312" w:cs="仿宋_GB2312" w:eastAsia="仿宋_GB2312"/>
                <w:sz w:val="24"/>
              </w:rPr>
              <w:t>设备名称：</w:t>
            </w:r>
            <w:r>
              <w:rPr>
                <w:rFonts w:ascii="仿宋_GB2312" w:hAnsi="仿宋_GB2312" w:cs="仿宋_GB2312" w:eastAsia="仿宋_GB2312"/>
                <w:sz w:val="24"/>
              </w:rPr>
              <w:t>血液成分分离机</w:t>
            </w:r>
          </w:p>
          <w:tbl>
            <w:tblPr>
              <w:tblBorders>
                <w:top w:val="none" w:color="000000" w:sz="4"/>
                <w:left w:val="none" w:color="000000" w:sz="4"/>
                <w:bottom w:val="none" w:color="000000" w:sz="4"/>
                <w:right w:val="none" w:color="000000" w:sz="4"/>
                <w:insideH w:val="none"/>
                <w:insideV w:val="none"/>
              </w:tblBorders>
            </w:tblPr>
            <w:tblGrid>
              <w:gridCol w:w="210"/>
              <w:gridCol w:w="450"/>
              <w:gridCol w:w="1887"/>
            </w:tblGrid>
            <w:tr>
              <w:tc>
                <w:tcPr>
                  <w:tcW w:type="dxa" w:w="2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4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设备功能及</w:t>
                  </w:r>
                </w:p>
                <w:p>
                  <w:pPr>
                    <w:pStyle w:val="null3"/>
                    <w:jc w:val="center"/>
                  </w:pPr>
                  <w:r>
                    <w:rPr>
                      <w:rFonts w:ascii="仿宋_GB2312" w:hAnsi="仿宋_GB2312" w:cs="仿宋_GB2312" w:eastAsia="仿宋_GB2312"/>
                      <w:sz w:val="24"/>
                      <w:b/>
                    </w:rPr>
                    <w:t>主要软、硬件</w:t>
                  </w:r>
                </w:p>
              </w:tc>
              <w:tc>
                <w:tcPr>
                  <w:tcW w:type="dxa" w:w="18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技术参数或要求</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设备用途</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治疗性血浆置换（</w:t>
                  </w:r>
                  <w:r>
                    <w:rPr>
                      <w:rFonts w:ascii="仿宋_GB2312" w:hAnsi="仿宋_GB2312" w:cs="仿宋_GB2312" w:eastAsia="仿宋_GB2312"/>
                      <w:sz w:val="24"/>
                    </w:rPr>
                    <w:t>TPE）、单个核细胞采集（MNC）、红细胞置换/移除（RBCX）、白细胞去除（WBCD）、血小板去除（PLTD）和连续单个核细胞采集（CMNC）等</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主要技术参数</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一．设备主要技术参数：</w:t>
                  </w:r>
                </w:p>
                <w:p>
                  <w:pPr>
                    <w:pStyle w:val="null3"/>
                    <w:jc w:val="left"/>
                  </w:pPr>
                  <w:r>
                    <w:rPr>
                      <w:rFonts w:ascii="仿宋_GB2312" w:hAnsi="仿宋_GB2312" w:cs="仿宋_GB2312" w:eastAsia="仿宋_GB2312"/>
                      <w:sz w:val="24"/>
                    </w:rPr>
                    <w:t>1.单针、双针式，治疗人群：成人、儿童；</w:t>
                  </w:r>
                </w:p>
                <w:p>
                  <w:pPr>
                    <w:pStyle w:val="null3"/>
                    <w:jc w:val="left"/>
                  </w:pPr>
                  <w:r>
                    <w:rPr>
                      <w:rFonts w:ascii="仿宋_GB2312" w:hAnsi="仿宋_GB2312" w:cs="仿宋_GB2312" w:eastAsia="仿宋_GB2312"/>
                      <w:sz w:val="24"/>
                    </w:rPr>
                    <w:t>2 .具备全自动模式；具备全自动血液分离界面管理系统，至少包含一个高清摄像头；自动调整采集参数；</w:t>
                  </w:r>
                </w:p>
                <w:p>
                  <w:pPr>
                    <w:pStyle w:val="null3"/>
                    <w:jc w:val="left"/>
                  </w:pPr>
                  <w:r>
                    <w:rPr>
                      <w:rFonts w:ascii="仿宋_GB2312" w:hAnsi="仿宋_GB2312" w:cs="仿宋_GB2312" w:eastAsia="仿宋_GB2312"/>
                      <w:sz w:val="24"/>
                    </w:rPr>
                    <w:t>3.操作界面：彩色显示屏，实时显示数据，可编辑程序参数，中文界面；</w:t>
                  </w:r>
                </w:p>
                <w:p>
                  <w:pPr>
                    <w:pStyle w:val="null3"/>
                    <w:jc w:val="left"/>
                  </w:pPr>
                  <w:r>
                    <w:rPr>
                      <w:rFonts w:ascii="仿宋_GB2312" w:hAnsi="仿宋_GB2312" w:cs="仿宋_GB2312" w:eastAsia="仿宋_GB2312"/>
                      <w:sz w:val="24"/>
                    </w:rPr>
                    <w:t>4.离心机最大转速≥2200rpm；</w:t>
                  </w:r>
                </w:p>
                <w:p>
                  <w:pPr>
                    <w:pStyle w:val="null3"/>
                    <w:jc w:val="left"/>
                  </w:pPr>
                  <w:r>
                    <w:rPr>
                      <w:rFonts w:ascii="仿宋_GB2312" w:hAnsi="仿宋_GB2312" w:cs="仿宋_GB2312" w:eastAsia="仿宋_GB2312"/>
                      <w:sz w:val="24"/>
                    </w:rPr>
                    <w:t>5.全血流速：10ml/min~125ml/min 可调；</w:t>
                  </w:r>
                </w:p>
                <w:p>
                  <w:pPr>
                    <w:pStyle w:val="null3"/>
                    <w:jc w:val="left"/>
                  </w:pPr>
                  <w:r>
                    <w:rPr>
                      <w:rFonts w:ascii="仿宋_GB2312" w:hAnsi="仿宋_GB2312" w:cs="仿宋_GB2312" w:eastAsia="仿宋_GB2312"/>
                      <w:sz w:val="24"/>
                    </w:rPr>
                    <w:t>6.采血泵系统至少应包含采血泵、回输泵、抗凝剂泵、血浆泵、置换/采集泵等；</w:t>
                  </w:r>
                </w:p>
                <w:p>
                  <w:pPr>
                    <w:pStyle w:val="null3"/>
                    <w:jc w:val="left"/>
                  </w:pPr>
                  <w:r>
                    <w:rPr>
                      <w:rFonts w:ascii="仿宋_GB2312" w:hAnsi="仿宋_GB2312" w:cs="仿宋_GB2312" w:eastAsia="仿宋_GB2312"/>
                      <w:sz w:val="24"/>
                    </w:rPr>
                    <w:t>7.抗凝剂：抗凝剂泵独立可调，可自动控制和计算抗凝剂。抗凝剂剂量与全血比例调节范围：1:2~1:50；</w:t>
                  </w:r>
                </w:p>
                <w:p>
                  <w:pPr>
                    <w:pStyle w:val="null3"/>
                    <w:jc w:val="left"/>
                  </w:pPr>
                  <w:r>
                    <w:rPr>
                      <w:rFonts w:ascii="仿宋_GB2312" w:hAnsi="仿宋_GB2312" w:cs="仿宋_GB2312" w:eastAsia="仿宋_GB2312"/>
                      <w:sz w:val="24"/>
                    </w:rPr>
                    <w:t>8.具备热合功能或配置；</w:t>
                  </w:r>
                </w:p>
                <w:p>
                  <w:pPr>
                    <w:pStyle w:val="null3"/>
                    <w:jc w:val="left"/>
                  </w:pPr>
                  <w:r>
                    <w:rPr>
                      <w:rFonts w:ascii="仿宋_GB2312" w:hAnsi="仿宋_GB2312" w:cs="仿宋_GB2312" w:eastAsia="仿宋_GB2312"/>
                      <w:sz w:val="24"/>
                    </w:rPr>
                    <w:t>9.数据管理：可连接打印机与电脑，负责与我院现有信息系统对接，具备数据采集记录功能。采集记录可在设备自身屏幕调取显示；</w:t>
                  </w:r>
                </w:p>
                <w:p>
                  <w:pPr>
                    <w:pStyle w:val="null3"/>
                    <w:jc w:val="left"/>
                  </w:pPr>
                  <w:r>
                    <w:rPr>
                      <w:rFonts w:ascii="仿宋_GB2312" w:hAnsi="仿宋_GB2312" w:cs="仿宋_GB2312" w:eastAsia="仿宋_GB2312"/>
                      <w:sz w:val="24"/>
                    </w:rPr>
                    <w:t>10.管路：不同颜色标识， 设备自动装载并预充管路；</w:t>
                  </w:r>
                </w:p>
                <w:p>
                  <w:pPr>
                    <w:pStyle w:val="null3"/>
                    <w:jc w:val="left"/>
                  </w:pPr>
                  <w:r>
                    <w:rPr>
                      <w:rFonts w:ascii="仿宋_GB2312" w:hAnsi="仿宋_GB2312" w:cs="仿宋_GB2312" w:eastAsia="仿宋_GB2312"/>
                      <w:sz w:val="24"/>
                    </w:rPr>
                    <w:t>11.屏幕实时显示采集过程中的图像；</w:t>
                  </w:r>
                </w:p>
                <w:p>
                  <w:pPr>
                    <w:pStyle w:val="null3"/>
                    <w:jc w:val="left"/>
                  </w:pPr>
                  <w:r>
                    <w:rPr>
                      <w:rFonts w:ascii="仿宋_GB2312" w:hAnsi="仿宋_GB2312" w:cs="仿宋_GB2312" w:eastAsia="仿宋_GB2312"/>
                      <w:sz w:val="24"/>
                    </w:rPr>
                    <w:t>12.采集前系统自检（包括管路与程序）；</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13.最小体外循环量：≤150ml</w:t>
                  </w:r>
                </w:p>
                <w:p>
                  <w:pPr>
                    <w:pStyle w:val="null3"/>
                    <w:jc w:val="left"/>
                  </w:pPr>
                  <w:r>
                    <w:rPr>
                      <w:rFonts w:ascii="仿宋_GB2312" w:hAnsi="仿宋_GB2312" w:cs="仿宋_GB2312" w:eastAsia="仿宋_GB2312"/>
                      <w:sz w:val="24"/>
                    </w:rPr>
                    <w:t>14.具有气泡报警功能；</w:t>
                  </w:r>
                </w:p>
                <w:p>
                  <w:pPr>
                    <w:pStyle w:val="null3"/>
                    <w:jc w:val="left"/>
                  </w:pPr>
                  <w:r>
                    <w:rPr>
                      <w:rFonts w:ascii="仿宋_GB2312" w:hAnsi="仿宋_GB2312" w:cs="仿宋_GB2312" w:eastAsia="仿宋_GB2312"/>
                      <w:sz w:val="24"/>
                    </w:rPr>
                    <w:t>15.具有离心仓漏液探测报警功能；</w:t>
                  </w:r>
                </w:p>
                <w:p>
                  <w:pPr>
                    <w:pStyle w:val="null3"/>
                    <w:jc w:val="left"/>
                  </w:pPr>
                  <w:r>
                    <w:rPr>
                      <w:rFonts w:ascii="仿宋_GB2312" w:hAnsi="仿宋_GB2312" w:cs="仿宋_GB2312" w:eastAsia="仿宋_GB2312"/>
                      <w:sz w:val="24"/>
                    </w:rPr>
                    <w:t>16.具备单个核细胞采集功能；</w:t>
                  </w:r>
                </w:p>
                <w:p>
                  <w:pPr>
                    <w:pStyle w:val="null3"/>
                    <w:jc w:val="left"/>
                  </w:pPr>
                  <w:r>
                    <w:rPr>
                      <w:rFonts w:ascii="仿宋_GB2312" w:hAnsi="仿宋_GB2312" w:cs="仿宋_GB2312" w:eastAsia="仿宋_GB2312"/>
                      <w:sz w:val="24"/>
                    </w:rPr>
                    <w:t>17.具备全自动和半自动2种细胞采集模式；</w:t>
                  </w:r>
                </w:p>
                <w:p>
                  <w:pPr>
                    <w:pStyle w:val="null3"/>
                    <w:jc w:val="left"/>
                  </w:pPr>
                  <w:r>
                    <w:rPr>
                      <w:rFonts w:ascii="仿宋_GB2312" w:hAnsi="仿宋_GB2312" w:cs="仿宋_GB2312" w:eastAsia="仿宋_GB2312"/>
                      <w:sz w:val="24"/>
                    </w:rPr>
                    <w:t>18.红细胞混入率≤3.5%；</w:t>
                  </w:r>
                </w:p>
                <w:p>
                  <w:pPr>
                    <w:pStyle w:val="null3"/>
                    <w:jc w:val="left"/>
                  </w:pPr>
                  <w:r>
                    <w:rPr>
                      <w:rFonts w:ascii="仿宋_GB2312" w:hAnsi="仿宋_GB2312" w:cs="仿宋_GB2312" w:eastAsia="仿宋_GB2312"/>
                      <w:sz w:val="24"/>
                    </w:rPr>
                    <w:t>19.具备治疗性血浆置换；</w:t>
                  </w:r>
                </w:p>
                <w:p>
                  <w:pPr>
                    <w:pStyle w:val="null3"/>
                    <w:jc w:val="left"/>
                  </w:pPr>
                  <w:r>
                    <w:rPr>
                      <w:rFonts w:ascii="仿宋_GB2312" w:hAnsi="仿宋_GB2312" w:cs="仿宋_GB2312" w:eastAsia="仿宋_GB2312"/>
                      <w:sz w:val="24"/>
                    </w:rPr>
                    <w:t>20.血浆移除效率≥85%；</w:t>
                  </w:r>
                </w:p>
                <w:p>
                  <w:pPr>
                    <w:pStyle w:val="null3"/>
                    <w:jc w:val="left"/>
                  </w:pPr>
                  <w:r>
                    <w:rPr>
                      <w:rFonts w:ascii="仿宋_GB2312" w:hAnsi="仿宋_GB2312" w:cs="仿宋_GB2312" w:eastAsia="仿宋_GB2312"/>
                      <w:sz w:val="24"/>
                    </w:rPr>
                    <w:t>21.自动监测液体平衡，液体平衡设置范围：75%-200%；</w:t>
                  </w:r>
                </w:p>
                <w:p>
                  <w:pPr>
                    <w:pStyle w:val="null3"/>
                    <w:jc w:val="left"/>
                  </w:pPr>
                  <w:r>
                    <w:rPr>
                      <w:rFonts w:ascii="仿宋_GB2312" w:hAnsi="仿宋_GB2312" w:cs="仿宋_GB2312" w:eastAsia="仿宋_GB2312"/>
                      <w:sz w:val="24"/>
                    </w:rPr>
                    <w:t>22.具备血浆置换及吸附功能；</w:t>
                  </w:r>
                </w:p>
                <w:p>
                  <w:pPr>
                    <w:pStyle w:val="null3"/>
                    <w:jc w:val="left"/>
                  </w:pPr>
                  <w:r>
                    <w:rPr>
                      <w:rFonts w:ascii="仿宋_GB2312" w:hAnsi="仿宋_GB2312" w:cs="仿宋_GB2312" w:eastAsia="仿宋_GB2312"/>
                      <w:sz w:val="24"/>
                    </w:rPr>
                    <w:t>23.血小板损失率≤2%；</w:t>
                  </w:r>
                </w:p>
                <w:p>
                  <w:pPr>
                    <w:pStyle w:val="null3"/>
                    <w:jc w:val="left"/>
                  </w:pPr>
                  <w:r>
                    <w:rPr>
                      <w:rFonts w:ascii="仿宋_GB2312" w:hAnsi="仿宋_GB2312" w:cs="仿宋_GB2312" w:eastAsia="仿宋_GB2312"/>
                      <w:sz w:val="24"/>
                    </w:rPr>
                    <w:t>24.红细胞置换：自动计算红细胞去除量、可设定去除后目标红细胞压积；</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25.终生提供该设备所涉及到耗材供应；（提供全部耗材报价，评审以主要耗材为主）（提供耗材保供承诺函）</w:t>
                  </w:r>
                </w:p>
                <w:p>
                  <w:pPr>
                    <w:pStyle w:val="null3"/>
                    <w:jc w:val="left"/>
                  </w:pPr>
                  <w:r>
                    <w:rPr>
                      <w:rFonts w:ascii="仿宋_GB2312" w:hAnsi="仿宋_GB2312" w:cs="仿宋_GB2312" w:eastAsia="仿宋_GB2312"/>
                      <w:sz w:val="24"/>
                    </w:rPr>
                    <w:t>二．配置清单：</w:t>
                  </w:r>
                </w:p>
                <w:p>
                  <w:pPr>
                    <w:pStyle w:val="null3"/>
                    <w:jc w:val="left"/>
                  </w:pPr>
                  <w:r>
                    <w:rPr>
                      <w:rFonts w:ascii="仿宋_GB2312" w:hAnsi="仿宋_GB2312" w:cs="仿宋_GB2312" w:eastAsia="仿宋_GB2312"/>
                      <w:sz w:val="24"/>
                    </w:rPr>
                    <w:t>1.分离盘</w:t>
                  </w:r>
                  <w:r>
                    <w:rPr>
                      <w:rFonts w:ascii="仿宋_GB2312" w:hAnsi="仿宋_GB2312" w:cs="仿宋_GB2312" w:eastAsia="仿宋_GB2312"/>
                      <w:sz w:val="24"/>
                    </w:rPr>
                    <w:t>≥2个；</w:t>
                  </w:r>
                </w:p>
                <w:p>
                  <w:pPr>
                    <w:pStyle w:val="null3"/>
                    <w:jc w:val="left"/>
                  </w:pPr>
                  <w:r>
                    <w:rPr>
                      <w:rFonts w:ascii="仿宋_GB2312" w:hAnsi="仿宋_GB2312" w:cs="仿宋_GB2312" w:eastAsia="仿宋_GB2312"/>
                      <w:sz w:val="24"/>
                    </w:rPr>
                    <w:t>2.配套相关管路≥6套（所有规格型号耗材各一套）；</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w:t>
                  </w:r>
                </w:p>
              </w:tc>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售后要求</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1.提供设备装箱单及本次投标装备配置清单。</w:t>
                  </w:r>
                </w:p>
                <w:p>
                  <w:pPr>
                    <w:pStyle w:val="null3"/>
                    <w:jc w:val="both"/>
                  </w:pPr>
                  <w:r>
                    <w:rPr>
                      <w:rFonts w:ascii="仿宋_GB2312" w:hAnsi="仿宋_GB2312" w:cs="仿宋_GB2312" w:eastAsia="仿宋_GB2312"/>
                      <w:sz w:val="24"/>
                    </w:rPr>
                    <w:t>2.提供设备附件分项报价。</w:t>
                  </w:r>
                </w:p>
                <w:p>
                  <w:pPr>
                    <w:pStyle w:val="null3"/>
                    <w:jc w:val="both"/>
                  </w:pPr>
                  <w:r>
                    <w:rPr>
                      <w:rFonts w:ascii="仿宋_GB2312" w:hAnsi="仿宋_GB2312" w:cs="仿宋_GB2312" w:eastAsia="仿宋_GB2312"/>
                      <w:sz w:val="24"/>
                    </w:rPr>
                    <w:t>3.提供耗材及易损件报价。</w:t>
                  </w:r>
                </w:p>
                <w:p>
                  <w:pPr>
                    <w:pStyle w:val="null3"/>
                    <w:jc w:val="both"/>
                  </w:pPr>
                  <w:r>
                    <w:rPr>
                      <w:rFonts w:ascii="仿宋_GB2312" w:hAnsi="仿宋_GB2312" w:cs="仿宋_GB2312" w:eastAsia="仿宋_GB2312"/>
                      <w:sz w:val="24"/>
                    </w:rPr>
                    <w:t>4.产品全套质保≥5年，涉及软件终生免费升级。</w:t>
                  </w:r>
                </w:p>
                <w:p>
                  <w:pPr>
                    <w:pStyle w:val="null3"/>
                    <w:jc w:val="both"/>
                  </w:pPr>
                  <w:r>
                    <w:rPr>
                      <w:rFonts w:ascii="仿宋_GB2312" w:hAnsi="仿宋_GB2312" w:cs="仿宋_GB2312" w:eastAsia="仿宋_GB2312"/>
                      <w:sz w:val="24"/>
                    </w:rPr>
                    <w:t>5.设备出现故障时，卖方必须在0.5小时内响应，2小时内维修工程师到达现场，排除故障的期限不得超过12小时，否则卖方需提供备用机供临床使用。</w:t>
                  </w:r>
                </w:p>
                <w:p>
                  <w:pPr>
                    <w:pStyle w:val="null3"/>
                    <w:jc w:val="both"/>
                  </w:pPr>
                  <w:r>
                    <w:rPr>
                      <w:rFonts w:ascii="仿宋_GB2312" w:hAnsi="仿宋_GB2312" w:cs="仿宋_GB2312" w:eastAsia="仿宋_GB2312"/>
                      <w:sz w:val="24"/>
                    </w:rPr>
                    <w:t>6.提供操作手册及设备操作规程。</w:t>
                  </w:r>
                </w:p>
                <w:p>
                  <w:pPr>
                    <w:pStyle w:val="null3"/>
                    <w:jc w:val="both"/>
                  </w:pPr>
                  <w:r>
                    <w:rPr>
                      <w:rFonts w:ascii="仿宋_GB2312" w:hAnsi="仿宋_GB2312" w:cs="仿宋_GB2312" w:eastAsia="仿宋_GB2312"/>
                      <w:sz w:val="24"/>
                    </w:rPr>
                    <w:t>7.所提供产品的生产日期与设备到货日期的期间间隔≤6个月（进口设备≤1年）。</w:t>
                  </w:r>
                </w:p>
                <w:p>
                  <w:pPr>
                    <w:pStyle w:val="null3"/>
                    <w:jc w:val="both"/>
                  </w:pPr>
                  <w:r>
                    <w:rPr>
                      <w:rFonts w:ascii="仿宋_GB2312" w:hAnsi="仿宋_GB2312" w:cs="仿宋_GB2312" w:eastAsia="仿宋_GB2312"/>
                      <w:sz w:val="24"/>
                    </w:rPr>
                    <w:t>8.提供该设备非标的电源连接线及其他外接转换口。</w:t>
                  </w:r>
                </w:p>
                <w:p>
                  <w:pPr>
                    <w:pStyle w:val="null3"/>
                    <w:jc w:val="both"/>
                  </w:pPr>
                  <w:r>
                    <w:rPr>
                      <w:rFonts w:ascii="仿宋_GB2312" w:hAnsi="仿宋_GB2312" w:cs="仿宋_GB2312" w:eastAsia="仿宋_GB2312"/>
                      <w:sz w:val="24"/>
                    </w:rPr>
                    <w:t>9.保修期内，维修响应承诺及维修期间应急预案。</w:t>
                  </w:r>
                </w:p>
                <w:p>
                  <w:pPr>
                    <w:pStyle w:val="null3"/>
                    <w:jc w:val="both"/>
                  </w:pPr>
                  <w:r>
                    <w:rPr>
                      <w:rFonts w:ascii="仿宋_GB2312" w:hAnsi="仿宋_GB2312" w:cs="仿宋_GB2312" w:eastAsia="仿宋_GB2312"/>
                      <w:sz w:val="24"/>
                    </w:rPr>
                    <w:t>10.提供维修指南、维修专用工具、软件备份、故障代码表、备件清单、零部件、维修密码等维护维修必需的材料和信息。</w:t>
                  </w:r>
                </w:p>
                <w:p>
                  <w:pPr>
                    <w:pStyle w:val="null3"/>
                    <w:jc w:val="both"/>
                  </w:pPr>
                  <w:r>
                    <w:rPr>
                      <w:rFonts w:ascii="仿宋_GB2312" w:hAnsi="仿宋_GB2312" w:cs="仿宋_GB2312" w:eastAsia="仿宋_GB2312"/>
                      <w:sz w:val="24"/>
                    </w:rPr>
                    <w:t>11.质保期内≥4次/年巡检，≥2次/年维保，并提供报告。</w:t>
                  </w:r>
                </w:p>
                <w:p>
                  <w:pPr>
                    <w:pStyle w:val="null3"/>
                    <w:jc w:val="both"/>
                  </w:pPr>
                  <w:r>
                    <w:rPr>
                      <w:rFonts w:ascii="仿宋_GB2312" w:hAnsi="仿宋_GB2312" w:cs="仿宋_GB2312" w:eastAsia="仿宋_GB2312"/>
                      <w:sz w:val="24"/>
                    </w:rPr>
                    <w:t>12.设备所涉及耗材停产，需保证免费提供该设备升级。并在设备升级更新前，原有设备耗材不断供。</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签订采购合同后，90天到货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咸阳市中心医院指定地点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其他，设备安装验收合格后一个月之内，一次性支付验收设备合同金额，达到付款条件起22个工作日内，支付合同总金额的100.0%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验收方式、标准及验收依据： 1、验收方式、标准： 1.1货物到达采购人指定地点后，由投标人和采购人约定时间根据合同要求进行清点验收，确认产地品牌、规格型号和数量等。 1.2设备安装、调试、自检正常，且可正常使用后，由供货商书面向采购人申请正式验收。 1.3供货商按照采购人的验收管理制度和流程准备好验收资料后，按约定时间进行设备运行（正式）验收。设备验收合格后，验收人员在设备验收单上签字作为对货物的最终认可。 1.4供货商须向采购人提交合同履行中的所有资料，以便日后管理和维护。 2.验收依据： 2.1本合同及附件文本； 2.2国家相应的标准、规范； 2.3招标文件、投标文件、澄清表（函）。 2.4易损配件、备件报价单。 2.5提供原厂质保文件。 2.6其它。 3、未尽事宜合同约定。</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质量保证期：产品全套质保≥5年，涉及软件终生免费升级</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本合同在执行中，双方本着友好协商的原则解决争议，若不能协商解决，应提交至咸阳市渭城区人民法院进行处理。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1.具有独立承担民事责任的能力，提供合格有效的法人或者其他组织的营业执照等证明文件， 自然人的身份证明; 2.有依法缴纳税收的良好记录，提供缴费所属日期为投标文件递交截止时间前12个月内任一月份（投标文件递交截止时间当月不计入）的缴费凭据或税务机关出具的完税证明/在法规范围内不需提供的应出具书面说明和证明文件； /或具有依法缴纳税收的诚信声明； 以上二种形式的资料提供任何一种即可。 3.有依法缴纳社会保障资金的良好记录，提供缴费所属日期为投标文件递交截止时间前12个月内任一月份（投标文件递交截止时间当月不计入）的缴费凭据或社保机关出具的缴费证明/在法规范围内不需提供的应出具书面说明和证明文件； /或具有依法缴纳社会保障资金的缴纳记录的诚信声明； 以上二种形式的资料提供任何一种即可。 4.具有履行合同所必需的设备和专业技术能力，提供具有履行合同所必需的设备和专业技术能力的承诺； 5.参加政府采购活动前3年内，在经营活动中没有重大违法记录，提供书面声明。</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提供2024年度或2025年度经审计的财务报告（包括四表一注，即资产负债表、利润表、现金流量表、所有者权益变动表及其附注），且无反对意见；事业法人提供部门决算报告； /或在开标日期前六个月内其基本开户银行出具的资信证明（附《基本存款账户信息》或《银行开户许可证》复印件）； /或财政部门认可的政府采购专业担保机构出具的投标担保函； /或表明具有良好的商业信誉和健全的财务会计制度的诚信声明； 以上四种形式的资料提供任何一种即可。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法定代表人参加投标的，须出示法定代表人身份证明及法定代表人身份证复印件；法定代表人授权他人参加投标的，须提供法定代表人授权委托书及被授权人身份证复印件。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不得为“信用中国”网站（www.creditchina.gov.cn）中列入“失信被执行人”（中国执行信息公开网http://zxgk.court.gov.cn/shixin）和“重大税收违法失信主体”，不得为中国政府采购网（www.ccgp.gov.cn）政府采购“严重违法失信行为信息记录”中被财政部门禁止参加政府采购活动的供应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投标人符合《医疗器械监督管理条例》和《医疗器械经营监督管理办法》等相关的规定</w:t>
            </w:r>
          </w:p>
        </w:tc>
        <w:tc>
          <w:tcPr>
            <w:tcW w:type="dxa" w:w="3322"/>
          </w:tcPr>
          <w:p>
            <w:pPr>
              <w:pStyle w:val="null3"/>
            </w:pPr>
            <w:r>
              <w:rPr>
                <w:rFonts w:ascii="仿宋_GB2312" w:hAnsi="仿宋_GB2312" w:cs="仿宋_GB2312" w:eastAsia="仿宋_GB2312"/>
              </w:rPr>
              <w:t>投标人符合《医疗器械监督管理条例》和《医疗器械经营监督管理办法》等相关的规定（投标人须具备与所投医疗器械相符的销售资格，提供相应的医疗器械经营许可证或备案凭证）。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本项目不接受由咸阳市中心医院职工及其亲属投资举办的企业参加投标</w:t>
            </w:r>
          </w:p>
        </w:tc>
        <w:tc>
          <w:tcPr>
            <w:tcW w:type="dxa" w:w="3322"/>
          </w:tcPr>
          <w:p>
            <w:pPr>
              <w:pStyle w:val="null3"/>
            </w:pPr>
            <w:r>
              <w:rPr>
                <w:rFonts w:ascii="仿宋_GB2312" w:hAnsi="仿宋_GB2312" w:cs="仿宋_GB2312" w:eastAsia="仿宋_GB2312"/>
              </w:rPr>
              <w:t>本项目不接受由咸阳市中心医院职工及其亲属投资举办的企业参加投标（提供承诺函）。</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投标文件的完整性审查</w:t>
            </w:r>
          </w:p>
        </w:tc>
        <w:tc>
          <w:tcPr>
            <w:tcW w:type="dxa" w:w="3322"/>
          </w:tcPr>
          <w:p>
            <w:pPr>
              <w:pStyle w:val="null3"/>
            </w:pPr>
            <w:r>
              <w:rPr>
                <w:rFonts w:ascii="仿宋_GB2312" w:hAnsi="仿宋_GB2312" w:cs="仿宋_GB2312" w:eastAsia="仿宋_GB2312"/>
              </w:rPr>
              <w:t>1.投标文件是否按照招标文件要求的格式编写； 2.投标文件内容是否有重大缺漏项。 2.1是否按招标文件要求完整报价、无缺漏项； 2.2投标文件构成是否完整，即是否按招标文件要求提供了完整的投标文件； 2.3招标文件要求提供的其他内容（如有要求）。</w:t>
            </w:r>
          </w:p>
        </w:tc>
        <w:tc>
          <w:tcPr>
            <w:tcW w:type="dxa" w:w="1661"/>
          </w:tcPr>
          <w:p>
            <w:pPr>
              <w:pStyle w:val="null3"/>
            </w:pPr>
            <w:r>
              <w:rPr>
                <w:rFonts w:ascii="仿宋_GB2312" w:hAnsi="仿宋_GB2312" w:cs="仿宋_GB2312" w:eastAsia="仿宋_GB2312"/>
              </w:rPr>
              <w:t>技术支持及培训方案 商务条款及合同条款承诺书 中小企业声明函 业绩 耗材报价表 投标人应提交的相关资格证明材料 产品技术参数表 技术证明材料 产品性能及配置 投标函 残疾人福利性单位声明函 报价明细表 售后服务能力 标的清单 关于符合本国产品标准的声明函 投标文件封面 产品技术指标及功能 监狱企业的证明文件 投标人参与本项目无围串标行为的声明函 控股管理关系承诺 产品来源渠道证明</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投标文件的有效性审查</w:t>
            </w:r>
          </w:p>
        </w:tc>
        <w:tc>
          <w:tcPr>
            <w:tcW w:type="dxa" w:w="3322"/>
          </w:tcPr>
          <w:p>
            <w:pPr>
              <w:pStyle w:val="null3"/>
            </w:pPr>
            <w:r>
              <w:rPr>
                <w:rFonts w:ascii="仿宋_GB2312" w:hAnsi="仿宋_GB2312" w:cs="仿宋_GB2312" w:eastAsia="仿宋_GB2312"/>
              </w:rPr>
              <w:t>投标文件的签署、加盖印章是否有效；提供的各种证明文件、数据、资料是否有效。</w:t>
            </w:r>
          </w:p>
        </w:tc>
        <w:tc>
          <w:tcPr>
            <w:tcW w:type="dxa" w:w="1661"/>
          </w:tcPr>
          <w:p>
            <w:pPr>
              <w:pStyle w:val="null3"/>
            </w:pPr>
            <w:r>
              <w:rPr>
                <w:rFonts w:ascii="仿宋_GB2312" w:hAnsi="仿宋_GB2312" w:cs="仿宋_GB2312" w:eastAsia="仿宋_GB2312"/>
              </w:rPr>
              <w:t>技术支持及培训方案 商务条款及合同条款承诺书 中小企业声明函 业绩 耗材报价表 投标人应提交的相关资格证明材料 产品技术参数表 技术证明材料 产品性能及配置 投标函 残疾人福利性单位声明函 报价明细表 售后服务能力 标的清单 关于符合本国产品标准的声明函 投标文件封面 产品技术指标及功能 监狱企业的证明文件 投标人参与本项目无围串标行为的声明函 控股管理关系承诺 产品来源渠道证明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投标文件的响应性审查</w:t>
            </w:r>
          </w:p>
        </w:tc>
        <w:tc>
          <w:tcPr>
            <w:tcW w:type="dxa" w:w="3322"/>
          </w:tcPr>
          <w:p>
            <w:pPr>
              <w:pStyle w:val="null3"/>
            </w:pPr>
            <w:r>
              <w:rPr>
                <w:rFonts w:ascii="仿宋_GB2312" w:hAnsi="仿宋_GB2312" w:cs="仿宋_GB2312" w:eastAsia="仿宋_GB2312"/>
              </w:rPr>
              <w:t>1.投标报价是否超过采购预算；是否存在异常低价，涉嫌不正当竞争； 2.投标报价有效期是否符合招标文件的要求； 3.投标文件内容是否符合国家法律法规，没有重大偏离； 4.对招标文件中规定的要求是否做出了实质性响应。</w:t>
            </w:r>
          </w:p>
        </w:tc>
        <w:tc>
          <w:tcPr>
            <w:tcW w:type="dxa" w:w="1661"/>
          </w:tcPr>
          <w:p>
            <w:pPr>
              <w:pStyle w:val="null3"/>
            </w:pPr>
            <w:r>
              <w:rPr>
                <w:rFonts w:ascii="仿宋_GB2312" w:hAnsi="仿宋_GB2312" w:cs="仿宋_GB2312" w:eastAsia="仿宋_GB2312"/>
              </w:rPr>
              <w:t>技术支持及培训方案 商务条款及合同条款承诺书 中小企业声明函 业绩 耗材报价表 投标人应提交的相关资格证明材料 产品技术参数表 技术证明材料 产品性能及配置 投标函 残疾人福利性单位声明函 报价明细表 售后服务能力 标的清单 关于符合本国产品标准的声明函 投标文件封面 产品技术指标及功能 监狱企业的证明文件 投标人参与本项目无围串标行为的声明函 控股管理关系承诺 产品来源渠道证明</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 指标及功能</w:t>
            </w:r>
          </w:p>
        </w:tc>
        <w:tc>
          <w:tcPr>
            <w:tcW w:type="dxa" w:w="2492"/>
          </w:tcPr>
          <w:p>
            <w:pPr>
              <w:pStyle w:val="null3"/>
            </w:pPr>
            <w:r>
              <w:rPr>
                <w:rFonts w:ascii="仿宋_GB2312" w:hAnsi="仿宋_GB2312" w:cs="仿宋_GB2312" w:eastAsia="仿宋_GB2312"/>
              </w:rPr>
              <w:t>1.技术指标及产品功能全部满足招标文件要求,赋37分； 2.标注▲的技术指标及产品功能，任何一项低于招标要求或不具备，扣3分，不计负分； 3.未标注▲的技术指标及产品功能，任何一项低于招标要求或不具备，扣1.5分，不计负分. 注：标注▲的技术指标需提供技术支撑资料（技术白皮书、使用说明书、产品检测报告、彩色样本等）</w:t>
            </w:r>
          </w:p>
        </w:tc>
        <w:tc>
          <w:tcPr>
            <w:tcW w:type="dxa" w:w="831"/>
          </w:tcPr>
          <w:p>
            <w:pPr>
              <w:pStyle w:val="null3"/>
              <w:jc w:val="right"/>
            </w:pPr>
            <w:r>
              <w:rPr>
                <w:rFonts w:ascii="仿宋_GB2312" w:hAnsi="仿宋_GB2312" w:cs="仿宋_GB2312" w:eastAsia="仿宋_GB2312"/>
              </w:rPr>
              <w:t>37.0000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产品技术指标及功能</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产品的性能与配置</w:t>
            </w:r>
          </w:p>
        </w:tc>
        <w:tc>
          <w:tcPr>
            <w:tcW w:type="dxa" w:w="2492"/>
          </w:tcPr>
          <w:p>
            <w:pPr>
              <w:pStyle w:val="null3"/>
            </w:pPr>
            <w:r>
              <w:rPr>
                <w:rFonts w:ascii="仿宋_GB2312" w:hAnsi="仿宋_GB2312" w:cs="仿宋_GB2312" w:eastAsia="仿宋_GB2312"/>
              </w:rPr>
              <w:t>1.投标产品：①技术成熟度高、生命周期处于成熟阶段②技术先进、工艺流程及配套资源完善,得3分；每存在一处不足扣0.5-1分，不足是指技术成熟度低、产品技术生命周期处于起步或衰退阶段、技术不够先进，工艺流程有缺陷，配套资源不全不完善。 2.投标产品：①使用便捷，操作简洁明了、②外形设计及结构布局合理，得3分；每存在一处不足扣0.5-1分，不足是指操作不够便捷，不够符合人体工学，外形及结构布局不够合理。 3.投标产品：①零部件通用性强，维护便利、②保养简便，能够有效降低医院维护成本得3分；每存在一处不足扣0.5-1分，不足是指零部件通用性差，维护不够便利、保养不够简便，医院维护成本高。 4.投标产品：①整体配置高端、配置完善、功能齐全，全部功能满足要求得3分、②投标产品配置较为完善，功能较为齐全，（有1项功能或配置技术参数低于要求）得2分、③投标产品配置基本完善，无重要功能缺失，（有2项功能或配置技术参数低于要求）得1分、④投标产品配置不够完善有重要功能缺失，（有3项及以上功能及配置技术参数低于要求）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产品性能及配置</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技术证明材料</w:t>
            </w:r>
          </w:p>
        </w:tc>
        <w:tc>
          <w:tcPr>
            <w:tcW w:type="dxa" w:w="2492"/>
          </w:tcPr>
          <w:p>
            <w:pPr>
              <w:pStyle w:val="null3"/>
            </w:pPr>
            <w:r>
              <w:rPr>
                <w:rFonts w:ascii="仿宋_GB2312" w:hAnsi="仿宋_GB2312" w:cs="仿宋_GB2312" w:eastAsia="仿宋_GB2312"/>
              </w:rPr>
              <w:t>提供投标产品彩色样本、技术白皮书、使用说明书、国家权威部门出具的检测报告等技术支撑资料，全部提供得1分，否则不得分。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技术证明材料</w:t>
            </w:r>
          </w:p>
        </w:tc>
      </w:tr>
      <w:tr>
        <w:tc>
          <w:tcPr>
            <w:tcW w:type="dxa" w:w="831"/>
            <w:vMerge/>
          </w:tcPr>
          <w:p/>
        </w:tc>
        <w:tc>
          <w:tcPr>
            <w:tcW w:type="dxa" w:w="1661"/>
          </w:tcPr>
          <w:p>
            <w:pPr>
              <w:pStyle w:val="null3"/>
            </w:pPr>
            <w:r>
              <w:rPr>
                <w:rFonts w:ascii="仿宋_GB2312" w:hAnsi="仿宋_GB2312" w:cs="仿宋_GB2312" w:eastAsia="仿宋_GB2312"/>
              </w:rPr>
              <w:t>产品来源渠道证明</w:t>
            </w:r>
          </w:p>
        </w:tc>
        <w:tc>
          <w:tcPr>
            <w:tcW w:type="dxa" w:w="2492"/>
          </w:tcPr>
          <w:p>
            <w:pPr>
              <w:pStyle w:val="null3"/>
            </w:pPr>
            <w:r>
              <w:rPr>
                <w:rFonts w:ascii="仿宋_GB2312" w:hAnsi="仿宋_GB2312" w:cs="仿宋_GB2312" w:eastAsia="仿宋_GB2312"/>
              </w:rPr>
              <w:t>提供投标产品来源渠道合法的证明（包括但不限于代理协议、原厂授权等）。提供得2分，否则不得分。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产品来源渠道证明</w:t>
            </w:r>
          </w:p>
        </w:tc>
      </w:tr>
      <w:tr>
        <w:tc>
          <w:tcPr>
            <w:tcW w:type="dxa" w:w="831"/>
            <w:vMerge/>
          </w:tcPr>
          <w:p/>
        </w:tc>
        <w:tc>
          <w:tcPr>
            <w:tcW w:type="dxa" w:w="1661"/>
          </w:tcPr>
          <w:p>
            <w:pPr>
              <w:pStyle w:val="null3"/>
            </w:pPr>
            <w:r>
              <w:rPr>
                <w:rFonts w:ascii="仿宋_GB2312" w:hAnsi="仿宋_GB2312" w:cs="仿宋_GB2312" w:eastAsia="仿宋_GB2312"/>
              </w:rPr>
              <w:t>售后服务 能力</w:t>
            </w:r>
          </w:p>
        </w:tc>
        <w:tc>
          <w:tcPr>
            <w:tcW w:type="dxa" w:w="2492"/>
          </w:tcPr>
          <w:p>
            <w:pPr>
              <w:pStyle w:val="null3"/>
            </w:pPr>
            <w:r>
              <w:rPr>
                <w:rFonts w:ascii="仿宋_GB2312" w:hAnsi="仿宋_GB2312" w:cs="仿宋_GB2312" w:eastAsia="仿宋_GB2312"/>
              </w:rPr>
              <w:t>投标人提供完整的售后服务方案。方案应体现：①售后服务方案及承诺、②具有建全的售后服务机构、配备专职维修人员、③维修响应方式及时限、④备品、备件服务承诺、⑤应急服务措施等内容： 方案各项内容全面详细、阐述条理清晰、内容合理，贴合项目的实际情况，能有效保障本项目实施得5分；每有一个缺失项扣1分；每项中有一处缺陷扣0.5分，分值扣完为止，不计负分，本项最高得5分。 说明：缺陷是指内容不详细、内容不合理、虽有内容但不完善、内容不贴合项目实际情况。</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售后服务能力</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技术支持及培训方案</w:t>
            </w:r>
          </w:p>
        </w:tc>
        <w:tc>
          <w:tcPr>
            <w:tcW w:type="dxa" w:w="2492"/>
          </w:tcPr>
          <w:p>
            <w:pPr>
              <w:pStyle w:val="null3"/>
            </w:pPr>
            <w:r>
              <w:rPr>
                <w:rFonts w:ascii="仿宋_GB2312" w:hAnsi="仿宋_GB2312" w:cs="仿宋_GB2312" w:eastAsia="仿宋_GB2312"/>
              </w:rPr>
              <w:t>投标人提供针对本项目技术支持及培训方案，包括①技术支持方式、人员配置、②培训计划、内容、对象、形式及次数、③考核办法、预期培训效果。 方案各项内容全面详细、阐述条理清晰、内容合理，贴合项目的实际情况，能有效保障本项目实施得3分，每缺项一项扣1分，每有一项内容存在缺陷，扣0.5分，扣完为止、不计负分。 说明：缺陷是指内容没有结合项目实际需求、内容不合理、不完善，与项目需求不匹配及其他不利于项目实施的等任意一种情形。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技术支持及培训方案</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提供2023年01月至今投标产品在中华人民共和国境内销售业绩（提供完整合同复印件，以合同签订时间为准），提供一份得2分，最高10分。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业绩</w:t>
            </w:r>
          </w:p>
        </w:tc>
      </w:tr>
      <w:tr>
        <w:tc>
          <w:tcPr>
            <w:tcW w:type="dxa" w:w="831"/>
            <w:vMerge/>
          </w:tcPr>
          <w:p/>
        </w:tc>
        <w:tc>
          <w:tcPr>
            <w:tcW w:type="dxa" w:w="1661"/>
          </w:tcPr>
          <w:p>
            <w:pPr>
              <w:pStyle w:val="null3"/>
            </w:pPr>
            <w:r>
              <w:rPr>
                <w:rFonts w:ascii="仿宋_GB2312" w:hAnsi="仿宋_GB2312" w:cs="仿宋_GB2312" w:eastAsia="仿宋_GB2312"/>
              </w:rPr>
              <w:t>耗材价格分</w:t>
            </w:r>
          </w:p>
        </w:tc>
        <w:tc>
          <w:tcPr>
            <w:tcW w:type="dxa" w:w="2492"/>
          </w:tcPr>
          <w:p>
            <w:pPr>
              <w:pStyle w:val="null3"/>
            </w:pPr>
            <w:r>
              <w:rPr>
                <w:rFonts w:ascii="仿宋_GB2312" w:hAnsi="仿宋_GB2312" w:cs="仿宋_GB2312" w:eastAsia="仿宋_GB2312"/>
              </w:rPr>
              <w:t>1.最低有效耗材报价为评标基准价，得5分。 2.按（评标基准价/有效投标报价×5）的公式计算价格得分。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耗材报价表</w:t>
            </w:r>
          </w:p>
        </w:tc>
      </w:tr>
      <w:tr>
        <w:tc>
          <w:tcPr>
            <w:tcW w:type="dxa" w:w="831"/>
            <w:vMerge/>
          </w:tcPr>
          <w:p/>
        </w:tc>
        <w:tc>
          <w:tcPr>
            <w:tcW w:type="dxa" w:w="1661"/>
          </w:tcPr>
          <w:p>
            <w:pPr>
              <w:pStyle w:val="null3"/>
            </w:pPr>
            <w:r>
              <w:rPr>
                <w:rFonts w:ascii="仿宋_GB2312" w:hAnsi="仿宋_GB2312" w:cs="仿宋_GB2312" w:eastAsia="仿宋_GB2312"/>
              </w:rPr>
              <w:t>设备价格分</w:t>
            </w:r>
          </w:p>
        </w:tc>
        <w:tc>
          <w:tcPr>
            <w:tcW w:type="dxa" w:w="2492"/>
          </w:tcPr>
          <w:p>
            <w:pPr>
              <w:pStyle w:val="null3"/>
            </w:pPr>
            <w:r>
              <w:rPr>
                <w:rFonts w:ascii="仿宋_GB2312" w:hAnsi="仿宋_GB2312" w:cs="仿宋_GB2312" w:eastAsia="仿宋_GB2312"/>
              </w:rPr>
              <w:t>1.最低有效报价为评标基准价，得25分。 2.按（评标基准价/有效投标报价×25）的公式计算价格得分。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报价明细表</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报价明细表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详见附件：商务条款及合同条款承诺书</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w:t>
      </w:r>
    </w:p>
    <w:p>
      <w:pPr>
        <w:pStyle w:val="null3"/>
        <w:ind w:firstLine="960"/>
      </w:pPr>
      <w:r>
        <w:rPr>
          <w:rFonts w:ascii="仿宋_GB2312" w:hAnsi="仿宋_GB2312" w:cs="仿宋_GB2312" w:eastAsia="仿宋_GB2312"/>
        </w:rPr>
        <w:t>详见附件：耗材报价表</w:t>
      </w:r>
    </w:p>
    <w:p>
      <w:pPr>
        <w:pStyle w:val="null3"/>
        <w:ind w:firstLine="960"/>
      </w:pPr>
      <w:r>
        <w:rPr>
          <w:rFonts w:ascii="仿宋_GB2312" w:hAnsi="仿宋_GB2312" w:cs="仿宋_GB2312" w:eastAsia="仿宋_GB2312"/>
        </w:rPr>
        <w:t>详见附件：投标人参与本项目无围串标行为的声明函</w:t>
      </w:r>
    </w:p>
    <w:p>
      <w:pPr>
        <w:pStyle w:val="null3"/>
        <w:ind w:firstLine="960"/>
      </w:pPr>
      <w:r>
        <w:rPr>
          <w:rFonts w:ascii="仿宋_GB2312" w:hAnsi="仿宋_GB2312" w:cs="仿宋_GB2312" w:eastAsia="仿宋_GB2312"/>
        </w:rPr>
        <w:t>详见附件：控股管理关系承诺</w:t>
      </w:r>
    </w:p>
    <w:p>
      <w:pPr>
        <w:pStyle w:val="null3"/>
        <w:ind w:firstLine="960"/>
      </w:pPr>
      <w:r>
        <w:rPr>
          <w:rFonts w:ascii="仿宋_GB2312" w:hAnsi="仿宋_GB2312" w:cs="仿宋_GB2312" w:eastAsia="仿宋_GB2312"/>
        </w:rPr>
        <w:t>详见附件：产品技术指标及功能</w:t>
      </w:r>
    </w:p>
    <w:p>
      <w:pPr>
        <w:pStyle w:val="null3"/>
        <w:ind w:firstLine="960"/>
      </w:pPr>
      <w:r>
        <w:rPr>
          <w:rFonts w:ascii="仿宋_GB2312" w:hAnsi="仿宋_GB2312" w:cs="仿宋_GB2312" w:eastAsia="仿宋_GB2312"/>
        </w:rPr>
        <w:t>详见附件：产品性能及配置</w:t>
      </w:r>
    </w:p>
    <w:p>
      <w:pPr>
        <w:pStyle w:val="null3"/>
        <w:ind w:firstLine="960"/>
      </w:pPr>
      <w:r>
        <w:rPr>
          <w:rFonts w:ascii="仿宋_GB2312" w:hAnsi="仿宋_GB2312" w:cs="仿宋_GB2312" w:eastAsia="仿宋_GB2312"/>
        </w:rPr>
        <w:t>详见附件：技术证明材料</w:t>
      </w:r>
    </w:p>
    <w:p>
      <w:pPr>
        <w:pStyle w:val="null3"/>
        <w:ind w:firstLine="960"/>
      </w:pPr>
      <w:r>
        <w:rPr>
          <w:rFonts w:ascii="仿宋_GB2312" w:hAnsi="仿宋_GB2312" w:cs="仿宋_GB2312" w:eastAsia="仿宋_GB2312"/>
        </w:rPr>
        <w:t>详见附件：产品来源渠道证明</w:t>
      </w:r>
    </w:p>
    <w:p>
      <w:pPr>
        <w:pStyle w:val="null3"/>
        <w:ind w:firstLine="960"/>
      </w:pPr>
      <w:r>
        <w:rPr>
          <w:rFonts w:ascii="仿宋_GB2312" w:hAnsi="仿宋_GB2312" w:cs="仿宋_GB2312" w:eastAsia="仿宋_GB2312"/>
        </w:rPr>
        <w:t>详见附件：售后服务能力</w:t>
      </w:r>
    </w:p>
    <w:p>
      <w:pPr>
        <w:pStyle w:val="null3"/>
        <w:ind w:firstLine="960"/>
      </w:pPr>
      <w:r>
        <w:rPr>
          <w:rFonts w:ascii="仿宋_GB2312" w:hAnsi="仿宋_GB2312" w:cs="仿宋_GB2312" w:eastAsia="仿宋_GB2312"/>
        </w:rPr>
        <w:t>详见附件：技术支持及培训方案</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