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84FC5">
      <w:pPr>
        <w:jc w:val="center"/>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lang w:val="en-US" w:eastAsia="zh-CN"/>
        </w:rPr>
        <w:t xml:space="preserve">   </w:t>
      </w:r>
      <w:bookmarkStart w:id="0" w:name="_GoBack"/>
      <w:bookmarkEnd w:id="0"/>
      <w:r>
        <w:rPr>
          <w:rFonts w:hint="eastAsia" w:ascii="仿宋_GB2312" w:hAnsi="仿宋_GB2312" w:eastAsia="仿宋_GB2312" w:cs="仿宋_GB2312"/>
          <w:b/>
          <w:color w:val="auto"/>
          <w:sz w:val="32"/>
          <w:szCs w:val="32"/>
          <w:highlight w:val="none"/>
        </w:rPr>
        <w:t>耗材报价表</w:t>
      </w:r>
    </w:p>
    <w:p w14:paraId="56C2479C">
      <w:pPr>
        <w:rPr>
          <w:rFonts w:ascii="仿宋" w:hAnsi="仿宋" w:cs="仿宋"/>
          <w:b/>
          <w:color w:val="auto"/>
          <w:sz w:val="30"/>
          <w:szCs w:val="30"/>
          <w:highlight w:val="none"/>
        </w:rPr>
      </w:pPr>
      <w:r>
        <w:rPr>
          <w:rFonts w:hint="eastAsia" w:ascii="仿宋_GB2312" w:hAnsi="仿宋_GB2312" w:eastAsia="仿宋_GB2312" w:cs="仿宋_GB2312"/>
          <w:color w:val="auto"/>
          <w:sz w:val="24"/>
          <w:szCs w:val="24"/>
          <w:highlight w:val="none"/>
        </w:rPr>
        <w:t>投标人名称：</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 xml:space="preserve">  项目编号：</w:t>
      </w:r>
      <w:r>
        <w:rPr>
          <w:rFonts w:hint="eastAsia" w:ascii="仿宋_GB2312" w:hAnsi="仿宋_GB2312" w:eastAsia="仿宋_GB2312" w:cs="仿宋_GB2312"/>
          <w:color w:val="auto"/>
          <w:sz w:val="24"/>
          <w:szCs w:val="24"/>
          <w:highlight w:val="none"/>
          <w:u w:val="single"/>
        </w:rPr>
        <w:t xml:space="preserve">                  </w:t>
      </w:r>
    </w:p>
    <w:tbl>
      <w:tblPr>
        <w:tblStyle w:val="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227"/>
        <w:gridCol w:w="851"/>
        <w:gridCol w:w="992"/>
        <w:gridCol w:w="1559"/>
        <w:gridCol w:w="1418"/>
        <w:gridCol w:w="1701"/>
        <w:gridCol w:w="992"/>
      </w:tblGrid>
      <w:tr w14:paraId="7D5CF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tcBorders>
              <w:top w:val="double" w:color="auto" w:sz="4" w:space="0"/>
              <w:left w:val="double" w:color="auto" w:sz="4" w:space="0"/>
            </w:tcBorders>
            <w:noWrap w:val="0"/>
            <w:vAlign w:val="center"/>
          </w:tcPr>
          <w:p w14:paraId="3895242A">
            <w:pPr>
              <w:tabs>
                <w:tab w:val="left" w:pos="675"/>
              </w:tabs>
              <w:spacing w:line="480" w:lineRule="exact"/>
              <w:jc w:val="center"/>
              <w:rPr>
                <w:rFonts w:ascii="仿宋" w:hAnsi="仿宋" w:cs="仿宋"/>
                <w:b/>
                <w:color w:val="auto"/>
                <w:sz w:val="24"/>
                <w:szCs w:val="24"/>
                <w:highlight w:val="none"/>
              </w:rPr>
            </w:pPr>
            <w:r>
              <w:rPr>
                <w:rFonts w:hint="eastAsia" w:ascii="仿宋" w:hAnsi="仿宋" w:eastAsia="仿宋" w:cs="仿宋"/>
                <w:b/>
                <w:color w:val="auto"/>
                <w:sz w:val="24"/>
                <w:szCs w:val="24"/>
                <w:highlight w:val="none"/>
              </w:rPr>
              <w:t>序号</w:t>
            </w:r>
          </w:p>
        </w:tc>
        <w:tc>
          <w:tcPr>
            <w:tcW w:w="1227" w:type="dxa"/>
            <w:tcBorders>
              <w:top w:val="double" w:color="auto" w:sz="4" w:space="0"/>
            </w:tcBorders>
            <w:noWrap w:val="0"/>
            <w:vAlign w:val="center"/>
          </w:tcPr>
          <w:p w14:paraId="41E0BC37">
            <w:pPr>
              <w:tabs>
                <w:tab w:val="left" w:pos="675"/>
              </w:tabs>
              <w:spacing w:line="480" w:lineRule="exact"/>
              <w:rPr>
                <w:rFonts w:ascii="仿宋" w:hAnsi="仿宋" w:cs="仿宋"/>
                <w:b/>
                <w:color w:val="auto"/>
                <w:sz w:val="24"/>
                <w:szCs w:val="24"/>
                <w:highlight w:val="none"/>
              </w:rPr>
            </w:pPr>
            <w:r>
              <w:rPr>
                <w:rFonts w:hint="eastAsia" w:ascii="仿宋" w:hAnsi="仿宋" w:eastAsia="仿宋" w:cs="仿宋"/>
                <w:b/>
                <w:color w:val="auto"/>
                <w:sz w:val="24"/>
                <w:szCs w:val="24"/>
                <w:highlight w:val="none"/>
              </w:rPr>
              <w:t>耗材名称</w:t>
            </w:r>
          </w:p>
        </w:tc>
        <w:tc>
          <w:tcPr>
            <w:tcW w:w="851" w:type="dxa"/>
            <w:tcBorders>
              <w:top w:val="double" w:color="auto" w:sz="4" w:space="0"/>
            </w:tcBorders>
            <w:noWrap w:val="0"/>
            <w:vAlign w:val="center"/>
          </w:tcPr>
          <w:p w14:paraId="0B3B634D">
            <w:pPr>
              <w:tabs>
                <w:tab w:val="left" w:pos="675"/>
              </w:tabs>
              <w:spacing w:line="480" w:lineRule="exact"/>
              <w:jc w:val="center"/>
              <w:rPr>
                <w:rFonts w:ascii="仿宋" w:hAnsi="仿宋" w:cs="仿宋"/>
                <w:b/>
                <w:color w:val="auto"/>
                <w:sz w:val="24"/>
                <w:szCs w:val="24"/>
                <w:highlight w:val="none"/>
              </w:rPr>
            </w:pPr>
            <w:r>
              <w:rPr>
                <w:rFonts w:hint="eastAsia" w:ascii="仿宋_GB2312" w:eastAsia="仿宋_GB2312"/>
                <w:b/>
                <w:color w:val="auto"/>
                <w:sz w:val="24"/>
                <w:szCs w:val="24"/>
                <w:highlight w:val="none"/>
              </w:rPr>
              <w:t>数量</w:t>
            </w:r>
          </w:p>
        </w:tc>
        <w:tc>
          <w:tcPr>
            <w:tcW w:w="992" w:type="dxa"/>
            <w:tcBorders>
              <w:top w:val="double" w:color="auto" w:sz="4" w:space="0"/>
            </w:tcBorders>
            <w:noWrap w:val="0"/>
            <w:vAlign w:val="center"/>
          </w:tcPr>
          <w:p w14:paraId="0B1B1EB5">
            <w:pPr>
              <w:spacing w:line="360" w:lineRule="exact"/>
              <w:jc w:val="center"/>
              <w:rPr>
                <w:rFonts w:ascii="仿宋_GB2312" w:eastAsia="仿宋_GB2312"/>
                <w:b/>
                <w:color w:val="auto"/>
                <w:sz w:val="24"/>
                <w:szCs w:val="24"/>
                <w:highlight w:val="none"/>
              </w:rPr>
            </w:pPr>
            <w:r>
              <w:rPr>
                <w:rFonts w:hint="eastAsia" w:ascii="仿宋_GB2312" w:eastAsia="仿宋_GB2312"/>
                <w:b/>
                <w:color w:val="auto"/>
                <w:sz w:val="24"/>
                <w:szCs w:val="24"/>
                <w:highlight w:val="none"/>
              </w:rPr>
              <w:t>单价</w:t>
            </w:r>
          </w:p>
          <w:p w14:paraId="1007F2D6">
            <w:pPr>
              <w:spacing w:line="360" w:lineRule="exact"/>
              <w:jc w:val="center"/>
              <w:rPr>
                <w:rFonts w:ascii="仿宋_GB2312" w:eastAsia="仿宋_GB2312"/>
                <w:b/>
                <w:color w:val="auto"/>
                <w:sz w:val="24"/>
                <w:szCs w:val="24"/>
                <w:highlight w:val="none"/>
              </w:rPr>
            </w:pPr>
            <w:r>
              <w:rPr>
                <w:rFonts w:hint="eastAsia" w:ascii="仿宋_GB2312" w:eastAsia="仿宋_GB2312"/>
                <w:b/>
                <w:color w:val="auto"/>
                <w:sz w:val="24"/>
                <w:szCs w:val="24"/>
                <w:highlight w:val="none"/>
              </w:rPr>
              <w:t>（元）</w:t>
            </w:r>
          </w:p>
        </w:tc>
        <w:tc>
          <w:tcPr>
            <w:tcW w:w="1559" w:type="dxa"/>
            <w:tcBorders>
              <w:top w:val="double" w:color="auto" w:sz="4" w:space="0"/>
            </w:tcBorders>
            <w:noWrap w:val="0"/>
            <w:vAlign w:val="center"/>
          </w:tcPr>
          <w:p w14:paraId="5B8E0363">
            <w:pPr>
              <w:spacing w:line="360" w:lineRule="exact"/>
              <w:jc w:val="center"/>
              <w:rPr>
                <w:rFonts w:ascii="仿宋_GB2312" w:eastAsia="仿宋_GB2312"/>
                <w:b/>
                <w:color w:val="auto"/>
                <w:sz w:val="24"/>
                <w:szCs w:val="24"/>
                <w:highlight w:val="none"/>
              </w:rPr>
            </w:pPr>
            <w:r>
              <w:rPr>
                <w:rFonts w:hint="eastAsia" w:ascii="仿宋_GB2312" w:eastAsia="仿宋_GB2312"/>
                <w:b/>
                <w:color w:val="auto"/>
                <w:sz w:val="24"/>
                <w:szCs w:val="24"/>
                <w:highlight w:val="none"/>
              </w:rPr>
              <w:t>产品注册证</w:t>
            </w:r>
          </w:p>
        </w:tc>
        <w:tc>
          <w:tcPr>
            <w:tcW w:w="1418" w:type="dxa"/>
            <w:tcBorders>
              <w:top w:val="double" w:color="auto" w:sz="4" w:space="0"/>
            </w:tcBorders>
            <w:noWrap w:val="0"/>
            <w:vAlign w:val="center"/>
          </w:tcPr>
          <w:p w14:paraId="3013A5C5">
            <w:pPr>
              <w:spacing w:line="360" w:lineRule="exact"/>
              <w:jc w:val="center"/>
              <w:rPr>
                <w:rFonts w:ascii="仿宋_GB2312" w:eastAsia="仿宋_GB2312"/>
                <w:b/>
                <w:color w:val="auto"/>
                <w:sz w:val="24"/>
                <w:szCs w:val="24"/>
                <w:highlight w:val="none"/>
              </w:rPr>
            </w:pPr>
            <w:r>
              <w:rPr>
                <w:rFonts w:ascii="仿宋_GB2312" w:eastAsia="仿宋_GB2312"/>
                <w:b/>
                <w:color w:val="auto"/>
                <w:sz w:val="24"/>
                <w:szCs w:val="24"/>
                <w:highlight w:val="none"/>
              </w:rPr>
              <w:t>组建编码</w:t>
            </w:r>
          </w:p>
        </w:tc>
        <w:tc>
          <w:tcPr>
            <w:tcW w:w="1701" w:type="dxa"/>
            <w:tcBorders>
              <w:top w:val="double" w:color="auto" w:sz="4" w:space="0"/>
            </w:tcBorders>
            <w:noWrap w:val="0"/>
            <w:vAlign w:val="center"/>
          </w:tcPr>
          <w:p w14:paraId="5338B25D">
            <w:pPr>
              <w:spacing w:line="360" w:lineRule="exact"/>
              <w:jc w:val="center"/>
              <w:rPr>
                <w:rFonts w:ascii="仿宋_GB2312" w:eastAsia="仿宋_GB2312"/>
                <w:b/>
                <w:color w:val="auto"/>
                <w:sz w:val="24"/>
                <w:szCs w:val="24"/>
                <w:highlight w:val="none"/>
              </w:rPr>
            </w:pPr>
            <w:r>
              <w:rPr>
                <w:rFonts w:ascii="仿宋_GB2312" w:eastAsia="仿宋_GB2312"/>
                <w:b/>
                <w:color w:val="auto"/>
                <w:sz w:val="24"/>
                <w:szCs w:val="24"/>
                <w:highlight w:val="none"/>
              </w:rPr>
              <w:t>医保统一编码</w:t>
            </w:r>
          </w:p>
        </w:tc>
        <w:tc>
          <w:tcPr>
            <w:tcW w:w="992" w:type="dxa"/>
            <w:tcBorders>
              <w:top w:val="double" w:color="auto" w:sz="4" w:space="0"/>
              <w:right w:val="double" w:color="auto" w:sz="4" w:space="0"/>
            </w:tcBorders>
            <w:noWrap w:val="0"/>
            <w:vAlign w:val="center"/>
          </w:tcPr>
          <w:p w14:paraId="49E4978E">
            <w:pPr>
              <w:spacing w:line="360" w:lineRule="exact"/>
              <w:jc w:val="center"/>
              <w:rPr>
                <w:rFonts w:ascii="仿宋_GB2312" w:eastAsia="仿宋_GB2312"/>
                <w:b/>
                <w:color w:val="auto"/>
                <w:sz w:val="24"/>
                <w:szCs w:val="24"/>
                <w:highlight w:val="none"/>
              </w:rPr>
            </w:pPr>
            <w:r>
              <w:rPr>
                <w:rFonts w:ascii="仿宋_GB2312" w:eastAsia="仿宋_GB2312"/>
                <w:b/>
                <w:color w:val="auto"/>
                <w:sz w:val="24"/>
                <w:szCs w:val="24"/>
                <w:highlight w:val="none"/>
              </w:rPr>
              <w:t>备注</w:t>
            </w:r>
          </w:p>
        </w:tc>
      </w:tr>
      <w:tr w14:paraId="081BE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tcBorders>
              <w:left w:val="double" w:color="auto" w:sz="4" w:space="0"/>
            </w:tcBorders>
            <w:noWrap w:val="0"/>
            <w:vAlign w:val="center"/>
          </w:tcPr>
          <w:p w14:paraId="1587C264">
            <w:pPr>
              <w:tabs>
                <w:tab w:val="left" w:pos="675"/>
              </w:tabs>
              <w:spacing w:line="480" w:lineRule="exact"/>
              <w:jc w:val="center"/>
              <w:rPr>
                <w:rFonts w:ascii="仿宋" w:hAnsi="仿宋" w:cs="仿宋"/>
                <w:color w:val="auto"/>
                <w:sz w:val="28"/>
                <w:szCs w:val="28"/>
                <w:highlight w:val="none"/>
              </w:rPr>
            </w:pPr>
            <w:r>
              <w:rPr>
                <w:rFonts w:hint="eastAsia" w:ascii="仿宋" w:hAnsi="仿宋" w:eastAsia="仿宋" w:cs="仿宋"/>
                <w:color w:val="auto"/>
                <w:sz w:val="28"/>
                <w:szCs w:val="28"/>
                <w:highlight w:val="none"/>
              </w:rPr>
              <w:t>1</w:t>
            </w:r>
          </w:p>
        </w:tc>
        <w:tc>
          <w:tcPr>
            <w:tcW w:w="1227" w:type="dxa"/>
            <w:noWrap w:val="0"/>
            <w:vAlign w:val="center"/>
          </w:tcPr>
          <w:p w14:paraId="60341E63">
            <w:pPr>
              <w:tabs>
                <w:tab w:val="left" w:pos="675"/>
              </w:tabs>
              <w:spacing w:line="480" w:lineRule="exact"/>
              <w:jc w:val="center"/>
              <w:rPr>
                <w:rFonts w:ascii="仿宋" w:hAnsi="仿宋" w:cs="仿宋"/>
                <w:color w:val="auto"/>
                <w:sz w:val="28"/>
                <w:szCs w:val="28"/>
                <w:highlight w:val="none"/>
              </w:rPr>
            </w:pPr>
          </w:p>
        </w:tc>
        <w:tc>
          <w:tcPr>
            <w:tcW w:w="851" w:type="dxa"/>
            <w:noWrap w:val="0"/>
            <w:vAlign w:val="center"/>
          </w:tcPr>
          <w:p w14:paraId="48A510E9">
            <w:pPr>
              <w:tabs>
                <w:tab w:val="left" w:pos="675"/>
              </w:tabs>
              <w:spacing w:line="480" w:lineRule="exact"/>
              <w:jc w:val="center"/>
              <w:rPr>
                <w:rFonts w:ascii="仿宋" w:hAnsi="仿宋" w:cs="仿宋"/>
                <w:color w:val="auto"/>
                <w:sz w:val="28"/>
                <w:szCs w:val="28"/>
                <w:highlight w:val="none"/>
              </w:rPr>
            </w:pPr>
          </w:p>
        </w:tc>
        <w:tc>
          <w:tcPr>
            <w:tcW w:w="992" w:type="dxa"/>
            <w:noWrap w:val="0"/>
            <w:vAlign w:val="center"/>
          </w:tcPr>
          <w:p w14:paraId="320722A1">
            <w:pPr>
              <w:tabs>
                <w:tab w:val="left" w:pos="675"/>
              </w:tabs>
              <w:spacing w:line="480" w:lineRule="exact"/>
              <w:jc w:val="center"/>
              <w:rPr>
                <w:rFonts w:ascii="仿宋" w:hAnsi="仿宋" w:cs="仿宋"/>
                <w:color w:val="auto"/>
                <w:sz w:val="28"/>
                <w:szCs w:val="28"/>
                <w:highlight w:val="none"/>
              </w:rPr>
            </w:pPr>
          </w:p>
        </w:tc>
        <w:tc>
          <w:tcPr>
            <w:tcW w:w="1559" w:type="dxa"/>
            <w:noWrap w:val="0"/>
            <w:vAlign w:val="center"/>
          </w:tcPr>
          <w:p w14:paraId="65584C65">
            <w:pPr>
              <w:tabs>
                <w:tab w:val="left" w:pos="675"/>
              </w:tabs>
              <w:spacing w:line="480" w:lineRule="exact"/>
              <w:jc w:val="center"/>
              <w:rPr>
                <w:rFonts w:ascii="仿宋" w:hAnsi="仿宋" w:cs="仿宋"/>
                <w:color w:val="auto"/>
                <w:sz w:val="28"/>
                <w:szCs w:val="28"/>
                <w:highlight w:val="none"/>
              </w:rPr>
            </w:pPr>
          </w:p>
        </w:tc>
        <w:tc>
          <w:tcPr>
            <w:tcW w:w="1418" w:type="dxa"/>
            <w:noWrap w:val="0"/>
            <w:vAlign w:val="top"/>
          </w:tcPr>
          <w:p w14:paraId="6F7CA024">
            <w:pPr>
              <w:tabs>
                <w:tab w:val="left" w:pos="675"/>
              </w:tabs>
              <w:spacing w:line="480" w:lineRule="exact"/>
              <w:jc w:val="center"/>
              <w:rPr>
                <w:rFonts w:ascii="仿宋" w:hAnsi="仿宋" w:cs="仿宋"/>
                <w:color w:val="auto"/>
                <w:sz w:val="28"/>
                <w:szCs w:val="28"/>
                <w:highlight w:val="none"/>
              </w:rPr>
            </w:pPr>
          </w:p>
        </w:tc>
        <w:tc>
          <w:tcPr>
            <w:tcW w:w="1701" w:type="dxa"/>
            <w:noWrap w:val="0"/>
            <w:vAlign w:val="center"/>
          </w:tcPr>
          <w:p w14:paraId="29A0B519">
            <w:pPr>
              <w:tabs>
                <w:tab w:val="left" w:pos="675"/>
              </w:tabs>
              <w:spacing w:line="480" w:lineRule="exact"/>
              <w:jc w:val="center"/>
              <w:rPr>
                <w:rFonts w:ascii="仿宋" w:hAnsi="仿宋" w:cs="仿宋"/>
                <w:color w:val="auto"/>
                <w:sz w:val="28"/>
                <w:szCs w:val="28"/>
                <w:highlight w:val="none"/>
              </w:rPr>
            </w:pPr>
          </w:p>
        </w:tc>
        <w:tc>
          <w:tcPr>
            <w:tcW w:w="992" w:type="dxa"/>
            <w:tcBorders>
              <w:right w:val="double" w:color="auto" w:sz="4" w:space="0"/>
            </w:tcBorders>
            <w:noWrap w:val="0"/>
            <w:vAlign w:val="top"/>
          </w:tcPr>
          <w:p w14:paraId="0E7CF418">
            <w:pPr>
              <w:tabs>
                <w:tab w:val="left" w:pos="675"/>
              </w:tabs>
              <w:spacing w:line="480" w:lineRule="exact"/>
              <w:jc w:val="center"/>
              <w:rPr>
                <w:rFonts w:ascii="仿宋" w:hAnsi="仿宋" w:cs="仿宋"/>
                <w:color w:val="auto"/>
                <w:sz w:val="28"/>
                <w:szCs w:val="28"/>
                <w:highlight w:val="none"/>
              </w:rPr>
            </w:pPr>
          </w:p>
        </w:tc>
      </w:tr>
      <w:tr w14:paraId="22BD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tcBorders>
              <w:left w:val="double" w:color="auto" w:sz="4" w:space="0"/>
            </w:tcBorders>
            <w:noWrap w:val="0"/>
            <w:vAlign w:val="center"/>
          </w:tcPr>
          <w:p w14:paraId="5521470D">
            <w:pPr>
              <w:tabs>
                <w:tab w:val="left" w:pos="675"/>
              </w:tabs>
              <w:spacing w:line="480" w:lineRule="exact"/>
              <w:jc w:val="center"/>
              <w:rPr>
                <w:rFonts w:ascii="仿宋" w:hAnsi="仿宋" w:cs="仿宋"/>
                <w:color w:val="auto"/>
                <w:sz w:val="28"/>
                <w:szCs w:val="28"/>
                <w:highlight w:val="none"/>
              </w:rPr>
            </w:pPr>
          </w:p>
        </w:tc>
        <w:tc>
          <w:tcPr>
            <w:tcW w:w="1227" w:type="dxa"/>
            <w:noWrap w:val="0"/>
            <w:vAlign w:val="center"/>
          </w:tcPr>
          <w:p w14:paraId="433D6C25">
            <w:pPr>
              <w:tabs>
                <w:tab w:val="left" w:pos="675"/>
              </w:tabs>
              <w:spacing w:line="480" w:lineRule="exact"/>
              <w:jc w:val="center"/>
              <w:rPr>
                <w:rFonts w:ascii="仿宋" w:hAnsi="仿宋" w:cs="仿宋"/>
                <w:color w:val="auto"/>
                <w:sz w:val="28"/>
                <w:szCs w:val="28"/>
                <w:highlight w:val="none"/>
              </w:rPr>
            </w:pPr>
          </w:p>
        </w:tc>
        <w:tc>
          <w:tcPr>
            <w:tcW w:w="851" w:type="dxa"/>
            <w:noWrap w:val="0"/>
            <w:vAlign w:val="center"/>
          </w:tcPr>
          <w:p w14:paraId="14D27EF1">
            <w:pPr>
              <w:tabs>
                <w:tab w:val="left" w:pos="675"/>
              </w:tabs>
              <w:spacing w:line="480" w:lineRule="exact"/>
              <w:jc w:val="center"/>
              <w:rPr>
                <w:rFonts w:ascii="仿宋" w:hAnsi="仿宋" w:cs="仿宋"/>
                <w:color w:val="auto"/>
                <w:sz w:val="28"/>
                <w:szCs w:val="28"/>
                <w:highlight w:val="none"/>
              </w:rPr>
            </w:pPr>
          </w:p>
        </w:tc>
        <w:tc>
          <w:tcPr>
            <w:tcW w:w="992" w:type="dxa"/>
            <w:noWrap w:val="0"/>
            <w:vAlign w:val="center"/>
          </w:tcPr>
          <w:p w14:paraId="2F5AA6CB">
            <w:pPr>
              <w:tabs>
                <w:tab w:val="left" w:pos="675"/>
              </w:tabs>
              <w:spacing w:line="480" w:lineRule="exact"/>
              <w:jc w:val="center"/>
              <w:rPr>
                <w:rFonts w:ascii="仿宋" w:hAnsi="仿宋" w:cs="仿宋"/>
                <w:color w:val="auto"/>
                <w:sz w:val="28"/>
                <w:szCs w:val="28"/>
                <w:highlight w:val="none"/>
              </w:rPr>
            </w:pPr>
          </w:p>
        </w:tc>
        <w:tc>
          <w:tcPr>
            <w:tcW w:w="1559" w:type="dxa"/>
            <w:noWrap w:val="0"/>
            <w:vAlign w:val="center"/>
          </w:tcPr>
          <w:p w14:paraId="246C63C4">
            <w:pPr>
              <w:tabs>
                <w:tab w:val="left" w:pos="675"/>
              </w:tabs>
              <w:spacing w:line="480" w:lineRule="exact"/>
              <w:jc w:val="center"/>
              <w:rPr>
                <w:rFonts w:ascii="仿宋" w:hAnsi="仿宋" w:cs="仿宋"/>
                <w:color w:val="auto"/>
                <w:sz w:val="28"/>
                <w:szCs w:val="28"/>
                <w:highlight w:val="none"/>
              </w:rPr>
            </w:pPr>
          </w:p>
        </w:tc>
        <w:tc>
          <w:tcPr>
            <w:tcW w:w="1418" w:type="dxa"/>
            <w:noWrap w:val="0"/>
            <w:vAlign w:val="top"/>
          </w:tcPr>
          <w:p w14:paraId="6C056472">
            <w:pPr>
              <w:tabs>
                <w:tab w:val="left" w:pos="675"/>
              </w:tabs>
              <w:spacing w:line="480" w:lineRule="exact"/>
              <w:jc w:val="center"/>
              <w:rPr>
                <w:rFonts w:ascii="仿宋" w:hAnsi="仿宋" w:cs="仿宋"/>
                <w:color w:val="auto"/>
                <w:sz w:val="28"/>
                <w:szCs w:val="28"/>
                <w:highlight w:val="none"/>
              </w:rPr>
            </w:pPr>
          </w:p>
        </w:tc>
        <w:tc>
          <w:tcPr>
            <w:tcW w:w="1701" w:type="dxa"/>
            <w:noWrap w:val="0"/>
            <w:vAlign w:val="center"/>
          </w:tcPr>
          <w:p w14:paraId="318F1303">
            <w:pPr>
              <w:tabs>
                <w:tab w:val="left" w:pos="675"/>
              </w:tabs>
              <w:spacing w:line="480" w:lineRule="exact"/>
              <w:jc w:val="center"/>
              <w:rPr>
                <w:rFonts w:ascii="仿宋" w:hAnsi="仿宋" w:cs="仿宋"/>
                <w:color w:val="auto"/>
                <w:sz w:val="28"/>
                <w:szCs w:val="28"/>
                <w:highlight w:val="none"/>
              </w:rPr>
            </w:pPr>
          </w:p>
        </w:tc>
        <w:tc>
          <w:tcPr>
            <w:tcW w:w="992" w:type="dxa"/>
            <w:tcBorders>
              <w:right w:val="double" w:color="auto" w:sz="4" w:space="0"/>
            </w:tcBorders>
            <w:noWrap w:val="0"/>
            <w:vAlign w:val="top"/>
          </w:tcPr>
          <w:p w14:paraId="634084B6">
            <w:pPr>
              <w:tabs>
                <w:tab w:val="left" w:pos="675"/>
              </w:tabs>
              <w:spacing w:line="480" w:lineRule="exact"/>
              <w:jc w:val="center"/>
              <w:rPr>
                <w:rFonts w:ascii="仿宋" w:hAnsi="仿宋" w:cs="仿宋"/>
                <w:color w:val="auto"/>
                <w:sz w:val="28"/>
                <w:szCs w:val="28"/>
                <w:highlight w:val="none"/>
              </w:rPr>
            </w:pPr>
          </w:p>
        </w:tc>
      </w:tr>
      <w:tr w14:paraId="4188B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tcBorders>
              <w:left w:val="double" w:color="auto" w:sz="4" w:space="0"/>
            </w:tcBorders>
            <w:noWrap w:val="0"/>
            <w:vAlign w:val="center"/>
          </w:tcPr>
          <w:p w14:paraId="05E34834">
            <w:pPr>
              <w:tabs>
                <w:tab w:val="left" w:pos="675"/>
              </w:tabs>
              <w:spacing w:line="480" w:lineRule="exact"/>
              <w:jc w:val="center"/>
              <w:rPr>
                <w:rFonts w:ascii="仿宋" w:hAnsi="仿宋" w:cs="仿宋"/>
                <w:color w:val="auto"/>
                <w:sz w:val="28"/>
                <w:szCs w:val="28"/>
                <w:highlight w:val="none"/>
              </w:rPr>
            </w:pPr>
          </w:p>
        </w:tc>
        <w:tc>
          <w:tcPr>
            <w:tcW w:w="1227" w:type="dxa"/>
            <w:noWrap w:val="0"/>
            <w:vAlign w:val="center"/>
          </w:tcPr>
          <w:p w14:paraId="75EFD730">
            <w:pPr>
              <w:tabs>
                <w:tab w:val="left" w:pos="675"/>
              </w:tabs>
              <w:spacing w:line="480" w:lineRule="exact"/>
              <w:jc w:val="center"/>
              <w:rPr>
                <w:rFonts w:ascii="仿宋" w:hAnsi="仿宋" w:cs="仿宋"/>
                <w:color w:val="auto"/>
                <w:sz w:val="28"/>
                <w:szCs w:val="28"/>
                <w:highlight w:val="none"/>
              </w:rPr>
            </w:pPr>
          </w:p>
        </w:tc>
        <w:tc>
          <w:tcPr>
            <w:tcW w:w="851" w:type="dxa"/>
            <w:noWrap w:val="0"/>
            <w:vAlign w:val="center"/>
          </w:tcPr>
          <w:p w14:paraId="6E3FEDF8">
            <w:pPr>
              <w:tabs>
                <w:tab w:val="left" w:pos="675"/>
              </w:tabs>
              <w:spacing w:line="480" w:lineRule="exact"/>
              <w:jc w:val="center"/>
              <w:rPr>
                <w:rFonts w:ascii="仿宋" w:hAnsi="仿宋" w:cs="仿宋"/>
                <w:color w:val="auto"/>
                <w:sz w:val="28"/>
                <w:szCs w:val="28"/>
                <w:highlight w:val="none"/>
              </w:rPr>
            </w:pPr>
          </w:p>
        </w:tc>
        <w:tc>
          <w:tcPr>
            <w:tcW w:w="992" w:type="dxa"/>
            <w:noWrap w:val="0"/>
            <w:vAlign w:val="center"/>
          </w:tcPr>
          <w:p w14:paraId="29A1C282">
            <w:pPr>
              <w:tabs>
                <w:tab w:val="left" w:pos="675"/>
              </w:tabs>
              <w:spacing w:line="480" w:lineRule="exact"/>
              <w:jc w:val="center"/>
              <w:rPr>
                <w:rFonts w:ascii="仿宋" w:hAnsi="仿宋" w:cs="仿宋"/>
                <w:color w:val="auto"/>
                <w:sz w:val="28"/>
                <w:szCs w:val="28"/>
                <w:highlight w:val="none"/>
              </w:rPr>
            </w:pPr>
          </w:p>
        </w:tc>
        <w:tc>
          <w:tcPr>
            <w:tcW w:w="1559" w:type="dxa"/>
            <w:noWrap w:val="0"/>
            <w:vAlign w:val="center"/>
          </w:tcPr>
          <w:p w14:paraId="366D83A7">
            <w:pPr>
              <w:tabs>
                <w:tab w:val="left" w:pos="675"/>
              </w:tabs>
              <w:spacing w:line="480" w:lineRule="exact"/>
              <w:jc w:val="center"/>
              <w:rPr>
                <w:rFonts w:ascii="仿宋" w:hAnsi="仿宋" w:cs="仿宋"/>
                <w:color w:val="auto"/>
                <w:sz w:val="28"/>
                <w:szCs w:val="28"/>
                <w:highlight w:val="none"/>
              </w:rPr>
            </w:pPr>
          </w:p>
        </w:tc>
        <w:tc>
          <w:tcPr>
            <w:tcW w:w="1418" w:type="dxa"/>
            <w:noWrap w:val="0"/>
            <w:vAlign w:val="top"/>
          </w:tcPr>
          <w:p w14:paraId="486E0C89">
            <w:pPr>
              <w:tabs>
                <w:tab w:val="left" w:pos="675"/>
              </w:tabs>
              <w:spacing w:line="480" w:lineRule="exact"/>
              <w:jc w:val="center"/>
              <w:rPr>
                <w:rFonts w:ascii="仿宋" w:hAnsi="仿宋" w:cs="仿宋"/>
                <w:color w:val="auto"/>
                <w:sz w:val="28"/>
                <w:szCs w:val="28"/>
                <w:highlight w:val="none"/>
              </w:rPr>
            </w:pPr>
          </w:p>
        </w:tc>
        <w:tc>
          <w:tcPr>
            <w:tcW w:w="1701" w:type="dxa"/>
            <w:noWrap w:val="0"/>
            <w:vAlign w:val="center"/>
          </w:tcPr>
          <w:p w14:paraId="58374A73">
            <w:pPr>
              <w:tabs>
                <w:tab w:val="left" w:pos="675"/>
              </w:tabs>
              <w:spacing w:line="480" w:lineRule="exact"/>
              <w:jc w:val="center"/>
              <w:rPr>
                <w:rFonts w:ascii="仿宋" w:hAnsi="仿宋" w:cs="仿宋"/>
                <w:color w:val="auto"/>
                <w:sz w:val="28"/>
                <w:szCs w:val="28"/>
                <w:highlight w:val="none"/>
              </w:rPr>
            </w:pPr>
          </w:p>
        </w:tc>
        <w:tc>
          <w:tcPr>
            <w:tcW w:w="992" w:type="dxa"/>
            <w:tcBorders>
              <w:right w:val="double" w:color="auto" w:sz="4" w:space="0"/>
            </w:tcBorders>
            <w:noWrap w:val="0"/>
            <w:vAlign w:val="top"/>
          </w:tcPr>
          <w:p w14:paraId="0BDED9C5">
            <w:pPr>
              <w:tabs>
                <w:tab w:val="left" w:pos="675"/>
              </w:tabs>
              <w:spacing w:line="480" w:lineRule="exact"/>
              <w:jc w:val="center"/>
              <w:rPr>
                <w:rFonts w:ascii="仿宋" w:hAnsi="仿宋" w:cs="仿宋"/>
                <w:color w:val="auto"/>
                <w:sz w:val="28"/>
                <w:szCs w:val="28"/>
                <w:highlight w:val="none"/>
              </w:rPr>
            </w:pPr>
          </w:p>
        </w:tc>
      </w:tr>
      <w:tr w14:paraId="74218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tcBorders>
              <w:left w:val="double" w:color="auto" w:sz="4" w:space="0"/>
            </w:tcBorders>
            <w:noWrap w:val="0"/>
            <w:vAlign w:val="center"/>
          </w:tcPr>
          <w:p w14:paraId="5144F9C5">
            <w:pPr>
              <w:tabs>
                <w:tab w:val="left" w:pos="675"/>
              </w:tabs>
              <w:spacing w:line="480" w:lineRule="exact"/>
              <w:jc w:val="center"/>
              <w:rPr>
                <w:rFonts w:ascii="仿宋" w:hAnsi="仿宋" w:cs="仿宋"/>
                <w:color w:val="auto"/>
                <w:sz w:val="28"/>
                <w:szCs w:val="28"/>
                <w:highlight w:val="none"/>
              </w:rPr>
            </w:pPr>
          </w:p>
        </w:tc>
        <w:tc>
          <w:tcPr>
            <w:tcW w:w="1227" w:type="dxa"/>
            <w:noWrap w:val="0"/>
            <w:vAlign w:val="center"/>
          </w:tcPr>
          <w:p w14:paraId="6E582115">
            <w:pPr>
              <w:tabs>
                <w:tab w:val="left" w:pos="675"/>
              </w:tabs>
              <w:spacing w:line="480" w:lineRule="exact"/>
              <w:jc w:val="center"/>
              <w:rPr>
                <w:rFonts w:ascii="仿宋" w:hAnsi="仿宋" w:cs="仿宋"/>
                <w:color w:val="auto"/>
                <w:sz w:val="28"/>
                <w:szCs w:val="28"/>
                <w:highlight w:val="none"/>
              </w:rPr>
            </w:pPr>
          </w:p>
        </w:tc>
        <w:tc>
          <w:tcPr>
            <w:tcW w:w="851" w:type="dxa"/>
            <w:noWrap w:val="0"/>
            <w:vAlign w:val="center"/>
          </w:tcPr>
          <w:p w14:paraId="02D43EE3">
            <w:pPr>
              <w:tabs>
                <w:tab w:val="left" w:pos="675"/>
              </w:tabs>
              <w:spacing w:line="480" w:lineRule="exact"/>
              <w:jc w:val="center"/>
              <w:rPr>
                <w:rFonts w:ascii="仿宋" w:hAnsi="仿宋" w:cs="仿宋"/>
                <w:color w:val="auto"/>
                <w:sz w:val="28"/>
                <w:szCs w:val="28"/>
                <w:highlight w:val="none"/>
              </w:rPr>
            </w:pPr>
          </w:p>
        </w:tc>
        <w:tc>
          <w:tcPr>
            <w:tcW w:w="992" w:type="dxa"/>
            <w:noWrap w:val="0"/>
            <w:vAlign w:val="center"/>
          </w:tcPr>
          <w:p w14:paraId="5FEC1DD3">
            <w:pPr>
              <w:tabs>
                <w:tab w:val="left" w:pos="675"/>
              </w:tabs>
              <w:spacing w:line="480" w:lineRule="exact"/>
              <w:jc w:val="center"/>
              <w:rPr>
                <w:rFonts w:ascii="仿宋" w:hAnsi="仿宋" w:cs="仿宋"/>
                <w:color w:val="auto"/>
                <w:sz w:val="28"/>
                <w:szCs w:val="28"/>
                <w:highlight w:val="none"/>
              </w:rPr>
            </w:pPr>
          </w:p>
        </w:tc>
        <w:tc>
          <w:tcPr>
            <w:tcW w:w="1559" w:type="dxa"/>
            <w:noWrap w:val="0"/>
            <w:vAlign w:val="center"/>
          </w:tcPr>
          <w:p w14:paraId="5890ACF1">
            <w:pPr>
              <w:tabs>
                <w:tab w:val="left" w:pos="675"/>
              </w:tabs>
              <w:spacing w:line="480" w:lineRule="exact"/>
              <w:jc w:val="center"/>
              <w:rPr>
                <w:rFonts w:ascii="仿宋" w:hAnsi="仿宋" w:cs="仿宋"/>
                <w:color w:val="auto"/>
                <w:sz w:val="28"/>
                <w:szCs w:val="28"/>
                <w:highlight w:val="none"/>
              </w:rPr>
            </w:pPr>
          </w:p>
        </w:tc>
        <w:tc>
          <w:tcPr>
            <w:tcW w:w="1418" w:type="dxa"/>
            <w:noWrap w:val="0"/>
            <w:vAlign w:val="top"/>
          </w:tcPr>
          <w:p w14:paraId="171601DD">
            <w:pPr>
              <w:tabs>
                <w:tab w:val="left" w:pos="675"/>
              </w:tabs>
              <w:spacing w:line="480" w:lineRule="exact"/>
              <w:jc w:val="center"/>
              <w:rPr>
                <w:rFonts w:ascii="仿宋" w:hAnsi="仿宋" w:cs="仿宋"/>
                <w:color w:val="auto"/>
                <w:sz w:val="28"/>
                <w:szCs w:val="28"/>
                <w:highlight w:val="none"/>
              </w:rPr>
            </w:pPr>
          </w:p>
        </w:tc>
        <w:tc>
          <w:tcPr>
            <w:tcW w:w="1701" w:type="dxa"/>
            <w:noWrap w:val="0"/>
            <w:vAlign w:val="center"/>
          </w:tcPr>
          <w:p w14:paraId="2836ABB6">
            <w:pPr>
              <w:tabs>
                <w:tab w:val="left" w:pos="675"/>
              </w:tabs>
              <w:spacing w:line="480" w:lineRule="exact"/>
              <w:jc w:val="center"/>
              <w:rPr>
                <w:rFonts w:ascii="仿宋" w:hAnsi="仿宋" w:cs="仿宋"/>
                <w:color w:val="auto"/>
                <w:sz w:val="28"/>
                <w:szCs w:val="28"/>
                <w:highlight w:val="none"/>
              </w:rPr>
            </w:pPr>
          </w:p>
        </w:tc>
        <w:tc>
          <w:tcPr>
            <w:tcW w:w="992" w:type="dxa"/>
            <w:tcBorders>
              <w:right w:val="double" w:color="auto" w:sz="4" w:space="0"/>
            </w:tcBorders>
            <w:noWrap w:val="0"/>
            <w:vAlign w:val="top"/>
          </w:tcPr>
          <w:p w14:paraId="08A4C66B">
            <w:pPr>
              <w:tabs>
                <w:tab w:val="left" w:pos="675"/>
              </w:tabs>
              <w:spacing w:line="480" w:lineRule="exact"/>
              <w:jc w:val="center"/>
              <w:rPr>
                <w:rFonts w:ascii="仿宋" w:hAnsi="仿宋" w:cs="仿宋"/>
                <w:color w:val="auto"/>
                <w:sz w:val="28"/>
                <w:szCs w:val="28"/>
                <w:highlight w:val="none"/>
              </w:rPr>
            </w:pPr>
          </w:p>
        </w:tc>
      </w:tr>
      <w:tr w14:paraId="2409A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724" w:type="dxa"/>
            <w:tcBorders>
              <w:left w:val="double" w:color="auto" w:sz="4" w:space="0"/>
            </w:tcBorders>
            <w:noWrap w:val="0"/>
            <w:vAlign w:val="center"/>
          </w:tcPr>
          <w:p w14:paraId="5854A274">
            <w:pPr>
              <w:tabs>
                <w:tab w:val="left" w:pos="675"/>
              </w:tabs>
              <w:spacing w:line="480" w:lineRule="exact"/>
              <w:jc w:val="center"/>
              <w:rPr>
                <w:rFonts w:ascii="仿宋" w:hAnsi="仿宋" w:cs="仿宋"/>
                <w:color w:val="auto"/>
                <w:sz w:val="28"/>
                <w:szCs w:val="28"/>
                <w:highlight w:val="none"/>
              </w:rPr>
            </w:pPr>
            <w:r>
              <w:rPr>
                <w:rFonts w:ascii="仿宋" w:hAnsi="仿宋" w:cs="仿宋"/>
                <w:color w:val="auto"/>
                <w:sz w:val="28"/>
                <w:szCs w:val="28"/>
                <w:highlight w:val="none"/>
              </w:rPr>
              <w:t>…</w:t>
            </w:r>
            <w:r>
              <w:rPr>
                <w:rFonts w:hint="eastAsia" w:ascii="仿宋" w:hAnsi="仿宋" w:cs="仿宋"/>
                <w:color w:val="auto"/>
                <w:sz w:val="28"/>
                <w:szCs w:val="28"/>
                <w:highlight w:val="none"/>
              </w:rPr>
              <w:t>.</w:t>
            </w:r>
          </w:p>
        </w:tc>
        <w:tc>
          <w:tcPr>
            <w:tcW w:w="1227" w:type="dxa"/>
            <w:noWrap w:val="0"/>
            <w:vAlign w:val="center"/>
          </w:tcPr>
          <w:p w14:paraId="4E78611B">
            <w:pPr>
              <w:tabs>
                <w:tab w:val="left" w:pos="675"/>
              </w:tabs>
              <w:spacing w:line="480" w:lineRule="exact"/>
              <w:jc w:val="center"/>
              <w:rPr>
                <w:rFonts w:ascii="仿宋" w:hAnsi="仿宋" w:cs="仿宋"/>
                <w:color w:val="auto"/>
                <w:sz w:val="28"/>
                <w:szCs w:val="28"/>
                <w:highlight w:val="none"/>
              </w:rPr>
            </w:pPr>
          </w:p>
        </w:tc>
        <w:tc>
          <w:tcPr>
            <w:tcW w:w="851" w:type="dxa"/>
            <w:noWrap w:val="0"/>
            <w:vAlign w:val="center"/>
          </w:tcPr>
          <w:p w14:paraId="460D3072">
            <w:pPr>
              <w:tabs>
                <w:tab w:val="left" w:pos="675"/>
              </w:tabs>
              <w:spacing w:line="480" w:lineRule="exact"/>
              <w:jc w:val="center"/>
              <w:rPr>
                <w:rFonts w:ascii="仿宋" w:hAnsi="仿宋" w:cs="仿宋"/>
                <w:color w:val="auto"/>
                <w:sz w:val="28"/>
                <w:szCs w:val="28"/>
                <w:highlight w:val="none"/>
              </w:rPr>
            </w:pPr>
          </w:p>
        </w:tc>
        <w:tc>
          <w:tcPr>
            <w:tcW w:w="992" w:type="dxa"/>
            <w:noWrap w:val="0"/>
            <w:vAlign w:val="center"/>
          </w:tcPr>
          <w:p w14:paraId="5B2E973D">
            <w:pPr>
              <w:tabs>
                <w:tab w:val="left" w:pos="675"/>
              </w:tabs>
              <w:spacing w:line="480" w:lineRule="exact"/>
              <w:jc w:val="center"/>
              <w:rPr>
                <w:rFonts w:ascii="仿宋" w:hAnsi="仿宋" w:cs="仿宋"/>
                <w:color w:val="auto"/>
                <w:sz w:val="28"/>
                <w:szCs w:val="28"/>
                <w:highlight w:val="none"/>
              </w:rPr>
            </w:pPr>
          </w:p>
        </w:tc>
        <w:tc>
          <w:tcPr>
            <w:tcW w:w="1559" w:type="dxa"/>
            <w:noWrap w:val="0"/>
            <w:vAlign w:val="center"/>
          </w:tcPr>
          <w:p w14:paraId="7C61ADD7">
            <w:pPr>
              <w:tabs>
                <w:tab w:val="left" w:pos="675"/>
              </w:tabs>
              <w:spacing w:line="480" w:lineRule="exact"/>
              <w:jc w:val="center"/>
              <w:rPr>
                <w:rFonts w:ascii="仿宋" w:hAnsi="仿宋" w:cs="仿宋"/>
                <w:color w:val="auto"/>
                <w:sz w:val="28"/>
                <w:szCs w:val="28"/>
                <w:highlight w:val="none"/>
              </w:rPr>
            </w:pPr>
          </w:p>
        </w:tc>
        <w:tc>
          <w:tcPr>
            <w:tcW w:w="1418" w:type="dxa"/>
            <w:noWrap w:val="0"/>
            <w:vAlign w:val="top"/>
          </w:tcPr>
          <w:p w14:paraId="443C2E12">
            <w:pPr>
              <w:tabs>
                <w:tab w:val="left" w:pos="675"/>
              </w:tabs>
              <w:spacing w:line="480" w:lineRule="exact"/>
              <w:jc w:val="center"/>
              <w:rPr>
                <w:rFonts w:ascii="仿宋" w:hAnsi="仿宋" w:cs="仿宋"/>
                <w:color w:val="auto"/>
                <w:sz w:val="28"/>
                <w:szCs w:val="28"/>
                <w:highlight w:val="none"/>
              </w:rPr>
            </w:pPr>
          </w:p>
        </w:tc>
        <w:tc>
          <w:tcPr>
            <w:tcW w:w="1701" w:type="dxa"/>
            <w:noWrap w:val="0"/>
            <w:vAlign w:val="center"/>
          </w:tcPr>
          <w:p w14:paraId="55CC772B">
            <w:pPr>
              <w:tabs>
                <w:tab w:val="left" w:pos="675"/>
              </w:tabs>
              <w:spacing w:line="480" w:lineRule="exact"/>
              <w:jc w:val="center"/>
              <w:rPr>
                <w:rFonts w:ascii="仿宋" w:hAnsi="仿宋" w:cs="仿宋"/>
                <w:color w:val="auto"/>
                <w:sz w:val="28"/>
                <w:szCs w:val="28"/>
                <w:highlight w:val="none"/>
              </w:rPr>
            </w:pPr>
          </w:p>
        </w:tc>
        <w:tc>
          <w:tcPr>
            <w:tcW w:w="992" w:type="dxa"/>
            <w:tcBorders>
              <w:right w:val="double" w:color="auto" w:sz="4" w:space="0"/>
            </w:tcBorders>
            <w:noWrap w:val="0"/>
            <w:vAlign w:val="top"/>
          </w:tcPr>
          <w:p w14:paraId="61938364">
            <w:pPr>
              <w:tabs>
                <w:tab w:val="left" w:pos="675"/>
              </w:tabs>
              <w:spacing w:line="480" w:lineRule="exact"/>
              <w:jc w:val="center"/>
              <w:rPr>
                <w:rFonts w:ascii="仿宋" w:hAnsi="仿宋" w:cs="仿宋"/>
                <w:color w:val="auto"/>
                <w:sz w:val="28"/>
                <w:szCs w:val="28"/>
                <w:highlight w:val="none"/>
              </w:rPr>
            </w:pPr>
          </w:p>
        </w:tc>
      </w:tr>
      <w:tr w14:paraId="00DB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rPr>
        <w:tc>
          <w:tcPr>
            <w:tcW w:w="2802" w:type="dxa"/>
            <w:gridSpan w:val="3"/>
            <w:tcBorders>
              <w:left w:val="double" w:color="auto" w:sz="4" w:space="0"/>
              <w:bottom w:val="double" w:color="auto" w:sz="4" w:space="0"/>
            </w:tcBorders>
            <w:noWrap w:val="0"/>
            <w:vAlign w:val="center"/>
          </w:tcPr>
          <w:p w14:paraId="4358759F">
            <w:pPr>
              <w:tabs>
                <w:tab w:val="left" w:pos="675"/>
              </w:tabs>
              <w:spacing w:line="480" w:lineRule="exact"/>
              <w:jc w:val="center"/>
              <w:rPr>
                <w:rFonts w:hint="eastAsia" w:ascii="仿宋_GB2312" w:hAnsi="仿宋" w:eastAsia="仿宋_GB2312" w:cs="仿宋"/>
                <w:color w:val="auto"/>
                <w:sz w:val="24"/>
                <w:szCs w:val="24"/>
                <w:highlight w:val="none"/>
              </w:rPr>
            </w:pPr>
            <w:r>
              <w:rPr>
                <w:rFonts w:hint="eastAsia" w:ascii="仿宋_GB2312" w:hAnsi="仿宋" w:eastAsia="仿宋_GB2312" w:cs="仿宋"/>
                <w:color w:val="auto"/>
                <w:sz w:val="24"/>
                <w:szCs w:val="24"/>
                <w:highlight w:val="none"/>
              </w:rPr>
              <w:t>合计（人民元）</w:t>
            </w:r>
          </w:p>
        </w:tc>
        <w:tc>
          <w:tcPr>
            <w:tcW w:w="6662" w:type="dxa"/>
            <w:gridSpan w:val="5"/>
            <w:tcBorders>
              <w:bottom w:val="double" w:color="auto" w:sz="4" w:space="0"/>
              <w:right w:val="double" w:color="auto" w:sz="4" w:space="0"/>
            </w:tcBorders>
            <w:noWrap w:val="0"/>
            <w:vAlign w:val="center"/>
          </w:tcPr>
          <w:p w14:paraId="2F17E4B5">
            <w:pPr>
              <w:tabs>
                <w:tab w:val="left" w:pos="675"/>
              </w:tabs>
              <w:spacing w:line="480" w:lineRule="exact"/>
              <w:jc w:val="center"/>
              <w:rPr>
                <w:rFonts w:ascii="仿宋" w:hAnsi="仿宋" w:cs="仿宋"/>
                <w:color w:val="auto"/>
                <w:sz w:val="28"/>
                <w:szCs w:val="28"/>
                <w:highlight w:val="none"/>
              </w:rPr>
            </w:pPr>
          </w:p>
        </w:tc>
      </w:tr>
    </w:tbl>
    <w:p w14:paraId="2470AD97">
      <w:pPr>
        <w:jc w:val="center"/>
        <w:rPr>
          <w:rFonts w:hint="eastAsia" w:ascii="仿宋_GB2312" w:hAnsi="仿宋_GB2312" w:eastAsia="仿宋_GB2312" w:cs="仿宋_GB2312"/>
          <w:b/>
          <w:color w:val="auto"/>
          <w:sz w:val="32"/>
          <w:szCs w:val="32"/>
          <w:highlight w:val="none"/>
        </w:rPr>
      </w:pPr>
    </w:p>
    <w:p w14:paraId="483BA0EC">
      <w:pPr>
        <w:spacing w:line="360" w:lineRule="exact"/>
        <w:rPr>
          <w:rFonts w:ascii="仿宋_GB2312" w:eastAsia="仿宋_GB2312"/>
          <w:color w:val="auto"/>
          <w:sz w:val="24"/>
          <w:szCs w:val="24"/>
          <w:highlight w:val="none"/>
        </w:rPr>
      </w:pPr>
      <w:r>
        <w:rPr>
          <w:rFonts w:hint="eastAsia" w:ascii="仿宋_GB2312" w:eastAsia="仿宋_GB2312"/>
          <w:b/>
          <w:color w:val="auto"/>
          <w:sz w:val="24"/>
          <w:szCs w:val="24"/>
          <w:highlight w:val="none"/>
        </w:rPr>
        <w:t>说明：</w:t>
      </w:r>
      <w:r>
        <w:rPr>
          <w:rFonts w:hint="eastAsia" w:ascii="仿宋_GB2312" w:eastAsia="仿宋_GB2312"/>
          <w:color w:val="auto"/>
          <w:sz w:val="24"/>
          <w:szCs w:val="24"/>
          <w:highlight w:val="none"/>
        </w:rPr>
        <w:t>1、须提供原厂配套耗材，投标人根据所报产品配套耗材的分类，分别报价；</w:t>
      </w:r>
    </w:p>
    <w:p w14:paraId="6A191C4A">
      <w:pPr>
        <w:spacing w:line="360" w:lineRule="exact"/>
        <w:jc w:val="center"/>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 xml:space="preserve">      2</w:t>
      </w:r>
      <w:r>
        <w:rPr>
          <w:rFonts w:hint="eastAsia" w:ascii="仿宋_GB2312" w:eastAsia="仿宋_GB2312"/>
          <w:b/>
          <w:color w:val="auto"/>
          <w:sz w:val="24"/>
          <w:szCs w:val="24"/>
          <w:highlight w:val="none"/>
        </w:rPr>
        <w:t>、</w:t>
      </w:r>
      <w:r>
        <w:rPr>
          <w:rFonts w:hint="eastAsia" w:ascii="仿宋_GB2312" w:eastAsia="仿宋_GB2312"/>
          <w:color w:val="auto"/>
          <w:sz w:val="24"/>
          <w:szCs w:val="24"/>
          <w:highlight w:val="none"/>
        </w:rPr>
        <w:t>耗材进入陕西省阳光采购平台的报价不得超过陕西省阳光采购平台挂网价；</w:t>
      </w:r>
    </w:p>
    <w:p w14:paraId="20B9A6C1">
      <w:pPr>
        <w:spacing w:line="360" w:lineRule="exact"/>
        <w:ind w:firstLine="720" w:firstLineChars="300"/>
        <w:rPr>
          <w:rFonts w:ascii="仿宋_GB2312" w:eastAsia="仿宋_GB2312"/>
          <w:color w:val="auto"/>
          <w:sz w:val="24"/>
          <w:szCs w:val="24"/>
          <w:highlight w:val="none"/>
        </w:rPr>
      </w:pPr>
      <w:r>
        <w:rPr>
          <w:rFonts w:hint="eastAsia" w:ascii="仿宋_GB2312" w:eastAsia="仿宋_GB2312"/>
          <w:color w:val="auto"/>
          <w:sz w:val="24"/>
          <w:szCs w:val="24"/>
          <w:highlight w:val="none"/>
        </w:rPr>
        <w:t>3、配套耗材如有“产品注册证、</w:t>
      </w:r>
      <w:r>
        <w:rPr>
          <w:rFonts w:ascii="仿宋_GB2312" w:eastAsia="仿宋_GB2312"/>
          <w:color w:val="auto"/>
          <w:sz w:val="24"/>
          <w:szCs w:val="24"/>
          <w:highlight w:val="none"/>
        </w:rPr>
        <w:t>组建编码、医保统一编码</w:t>
      </w:r>
      <w:r>
        <w:rPr>
          <w:rFonts w:hint="eastAsia" w:ascii="仿宋_GB2312" w:eastAsia="仿宋_GB2312"/>
          <w:color w:val="auto"/>
          <w:sz w:val="24"/>
          <w:szCs w:val="24"/>
          <w:highlight w:val="none"/>
        </w:rPr>
        <w:t>”，请如实填写；</w:t>
      </w:r>
    </w:p>
    <w:p w14:paraId="6DA325B9">
      <w:pPr>
        <w:spacing w:line="360" w:lineRule="exact"/>
        <w:ind w:firstLine="720" w:firstLineChars="3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4、提供全部耗材报价，评审时以主要耗材为主；</w:t>
      </w:r>
    </w:p>
    <w:p w14:paraId="1E8CB34E">
      <w:pPr>
        <w:spacing w:line="360" w:lineRule="exact"/>
        <w:ind w:firstLine="720" w:firstLineChars="300"/>
        <w:rPr>
          <w:rFonts w:ascii="仿宋_GB2312" w:eastAsia="仿宋_GB2312"/>
          <w:color w:val="auto"/>
          <w:sz w:val="24"/>
          <w:szCs w:val="24"/>
          <w:highlight w:val="none"/>
        </w:rPr>
      </w:pPr>
      <w:r>
        <w:rPr>
          <w:rFonts w:hint="eastAsia" w:ascii="仿宋_GB2312" w:eastAsia="仿宋_GB2312"/>
          <w:color w:val="auto"/>
          <w:sz w:val="24"/>
          <w:szCs w:val="24"/>
          <w:highlight w:val="none"/>
        </w:rPr>
        <w:t>5、耗材单独报价，不计入投标总价中。</w:t>
      </w:r>
    </w:p>
    <w:p w14:paraId="109A7AEC">
      <w:pPr>
        <w:jc w:val="center"/>
        <w:rPr>
          <w:rFonts w:hint="eastAsia" w:ascii="仿宋_GB2312" w:hAnsi="仿宋_GB2312" w:eastAsia="仿宋_GB2312" w:cs="仿宋_GB2312"/>
          <w:b/>
          <w:color w:val="auto"/>
          <w:sz w:val="32"/>
          <w:szCs w:val="32"/>
          <w:highlight w:val="none"/>
        </w:rPr>
      </w:pPr>
    </w:p>
    <w:p w14:paraId="0A5C693F">
      <w:pPr>
        <w:tabs>
          <w:tab w:val="left" w:pos="3045"/>
        </w:tabs>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pacing w:val="4"/>
          <w:sz w:val="24"/>
          <w:szCs w:val="24"/>
          <w:highlight w:val="none"/>
        </w:rPr>
        <w:t>法定代表人或</w:t>
      </w:r>
      <w:r>
        <w:rPr>
          <w:rFonts w:hint="eastAsia" w:ascii="仿宋_GB2312" w:hAnsi="仿宋_GB2312" w:eastAsia="仿宋_GB2312" w:cs="仿宋_GB2312"/>
          <w:color w:val="auto"/>
          <w:kern w:val="0"/>
          <w:sz w:val="24"/>
          <w:highlight w:val="none"/>
        </w:rPr>
        <w:t>授权代表人</w:t>
      </w:r>
      <w:r>
        <w:rPr>
          <w:rFonts w:hint="eastAsia" w:ascii="仿宋_GB2312" w:hAnsi="仿宋_GB2312" w:eastAsia="仿宋_GB2312" w:cs="仿宋_GB2312"/>
          <w:color w:val="auto"/>
          <w:spacing w:val="4"/>
          <w:sz w:val="24"/>
          <w:szCs w:val="24"/>
          <w:highlight w:val="none"/>
        </w:rPr>
        <w:t>（签名或盖章）：</w:t>
      </w:r>
      <w:r>
        <w:rPr>
          <w:rFonts w:hint="eastAsia" w:ascii="仿宋_GB2312" w:hAnsi="仿宋_GB2312" w:eastAsia="仿宋_GB2312" w:cs="仿宋_GB2312"/>
          <w:color w:val="auto"/>
          <w:spacing w:val="4"/>
          <w:sz w:val="24"/>
          <w:szCs w:val="24"/>
          <w:highlight w:val="none"/>
          <w:u w:val="single"/>
        </w:rPr>
        <w:t xml:space="preserve">             </w:t>
      </w:r>
    </w:p>
    <w:p w14:paraId="7B5686EC">
      <w:pPr>
        <w:rPr>
          <w:rFonts w:hint="eastAsia" w:ascii="仿宋_GB2312" w:hAnsi="仿宋_GB2312" w:eastAsia="仿宋_GB2312" w:cs="仿宋_GB2312"/>
          <w:color w:val="auto"/>
          <w:sz w:val="24"/>
          <w:szCs w:val="24"/>
          <w:highlight w:val="none"/>
        </w:rPr>
      </w:pPr>
    </w:p>
    <w:p w14:paraId="445898CF">
      <w:pPr>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公章：</w:t>
      </w:r>
      <w:r>
        <w:rPr>
          <w:rFonts w:hint="eastAsia" w:ascii="仿宋_GB2312" w:hAnsi="仿宋_GB2312" w:eastAsia="仿宋_GB2312" w:cs="仿宋_GB2312"/>
          <w:color w:val="auto"/>
          <w:sz w:val="24"/>
          <w:szCs w:val="24"/>
          <w:highlight w:val="none"/>
          <w:u w:val="single"/>
        </w:rPr>
        <w:t xml:space="preserve">                       </w:t>
      </w:r>
    </w:p>
    <w:p w14:paraId="0A7E1837"/>
    <w:p w14:paraId="6E4255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A73BCC"/>
    <w:rsid w:val="0F0251E6"/>
    <w:rsid w:val="74A73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2026-07-17T07:37:00Z</dcterms:created>
  <dc:creator>Administrator</dc:creator>
  <cp:lastModifiedBy>Administrator</cp:lastModifiedBy>
  <dcterms:modified xsi:type="dcterms:W3CDTF">2026-07-17T07:37:25Z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266E8FA513D147D8BC844A8D541144B6_11</vt:lpwstr>
  </property>
  <property fmtid="{D5CDD505-2E9C-101B-9397-08002B2CF9AE}" pid="4" name="KSOTemplateDocerSaveRecord">
    <vt:lpwstr>eyJoZGlkIjoiOGU3NjRlMjE0NmMwNzhlNDUxOGFiY2U2NWFlZDA2OTIiLCJ1c2VySWQiOiIzNDk5NjQzNjEifQ==</vt:lpwstr>
  </property>
</Properties>
</file>