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版本号：JJX-2026-03220260527001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森林草原防灭火物资采购项目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JJX-2026-032</w:t>
      </w:r>
      <w:r>
        <w:br/>
      </w:r>
      <w:r>
        <w:br/>
      </w:r>
      <w:r>
        <w:br/>
      </w:r>
    </w:p>
    <w:p>
      <w:pPr>
        <w:pStyle w:val="null3"/>
        <w:jc w:val="center"/>
        <w:outlineLvl w:val="2"/>
      </w:pPr>
      <w:r>
        <w:rPr>
          <w:rFonts w:ascii="仿宋_GB2312" w:hAnsi="仿宋_GB2312" w:cs="仿宋_GB2312" w:eastAsia="仿宋_GB2312"/>
          <w:sz w:val="28"/>
          <w:b/>
        </w:rPr>
        <w:t>渭南市应急管理技术保障中心</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渭南市应急管理技术保障中心</w:t>
      </w:r>
      <w:r>
        <w:rPr>
          <w:rFonts w:ascii="仿宋_GB2312" w:hAnsi="仿宋_GB2312" w:cs="仿宋_GB2312" w:eastAsia="仿宋_GB2312"/>
        </w:rPr>
        <w:t>委托，拟对</w:t>
      </w:r>
      <w:r>
        <w:rPr>
          <w:rFonts w:ascii="仿宋_GB2312" w:hAnsi="仿宋_GB2312" w:cs="仿宋_GB2312" w:eastAsia="仿宋_GB2312"/>
        </w:rPr>
        <w:t>森林草原防灭火物资采购项目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森林草原防灭火物资采购项目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采购一批森林防灭火物资，具体详见招标文件采购内容。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采购包1（森林草原防灭火物资采购项目）：属于专门面向中小企业采购。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1、法人证明或法人授权委托书：提供法定代表人授权委托书（附法定代表人、被授权人身份证复印件）；法定代表人直接参加投标，须提供法定代表人证明书（附法定代表人身份证复印件）。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渭南市应急管理技术保障中心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刘国庆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0913-8590519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货物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渭南市应急管理技术保障中心</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渭南市应急管理技术保障中心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渭南市应急管理技术保障中心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项⽬实施完毕后，供应商应向采购⼈提交项⽬验收报告，申请项⽬验收，并将项⽬实施过程中相关资料提交采购⼈。采购⼈收到项⽬验收报告后，组织相关⼈员进⾏验收。 验收标准按照国家、⾏业有关规范和要求⾏。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采购一批森林草原防灭火物资，具体详见招标文件采购清单。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防火物资采购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标的名称：防火物资采购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248"/>
              <w:gridCol w:w="1702"/>
              <w:gridCol w:w="216"/>
              <w:gridCol w:w="252"/>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扑火服</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扑火服</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纤维含量：芳纶</w:t>
                  </w:r>
                  <w:r>
                    <w:rPr>
                      <w:rFonts w:ascii="仿宋_GB2312" w:hAnsi="仿宋_GB2312" w:cs="仿宋_GB2312" w:eastAsia="仿宋_GB2312"/>
                      <w:sz w:val="24"/>
                    </w:rPr>
                    <w:t>100%。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洗涤</w:t>
                  </w:r>
                  <w:r>
                    <w:rPr>
                      <w:rFonts w:ascii="仿宋_GB2312" w:hAnsi="仿宋_GB2312" w:cs="仿宋_GB2312" w:eastAsia="仿宋_GB2312"/>
                      <w:sz w:val="24"/>
                    </w:rPr>
                    <w:t>50次后续燃时间（s）：T≤0.2，W≤0.2；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洗涤</w:t>
                  </w:r>
                  <w:r>
                    <w:rPr>
                      <w:rFonts w:ascii="仿宋_GB2312" w:hAnsi="仿宋_GB2312" w:cs="仿宋_GB2312" w:eastAsia="仿宋_GB2312"/>
                      <w:sz w:val="24"/>
                    </w:rPr>
                    <w:t>50次后阴燃时间（s）：T≤0.2，W≤0.2；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洗涤</w:t>
                  </w:r>
                  <w:r>
                    <w:rPr>
                      <w:rFonts w:ascii="仿宋_GB2312" w:hAnsi="仿宋_GB2312" w:cs="仿宋_GB2312" w:eastAsia="仿宋_GB2312"/>
                      <w:sz w:val="24"/>
                    </w:rPr>
                    <w:t>50次后</w:t>
                  </w:r>
                  <w:r>
                    <w:rPr>
                      <w:rFonts w:ascii="仿宋_GB2312" w:hAnsi="仿宋_GB2312" w:cs="仿宋_GB2312" w:eastAsia="仿宋_GB2312"/>
                      <w:sz w:val="24"/>
                    </w:rPr>
                    <w:t>损毁长度（</w:t>
                  </w:r>
                  <w:r>
                    <w:rPr>
                      <w:rFonts w:ascii="仿宋_GB2312" w:hAnsi="仿宋_GB2312" w:cs="仿宋_GB2312" w:eastAsia="仿宋_GB2312"/>
                      <w:sz w:val="24"/>
                    </w:rPr>
                    <w:t>mm）：T≤20，W≤20；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熔融滴落：无。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热防护系数（</w:t>
                  </w:r>
                  <w:r>
                    <w:rPr>
                      <w:rFonts w:ascii="仿宋_GB2312" w:hAnsi="仿宋_GB2312" w:cs="仿宋_GB2312" w:eastAsia="仿宋_GB2312"/>
                      <w:sz w:val="24"/>
                    </w:rPr>
                    <w:t>TPP(kW·s/m²)）：≥265</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洗涤</w:t>
                  </w:r>
                  <w:r>
                    <w:rPr>
                      <w:rFonts w:ascii="仿宋_GB2312" w:hAnsi="仿宋_GB2312" w:cs="仿宋_GB2312" w:eastAsia="仿宋_GB2312"/>
                      <w:sz w:val="24"/>
                    </w:rPr>
                    <w:t>50次后断裂强力（N）：T≥1400、W≥1300；</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洗涤</w:t>
                  </w:r>
                  <w:r>
                    <w:rPr>
                      <w:rFonts w:ascii="仿宋_GB2312" w:hAnsi="仿宋_GB2312" w:cs="仿宋_GB2312" w:eastAsia="仿宋_GB2312"/>
                      <w:sz w:val="24"/>
                    </w:rPr>
                    <w:t>50次后撕破强力（N）：T≥170、W≥160；</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耐洗色牢度（级）：原样变色</w:t>
                  </w:r>
                  <w:r>
                    <w:rPr>
                      <w:rFonts w:ascii="仿宋_GB2312" w:hAnsi="仿宋_GB2312" w:cs="仿宋_GB2312" w:eastAsia="仿宋_GB2312"/>
                      <w:sz w:val="24"/>
                    </w:rPr>
                    <w:t>≥4、涤布沾色≥4、棉布沾色≥4。</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耐水色牢度（级）：原样变色</w:t>
                  </w:r>
                  <w:r>
                    <w:rPr>
                      <w:rFonts w:ascii="仿宋_GB2312" w:hAnsi="仿宋_GB2312" w:cs="仿宋_GB2312" w:eastAsia="仿宋_GB2312"/>
                      <w:sz w:val="24"/>
                    </w:rPr>
                    <w:t>≥4、涤布沾色≥4、棉布沾色≥4。</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耐摩擦色牢度（级）：干摩擦</w:t>
                  </w:r>
                  <w:r>
                    <w:rPr>
                      <w:rFonts w:ascii="仿宋_GB2312" w:hAnsi="仿宋_GB2312" w:cs="仿宋_GB2312" w:eastAsia="仿宋_GB2312"/>
                      <w:sz w:val="24"/>
                    </w:rPr>
                    <w:t>≥4、湿摩擦≥4。</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耐酸汗渍色牢度（级）：色泽变化</w:t>
                  </w:r>
                  <w:r>
                    <w:rPr>
                      <w:rFonts w:ascii="仿宋_GB2312" w:hAnsi="仿宋_GB2312" w:cs="仿宋_GB2312" w:eastAsia="仿宋_GB2312"/>
                      <w:sz w:val="24"/>
                    </w:rPr>
                    <w:t>≥4、涤布沾色≥4、棉布沾色≥4。</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耐碱汗渍色牢度（级）：色泽变化</w:t>
                  </w:r>
                  <w:r>
                    <w:rPr>
                      <w:rFonts w:ascii="仿宋_GB2312" w:hAnsi="仿宋_GB2312" w:cs="仿宋_GB2312" w:eastAsia="仿宋_GB2312"/>
                      <w:sz w:val="24"/>
                    </w:rPr>
                    <w:t>≥4、涤布沾色≥4、棉布沾色≥4。</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耐光色牢度（级）</w:t>
                  </w:r>
                  <w:r>
                    <w:rPr>
                      <w:rFonts w:ascii="仿宋_GB2312" w:hAnsi="仿宋_GB2312" w:cs="仿宋_GB2312" w:eastAsia="仿宋_GB2312"/>
                      <w:sz w:val="24"/>
                    </w:rPr>
                    <w:t>≥5。</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单位质量面积（</w:t>
                  </w:r>
                  <w:r>
                    <w:rPr>
                      <w:rFonts w:ascii="仿宋_GB2312" w:hAnsi="仿宋_GB2312" w:cs="仿宋_GB2312" w:eastAsia="仿宋_GB2312"/>
                      <w:sz w:val="24"/>
                    </w:rPr>
                    <w:t>g/m²）：≤210。</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单衣片接缝强力（</w:t>
                  </w:r>
                  <w:r>
                    <w:rPr>
                      <w:rFonts w:ascii="仿宋_GB2312" w:hAnsi="仿宋_GB2312" w:cs="仿宋_GB2312" w:eastAsia="仿宋_GB2312"/>
                      <w:sz w:val="24"/>
                    </w:rPr>
                    <w:t>N）≥230。</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后裆接缝强力（</w:t>
                  </w:r>
                  <w:r>
                    <w:rPr>
                      <w:rFonts w:ascii="仿宋_GB2312" w:hAnsi="仿宋_GB2312" w:cs="仿宋_GB2312" w:eastAsia="仿宋_GB2312"/>
                      <w:sz w:val="24"/>
                    </w:rPr>
                    <w:t>N）≥670。</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肩接缝强力（</w:t>
                  </w:r>
                  <w:r>
                    <w:rPr>
                      <w:rFonts w:ascii="仿宋_GB2312" w:hAnsi="仿宋_GB2312" w:cs="仿宋_GB2312" w:eastAsia="仿宋_GB2312"/>
                      <w:sz w:val="24"/>
                    </w:rPr>
                    <w:t>N）≥670。</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缝纫线单线断裂强力（</w:t>
                  </w:r>
                  <w:r>
                    <w:rPr>
                      <w:rFonts w:ascii="仿宋_GB2312" w:hAnsi="仿宋_GB2312" w:cs="仿宋_GB2312" w:eastAsia="仿宋_GB2312"/>
                      <w:sz w:val="24"/>
                    </w:rPr>
                    <w:t>N）≥12.5。</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甲醛含量：无。</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ph值：在5.0-8.0之间。</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面料热稳定性（</w:t>
                  </w:r>
                  <w:r>
                    <w:rPr>
                      <w:rFonts w:ascii="仿宋_GB2312" w:hAnsi="仿宋_GB2312" w:cs="仿宋_GB2312" w:eastAsia="仿宋_GB2312"/>
                      <w:sz w:val="24"/>
                    </w:rPr>
                    <w:t>260℃±5℃）%：T≤1.0、W≤1.0。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水洗尺寸变化率（</w:t>
                  </w:r>
                  <w:r>
                    <w:rPr>
                      <w:rFonts w:ascii="仿宋_GB2312" w:hAnsi="仿宋_GB2312" w:cs="仿宋_GB2312" w:eastAsia="仿宋_GB2312"/>
                      <w:sz w:val="24"/>
                    </w:rPr>
                    <w:t>%）：领大≥-1.0%、胸围≥-2.0%、衣长≥-2.5%、腰围≥-1.0%、裤长≥-2.5%。</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前胸、后背、双臂、腿部有醒目的反光条；能清晰识别队员在烟雾和夜间工作中的具体方位。</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全身标志按用户需求定制。</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衣领可立，可于头盔、披肩结合一体形成保护。</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贴边采用粘扣设计，经</w:t>
                  </w:r>
                  <w:r>
                    <w:rPr>
                      <w:rFonts w:ascii="仿宋_GB2312" w:hAnsi="仿宋_GB2312" w:cs="仿宋_GB2312" w:eastAsia="仿宋_GB2312"/>
                      <w:sz w:val="24"/>
                    </w:rPr>
                    <w:t>7千次使用后，仍然具有良好的扣合效果.全套服装无金属部件，以免烫伤队员。</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上衣底摆、袖口处采用收紧式结构，有效防止灰尘进入且具有舒适性。贴边采用粘扣，裤口、裤腰处的收紧结构能适应不同腰围尺寸的人员穿着。</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反光条、拉链具有阻燃性。</w:t>
                  </w:r>
                </w:p>
                <w:p>
                  <w:pPr>
                    <w:pStyle w:val="null3"/>
                    <w:jc w:val="both"/>
                  </w:pPr>
                  <w:r>
                    <w:rPr>
                      <w:rFonts w:ascii="仿宋_GB2312" w:hAnsi="仿宋_GB2312" w:cs="仿宋_GB2312" w:eastAsia="仿宋_GB2312"/>
                      <w:sz w:val="24"/>
                    </w:rPr>
                    <w:t>服装可根据</w:t>
                  </w:r>
                  <w:r>
                    <w:rPr>
                      <w:rFonts w:ascii="仿宋_GB2312" w:hAnsi="仿宋_GB2312" w:cs="仿宋_GB2312" w:eastAsia="仿宋_GB2312"/>
                      <w:sz w:val="24"/>
                    </w:rPr>
                    <w:t>采购人</w:t>
                  </w:r>
                  <w:r>
                    <w:rPr>
                      <w:rFonts w:ascii="仿宋_GB2312" w:hAnsi="仿宋_GB2312" w:cs="仿宋_GB2312" w:eastAsia="仿宋_GB2312"/>
                      <w:sz w:val="24"/>
                    </w:rPr>
                    <w:t>需求样式定制。</w:t>
                  </w:r>
                </w:p>
              </w:tc>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扑火头盔：</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电绝缘性</w:t>
                  </w:r>
                  <w:r>
                    <w:rPr>
                      <w:rFonts w:ascii="仿宋_GB2312" w:hAnsi="仿宋_GB2312" w:cs="仿宋_GB2312" w:eastAsia="仿宋_GB2312"/>
                      <w:sz w:val="24"/>
                    </w:rPr>
                    <w:t>:≤3mA</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材质：盔壳由耐高温尼龙材质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头盔的前额有森林消防或国徽帽徽。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头盔两侧设有</w:t>
                  </w:r>
                  <w:r>
                    <w:rPr>
                      <w:rFonts w:ascii="仿宋_GB2312" w:hAnsi="仿宋_GB2312" w:cs="仿宋_GB2312" w:eastAsia="仿宋_GB2312"/>
                      <w:sz w:val="24"/>
                    </w:rPr>
                    <w:t>L型导轨：L型导轨固定在护耳上方。用来固定手电、护目镜等其他辅件。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冲击吸收性能：</w:t>
                  </w:r>
                  <w:r>
                    <w:rPr>
                      <w:rFonts w:ascii="仿宋_GB2312" w:hAnsi="仿宋_GB2312" w:cs="仿宋_GB2312" w:eastAsia="仿宋_GB2312"/>
                      <w:sz w:val="24"/>
                    </w:rPr>
                    <w:t>≤4900N。</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阻燃性能：火源离开帽壳后、帽壳火焰应在</w:t>
                  </w:r>
                  <w:r>
                    <w:rPr>
                      <w:rFonts w:ascii="仿宋_GB2312" w:hAnsi="仿宋_GB2312" w:cs="仿宋_GB2312" w:eastAsia="仿宋_GB2312"/>
                      <w:sz w:val="24"/>
                    </w:rPr>
                    <w:t>5s内自熄。</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侧向刚性：救援头盔帽壳的最大变形</w:t>
                  </w:r>
                  <w:r>
                    <w:rPr>
                      <w:rFonts w:ascii="仿宋_GB2312" w:hAnsi="仿宋_GB2312" w:cs="仿宋_GB2312" w:eastAsia="仿宋_GB2312"/>
                      <w:sz w:val="24"/>
                    </w:rPr>
                    <w:t>≤40mm、卸载后变形≤15mm。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质量</w:t>
                  </w:r>
                  <w:r>
                    <w:rPr>
                      <w:rFonts w:ascii="仿宋_GB2312" w:hAnsi="仿宋_GB2312" w:cs="仿宋_GB2312" w:eastAsia="仿宋_GB2312"/>
                      <w:sz w:val="24"/>
                    </w:rPr>
                    <w:t>≤800g</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外观质量</w:t>
                  </w:r>
                  <w:r>
                    <w:rPr>
                      <w:rFonts w:ascii="仿宋_GB2312" w:hAnsi="仿宋_GB2312" w:cs="仿宋_GB2312" w:eastAsia="仿宋_GB2312"/>
                      <w:sz w:val="24"/>
                    </w:rPr>
                    <w:t>:救援头盔的外观质量应符合以下要求:</w:t>
                  </w:r>
                </w:p>
                <w:p>
                  <w:pPr>
                    <w:pStyle w:val="null3"/>
                    <w:jc w:val="both"/>
                  </w:pPr>
                  <w:r>
                    <w:rPr>
                      <w:rFonts w:ascii="仿宋_GB2312" w:hAnsi="仿宋_GB2312" w:cs="仿宋_GB2312" w:eastAsia="仿宋_GB2312"/>
                      <w:sz w:val="24"/>
                    </w:rPr>
                    <w:t>a) 帽壳表面应色泽鲜明、光洁，不能有污渍、气泡、缺损及其它有损外观的缺陷。</w:t>
                  </w:r>
                </w:p>
                <w:p>
                  <w:pPr>
                    <w:pStyle w:val="null3"/>
                    <w:jc w:val="both"/>
                  </w:pPr>
                  <w:r>
                    <w:rPr>
                      <w:rFonts w:ascii="仿宋_GB2312" w:hAnsi="仿宋_GB2312" w:cs="仿宋_GB2312" w:eastAsia="仿宋_GB2312"/>
                      <w:sz w:val="24"/>
                    </w:rPr>
                    <w:t>b)面罩表面应无明显的擦伤或打毛痕迹，周边光滑，无棱角;</w:t>
                  </w:r>
                </w:p>
                <w:p>
                  <w:pPr>
                    <w:pStyle w:val="null3"/>
                    <w:jc w:val="both"/>
                  </w:pPr>
                  <w:r>
                    <w:rPr>
                      <w:rFonts w:ascii="仿宋_GB2312" w:hAnsi="仿宋_GB2312" w:cs="仿宋_GB2312" w:eastAsia="仿宋_GB2312"/>
                      <w:sz w:val="24"/>
                    </w:rPr>
                    <w:t>c)披肩缝制应平整，不应有脱线、跳针以及破损、污渍等缺陷:</w:t>
                  </w:r>
                </w:p>
                <w:p>
                  <w:pPr>
                    <w:pStyle w:val="null3"/>
                    <w:jc w:val="both"/>
                  </w:pPr>
                  <w:r>
                    <w:rPr>
                      <w:rFonts w:ascii="仿宋_GB2312" w:hAnsi="仿宋_GB2312" w:cs="仿宋_GB2312" w:eastAsia="仿宋_GB2312"/>
                      <w:sz w:val="24"/>
                    </w:rPr>
                    <w:t>d)头盔各部件的安装应到位、牢固、端正，无松脱、滑落现象。面罩伸缩或翻转应灵活，披肩脱卸应方便。</w:t>
                  </w:r>
                </w:p>
              </w:tc>
              <w:tc>
                <w:tcPr>
                  <w:tcW w:type="dxa" w:w="216"/>
                  <w:vMerge/>
                  <w:tcBorders>
                    <w:top w:val="none" w:color="000000" w:sz="4"/>
                    <w:left w:val="single" w:color="000000" w:sz="4"/>
                    <w:bottom w:val="single" w:color="000000" w:sz="4"/>
                    <w:right w:val="single" w:color="000000" w:sz="4"/>
                  </w:tcBorders>
                </w:tcPr>
                <w:p/>
              </w:tc>
              <w:tc>
                <w:tcPr>
                  <w:tcW w:type="dxa" w:w="252"/>
                  <w:vMerge/>
                  <w:tcBorders>
                    <w:top w:val="none" w:color="000000" w:sz="4"/>
                    <w:left w:val="singl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消防眼镜</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具有良好的透气性；头带宽度</w:t>
                  </w:r>
                  <w:r>
                    <w:rPr>
                      <w:rFonts w:ascii="仿宋_GB2312" w:hAnsi="仿宋_GB2312" w:cs="仿宋_GB2312" w:eastAsia="仿宋_GB2312"/>
                      <w:sz w:val="24"/>
                    </w:rPr>
                    <w:t>≥20mm，可调节；质量≤130g；红色气密镜框，视野宽广，镜片防雾性能：镜片在8s内不起雾；防强光，镜片易于更换。</w:t>
                  </w:r>
                </w:p>
              </w:tc>
              <w:tc>
                <w:tcPr>
                  <w:tcW w:type="dxa" w:w="216"/>
                  <w:vMerge/>
                  <w:tcBorders>
                    <w:top w:val="none" w:color="000000" w:sz="4"/>
                    <w:left w:val="single" w:color="000000" w:sz="4"/>
                    <w:bottom w:val="single" w:color="000000" w:sz="4"/>
                    <w:right w:val="single" w:color="000000" w:sz="4"/>
                  </w:tcBorders>
                </w:tcPr>
                <w:p/>
              </w:tc>
              <w:tc>
                <w:tcPr>
                  <w:tcW w:type="dxa" w:w="252"/>
                  <w:vMerge/>
                  <w:tcBorders>
                    <w:top w:val="none" w:color="000000" w:sz="4"/>
                    <w:left w:val="singl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面罩：</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头部采用分段连体设计便于佩戴森林消防头盔及独立作业使用，头套可以不用从头部脱下，直接可以退到脖子上，有效保护头部、面部口鼻、颈部及肩部；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面料：卡其色或乳白色，采用芳纶针织混纺面料制成；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面料续燃时间</w:t>
                  </w:r>
                  <w:r>
                    <w:rPr>
                      <w:rFonts w:ascii="仿宋_GB2312" w:hAnsi="仿宋_GB2312" w:cs="仿宋_GB2312" w:eastAsia="仿宋_GB2312"/>
                      <w:sz w:val="24"/>
                    </w:rPr>
                    <w:t>:经向（s）≤0；纬向（s）≤0；</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损毁长度（</w:t>
                  </w:r>
                  <w:r>
                    <w:rPr>
                      <w:rFonts w:ascii="仿宋_GB2312" w:hAnsi="仿宋_GB2312" w:cs="仿宋_GB2312" w:eastAsia="仿宋_GB2312"/>
                      <w:sz w:val="24"/>
                    </w:rPr>
                    <w:t>mm）：经向≤45、纬向≤45；</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PH值约：4.0-7.5；</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甲醛含量：未检出；</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抗起毛起球</w:t>
                  </w:r>
                  <w:r>
                    <w:rPr>
                      <w:rFonts w:ascii="仿宋_GB2312" w:hAnsi="仿宋_GB2312" w:cs="仿宋_GB2312" w:eastAsia="仿宋_GB2312"/>
                      <w:sz w:val="24"/>
                    </w:rPr>
                    <w:t>≥3级，无熔融、滴落；</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热稳定性能：试样沿着直向和横向的尺寸变化率</w:t>
                  </w:r>
                  <w:r>
                    <w:rPr>
                      <w:rFonts w:ascii="仿宋_GB2312" w:hAnsi="仿宋_GB2312" w:cs="仿宋_GB2312" w:eastAsia="仿宋_GB2312"/>
                      <w:sz w:val="24"/>
                    </w:rPr>
                    <w:t>(%)：直向≤1、横向≤2，试样经260℃热稳定性能试验5min后，试样无变色、熔融和滴落现象。</w:t>
                  </w:r>
                </w:p>
              </w:tc>
              <w:tc>
                <w:tcPr>
                  <w:tcW w:type="dxa" w:w="216"/>
                  <w:vMerge/>
                  <w:tcBorders>
                    <w:top w:val="none" w:color="000000" w:sz="4"/>
                    <w:left w:val="single" w:color="000000" w:sz="4"/>
                    <w:bottom w:val="single" w:color="000000" w:sz="4"/>
                    <w:right w:val="single" w:color="000000" w:sz="4"/>
                  </w:tcBorders>
                </w:tcPr>
                <w:p/>
              </w:tc>
              <w:tc>
                <w:tcPr>
                  <w:tcW w:type="dxa" w:w="252"/>
                  <w:vMerge/>
                  <w:tcBorders>
                    <w:top w:val="none" w:color="000000" w:sz="4"/>
                    <w:left w:val="singl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灭火手套</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技术参数：手掌及手背采用真皮制作而成，耐磨、耐刮、舒适，手背及上部加有纯棉阻燃腰，上部有收紧设计，与扑火服连成一体，防止火星和灰尘进入，形成整体保护，有效保护手部和小臂，增加安全性；皮革厚度</w:t>
                  </w:r>
                  <w:r>
                    <w:rPr>
                      <w:rFonts w:ascii="仿宋_GB2312" w:hAnsi="仿宋_GB2312" w:cs="仿宋_GB2312" w:eastAsia="仿宋_GB2312"/>
                      <w:sz w:val="24"/>
                    </w:rPr>
                    <w:t>≥1.5mm，皮革氧指数≥30%，阻燃腰氧指数≥30%。</w:t>
                  </w:r>
                </w:p>
              </w:tc>
              <w:tc>
                <w:tcPr>
                  <w:tcW w:type="dxa" w:w="216"/>
                  <w:vMerge/>
                  <w:tcBorders>
                    <w:top w:val="none" w:color="000000" w:sz="4"/>
                    <w:left w:val="single" w:color="000000" w:sz="4"/>
                    <w:bottom w:val="single" w:color="000000" w:sz="4"/>
                    <w:right w:val="single" w:color="000000" w:sz="4"/>
                  </w:tcBorders>
                </w:tcPr>
                <w:p/>
              </w:tc>
              <w:tc>
                <w:tcPr>
                  <w:tcW w:type="dxa" w:w="252"/>
                  <w:vMerge/>
                  <w:tcBorders>
                    <w:top w:val="none" w:color="000000" w:sz="4"/>
                    <w:left w:val="singl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腰带</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卡扣式，黑色，高密度面料编织而成，结实耐用；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规格：宽</w:t>
                  </w:r>
                  <w:r>
                    <w:rPr>
                      <w:rFonts w:ascii="仿宋_GB2312" w:hAnsi="仿宋_GB2312" w:cs="仿宋_GB2312" w:eastAsia="仿宋_GB2312"/>
                      <w:sz w:val="24"/>
                    </w:rPr>
                    <w:t>≥5cm,长≥1.3m,卡扣宽≥5cm；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可外挂配件，优质调节扣、顺滑不错位。</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结构：阻燃机织腰带，由</w:t>
                  </w:r>
                  <w:r>
                    <w:rPr>
                      <w:rFonts w:ascii="仿宋_GB2312" w:hAnsi="仿宋_GB2312" w:cs="仿宋_GB2312" w:eastAsia="仿宋_GB2312"/>
                      <w:sz w:val="24"/>
                    </w:rPr>
                    <w:t>ABS 对插式插扣，尼龙齿夹，尾部尼龙尾夹组装。带体中间由双排鸡眼扣排列， 长度可自由调节。</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面料：带胚材质是高强涤纶，缝合线采用</w:t>
                  </w:r>
                  <w:r>
                    <w:rPr>
                      <w:rFonts w:ascii="仿宋_GB2312" w:hAnsi="仿宋_GB2312" w:cs="仿宋_GB2312" w:eastAsia="仿宋_GB2312"/>
                      <w:sz w:val="24"/>
                    </w:rPr>
                    <w:t>30 支/4 股尼龙缝合线织带腰带宽度≥50mm，厚度≥2.1</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插扣宽度：</w:t>
                  </w:r>
                  <w:r>
                    <w:rPr>
                      <w:rFonts w:ascii="仿宋_GB2312" w:hAnsi="仿宋_GB2312" w:cs="仿宋_GB2312" w:eastAsia="仿宋_GB2312"/>
                      <w:sz w:val="24"/>
                    </w:rPr>
                    <w:t>59.5mm±0.3mm, 厚度：16mm±1mm, 长度：84mm±0.2mm</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最小周长</w:t>
                  </w:r>
                  <w:r>
                    <w:rPr>
                      <w:rFonts w:ascii="仿宋_GB2312" w:hAnsi="仿宋_GB2312" w:cs="仿宋_GB2312" w:eastAsia="仿宋_GB2312"/>
                      <w:sz w:val="24"/>
                    </w:rPr>
                    <w:t>≥650mm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最大周长</w:t>
                  </w:r>
                  <w:r>
                    <w:rPr>
                      <w:rFonts w:ascii="仿宋_GB2312" w:hAnsi="仿宋_GB2312" w:cs="仿宋_GB2312" w:eastAsia="仿宋_GB2312"/>
                      <w:sz w:val="24"/>
                    </w:rPr>
                    <w:t>≥1160mm</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9.</w:t>
                  </w:r>
                  <w:r>
                    <w:rPr>
                      <w:rFonts w:ascii="仿宋_GB2312" w:hAnsi="仿宋_GB2312" w:cs="仿宋_GB2312" w:eastAsia="仿宋_GB2312"/>
                      <w:sz w:val="24"/>
                    </w:rPr>
                    <w:t>带体破断力</w:t>
                  </w:r>
                  <w:r>
                    <w:rPr>
                      <w:rFonts w:ascii="仿宋_GB2312" w:hAnsi="仿宋_GB2312" w:cs="仿宋_GB2312" w:eastAsia="仿宋_GB2312"/>
                      <w:sz w:val="24"/>
                    </w:rPr>
                    <w:t>≥4700N</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带体拉伸强力</w:t>
                  </w:r>
                  <w:r>
                    <w:rPr>
                      <w:rFonts w:ascii="仿宋_GB2312" w:hAnsi="仿宋_GB2312" w:cs="仿宋_GB2312" w:eastAsia="仿宋_GB2312"/>
                      <w:sz w:val="24"/>
                    </w:rPr>
                    <w:t>≥800N</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插扣结合强力</w:t>
                  </w:r>
                  <w:r>
                    <w:rPr>
                      <w:rFonts w:ascii="仿宋_GB2312" w:hAnsi="仿宋_GB2312" w:cs="仿宋_GB2312" w:eastAsia="仿宋_GB2312"/>
                      <w:sz w:val="24"/>
                    </w:rPr>
                    <w:t>≥2500N</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12.</w:t>
                  </w:r>
                  <w:r>
                    <w:rPr>
                      <w:rFonts w:ascii="仿宋_GB2312" w:hAnsi="仿宋_GB2312" w:cs="仿宋_GB2312" w:eastAsia="仿宋_GB2312"/>
                      <w:sz w:val="24"/>
                    </w:rPr>
                    <w:t>耐高温性：经</w:t>
                  </w:r>
                  <w:r>
                    <w:rPr>
                      <w:rFonts w:ascii="仿宋_GB2312" w:hAnsi="仿宋_GB2312" w:cs="仿宋_GB2312" w:eastAsia="仿宋_GB2312"/>
                      <w:sz w:val="24"/>
                    </w:rPr>
                    <w:t>185℃，5min耐高温性能试验后，安全带的织带和缝线未出现熔融、焦化现象。</w:t>
                  </w:r>
                </w:p>
              </w:tc>
              <w:tc>
                <w:tcPr>
                  <w:tcW w:type="dxa" w:w="216"/>
                  <w:vMerge/>
                  <w:tcBorders>
                    <w:top w:val="none" w:color="000000" w:sz="4"/>
                    <w:left w:val="single" w:color="000000" w:sz="4"/>
                    <w:bottom w:val="single" w:color="000000" w:sz="4"/>
                    <w:right w:val="single" w:color="000000" w:sz="4"/>
                  </w:tcBorders>
                </w:tcPr>
                <w:p/>
              </w:tc>
              <w:tc>
                <w:tcPr>
                  <w:tcW w:type="dxa" w:w="252"/>
                  <w:vMerge/>
                  <w:tcBorders>
                    <w:top w:val="none" w:color="000000" w:sz="4"/>
                    <w:left w:val="singl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防火鞋：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款式：中帮前系带一体鞋舌款，鞋高</w:t>
                  </w:r>
                  <w:r>
                    <w:rPr>
                      <w:rFonts w:ascii="仿宋_GB2312" w:hAnsi="仿宋_GB2312" w:cs="仿宋_GB2312" w:eastAsia="仿宋_GB2312"/>
                      <w:sz w:val="24"/>
                    </w:rPr>
                    <w:t>≥22cm；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颜色及材质：鞋面采用黑色翻毛皮及黑色帆布组成；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鞋底：凯夫拉防穿刺中底</w:t>
                  </w:r>
                  <w:r>
                    <w:rPr>
                      <w:rFonts w:ascii="仿宋_GB2312" w:hAnsi="仿宋_GB2312" w:cs="仿宋_GB2312" w:eastAsia="仿宋_GB2312"/>
                      <w:sz w:val="24"/>
                    </w:rPr>
                    <w:t>+合成橡胶外底及加高防水围条设计，采用塑料防撞鞋头，保护脚趾撞伤；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帆布燃烧性能：续燃时间（</w:t>
                  </w:r>
                  <w:r>
                    <w:rPr>
                      <w:rFonts w:ascii="仿宋_GB2312" w:hAnsi="仿宋_GB2312" w:cs="仿宋_GB2312" w:eastAsia="仿宋_GB2312"/>
                      <w:sz w:val="24"/>
                    </w:rPr>
                    <w:t>s）：≤0；阴燃时间（s）：≤0；损毁长度（mm）：≤32；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外底扯断伸长（</w:t>
                  </w:r>
                  <w:r>
                    <w:rPr>
                      <w:rFonts w:ascii="仿宋_GB2312" w:hAnsi="仿宋_GB2312" w:cs="仿宋_GB2312" w:eastAsia="仿宋_GB2312"/>
                      <w:sz w:val="24"/>
                    </w:rPr>
                    <w:t>%）：≥460。</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防穿刺能力（</w:t>
                  </w:r>
                  <w:r>
                    <w:rPr>
                      <w:rFonts w:ascii="仿宋_GB2312" w:hAnsi="仿宋_GB2312" w:cs="仿宋_GB2312" w:eastAsia="仿宋_GB2312"/>
                      <w:sz w:val="24"/>
                    </w:rPr>
                    <w:t>N）：≥1000。</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缝线单纱强度（</w:t>
                  </w:r>
                  <w:r>
                    <w:rPr>
                      <w:rFonts w:ascii="仿宋_GB2312" w:hAnsi="仿宋_GB2312" w:cs="仿宋_GB2312" w:eastAsia="仿宋_GB2312"/>
                      <w:sz w:val="24"/>
                    </w:rPr>
                    <w:t>N/50cm）：≥35。</w:t>
                  </w:r>
                </w:p>
              </w:tc>
              <w:tc>
                <w:tcPr>
                  <w:tcW w:type="dxa" w:w="216"/>
                  <w:vMerge/>
                  <w:tcBorders>
                    <w:top w:val="none" w:color="000000" w:sz="4"/>
                    <w:left w:val="single" w:color="000000" w:sz="4"/>
                    <w:bottom w:val="single" w:color="000000" w:sz="4"/>
                    <w:right w:val="single" w:color="000000" w:sz="4"/>
                  </w:tcBorders>
                </w:tcPr>
                <w:p/>
              </w:tc>
              <w:tc>
                <w:tcPr>
                  <w:tcW w:type="dxa" w:w="252"/>
                  <w:vMerge/>
                  <w:tcBorders>
                    <w:top w:val="none" w:color="000000" w:sz="4"/>
                    <w:left w:val="single" w:color="000000" w:sz="4"/>
                    <w:bottom w:val="single" w:color="000000" w:sz="4"/>
                    <w:right w:val="single" w:color="000000" w:sz="4"/>
                  </w:tcBorders>
                </w:tcP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风力灭火实训火焰靶</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采用表面抛沙除锈处理的铁质材料；底漆：喷环氧富锌粉末涂料，进入烤房加温至</w:t>
                  </w:r>
                  <w:r>
                    <w:rPr>
                      <w:rFonts w:ascii="仿宋_GB2312" w:hAnsi="仿宋_GB2312" w:cs="仿宋_GB2312" w:eastAsia="仿宋_GB2312"/>
                      <w:sz w:val="24"/>
                    </w:rPr>
                    <w:t>200度，表面：采用户外用高光泽度为92%底粉末涂料，进入烤房加温至200度。可进行割、压、顶、挑、扫、散动作演练</w:t>
                  </w:r>
                </w:p>
                <w:p>
                  <w:pPr>
                    <w:pStyle w:val="null3"/>
                    <w:jc w:val="both"/>
                  </w:pPr>
                  <w:r>
                    <w:rPr>
                      <w:rFonts w:ascii="仿宋_GB2312" w:hAnsi="仿宋_GB2312" w:cs="仿宋_GB2312" w:eastAsia="仿宋_GB2312"/>
                      <w:sz w:val="24"/>
                    </w:rPr>
                    <w:t>1.“割”动作组件：每个把牌高75cm、宽40 cm、弹力约38N，4个粑牌用2m长支架连接；</w:t>
                  </w:r>
                </w:p>
                <w:p>
                  <w:pPr>
                    <w:pStyle w:val="null3"/>
                    <w:jc w:val="both"/>
                  </w:pPr>
                  <w:r>
                    <w:rPr>
                      <w:rFonts w:ascii="仿宋_GB2312" w:hAnsi="仿宋_GB2312" w:cs="仿宋_GB2312" w:eastAsia="仿宋_GB2312"/>
                      <w:sz w:val="24"/>
                    </w:rPr>
                    <w:t>2.“压”动作组件：每个 牌高95cm、宽40cm、弹力约42N,4个靶牌用2m长支架连接；</w:t>
                  </w:r>
                </w:p>
                <w:p>
                  <w:pPr>
                    <w:pStyle w:val="null3"/>
                    <w:jc w:val="both"/>
                  </w:pPr>
                  <w:r>
                    <w:rPr>
                      <w:rFonts w:ascii="仿宋_GB2312" w:hAnsi="仿宋_GB2312" w:cs="仿宋_GB2312" w:eastAsia="仿宋_GB2312"/>
                      <w:sz w:val="24"/>
                    </w:rPr>
                    <w:t>3.“顶”动作组件：每个粑牌高110 m、宽45cm、弹力约40N，4个靶牌用2.2m长支架连接；</w:t>
                  </w:r>
                </w:p>
                <w:p>
                  <w:pPr>
                    <w:pStyle w:val="null3"/>
                    <w:jc w:val="both"/>
                  </w:pPr>
                  <w:r>
                    <w:rPr>
                      <w:rFonts w:ascii="仿宋_GB2312" w:hAnsi="仿宋_GB2312" w:cs="仿宋_GB2312" w:eastAsia="仿宋_GB2312"/>
                      <w:sz w:val="24"/>
                    </w:rPr>
                    <w:t>4.“挑”动作组件：每个靶牌高90cm、宽40cm、滑道长70cm、坡度15°、力约50-100N；</w:t>
                  </w:r>
                </w:p>
                <w:p>
                  <w:pPr>
                    <w:pStyle w:val="null3"/>
                    <w:jc w:val="both"/>
                  </w:pPr>
                  <w:r>
                    <w:rPr>
                      <w:rFonts w:ascii="仿宋_GB2312" w:hAnsi="仿宋_GB2312" w:cs="仿宋_GB2312" w:eastAsia="仿宋_GB2312"/>
                      <w:sz w:val="24"/>
                    </w:rPr>
                    <w:t>5.“扫”动作组件：每个靶牌高80cm、宽40cm、滑道长90cm、坡度10°、摩擦力约50-100N,4个靶牌用2.2m长支架连接；</w:t>
                  </w:r>
                </w:p>
                <w:p>
                  <w:pPr>
                    <w:pStyle w:val="null3"/>
                    <w:jc w:val="both"/>
                  </w:pPr>
                  <w:r>
                    <w:rPr>
                      <w:rFonts w:ascii="仿宋_GB2312" w:hAnsi="仿宋_GB2312" w:cs="仿宋_GB2312" w:eastAsia="仿宋_GB2312"/>
                      <w:sz w:val="24"/>
                    </w:rPr>
                    <w:t>6.“散”动作组件：、每个把牌高159cm、弹力约45N，4个靶牌用2.2m长支架连接；</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油锯</w:t>
                  </w:r>
                </w:p>
                <w:p>
                  <w:pPr>
                    <w:pStyle w:val="null3"/>
                    <w:jc w:val="center"/>
                  </w:pPr>
                  <w:r>
                    <w:rPr>
                      <w:rFonts w:ascii="仿宋_GB2312" w:hAnsi="仿宋_GB2312" w:cs="仿宋_GB2312" w:eastAsia="仿宋_GB2312"/>
                      <w:sz w:val="19"/>
                    </w:rPr>
                    <w:t>（核心产品）</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1.发动机功率：≥2.3kw；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2.排量：≤45.4cc；</w:t>
                  </w:r>
                </w:p>
                <w:p>
                  <w:pPr>
                    <w:pStyle w:val="null3"/>
                    <w:jc w:val="both"/>
                  </w:pPr>
                  <w:r>
                    <w:rPr>
                      <w:rFonts w:ascii="仿宋_GB2312" w:hAnsi="仿宋_GB2312" w:cs="仿宋_GB2312" w:eastAsia="仿宋_GB2312"/>
                      <w:sz w:val="24"/>
                    </w:rPr>
                    <w:t>3.常温起动时间：≤  4s；</w:t>
                  </w:r>
                </w:p>
                <w:p>
                  <w:pPr>
                    <w:pStyle w:val="null3"/>
                    <w:jc w:val="both"/>
                  </w:pPr>
                  <w:r>
                    <w:rPr>
                      <w:rFonts w:ascii="仿宋_GB2312" w:hAnsi="仿宋_GB2312" w:cs="仿宋_GB2312" w:eastAsia="仿宋_GB2312"/>
                      <w:sz w:val="24"/>
                    </w:rPr>
                    <w:t>4.发动机最低燃油消耗率：≤462g/kW.h；</w:t>
                  </w:r>
                </w:p>
                <w:p>
                  <w:pPr>
                    <w:pStyle w:val="null3"/>
                    <w:jc w:val="both"/>
                  </w:pPr>
                  <w:r>
                    <w:rPr>
                      <w:rFonts w:ascii="仿宋_GB2312" w:hAnsi="仿宋_GB2312" w:cs="仿宋_GB2312" w:eastAsia="仿宋_GB2312"/>
                      <w:sz w:val="24"/>
                    </w:rPr>
                    <w:t>5.主机比质量：≤2.1kg/kW；</w:t>
                  </w:r>
                </w:p>
                <w:p>
                  <w:pPr>
                    <w:pStyle w:val="null3"/>
                    <w:jc w:val="both"/>
                  </w:pPr>
                  <w:r>
                    <w:rPr>
                      <w:rFonts w:ascii="仿宋_GB2312" w:hAnsi="仿宋_GB2312" w:cs="仿宋_GB2312" w:eastAsia="仿宋_GB2312"/>
                      <w:sz w:val="24"/>
                    </w:rPr>
                    <w:t>6.锯切效率：≥56cm²/s；</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.锯切燃油消耗率：≤67g/m²；</w:t>
                  </w:r>
                </w:p>
                <w:p>
                  <w:pPr>
                    <w:pStyle w:val="null3"/>
                    <w:jc w:val="both"/>
                  </w:pPr>
                  <w:r>
                    <w:rPr>
                      <w:rFonts w:ascii="仿宋_GB2312" w:hAnsi="仿宋_GB2312" w:cs="仿宋_GB2312" w:eastAsia="仿宋_GB2312"/>
                      <w:sz w:val="24"/>
                    </w:rPr>
                    <w:t>8.整机净质量：≤4.9kg；</w:t>
                  </w:r>
                </w:p>
                <w:p>
                  <w:pPr>
                    <w:pStyle w:val="null3"/>
                    <w:jc w:val="both"/>
                  </w:pPr>
                  <w:r>
                    <w:rPr>
                      <w:rFonts w:ascii="仿宋_GB2312" w:hAnsi="仿宋_GB2312" w:cs="仿宋_GB2312" w:eastAsia="仿宋_GB2312"/>
                      <w:sz w:val="24"/>
                    </w:rPr>
                    <w:t>9.耳旁噪声(怠速)：≤77.5db；</w:t>
                  </w:r>
                </w:p>
                <w:p>
                  <w:pPr>
                    <w:pStyle w:val="null3"/>
                    <w:jc w:val="both"/>
                  </w:pPr>
                  <w:r>
                    <w:rPr>
                      <w:rFonts w:ascii="仿宋_GB2312" w:hAnsi="仿宋_GB2312" w:cs="仿宋_GB2312" w:eastAsia="仿宋_GB2312"/>
                      <w:sz w:val="24"/>
                    </w:rPr>
                    <w:t>10.最高转速：13500r/min；</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11.手把振动：≤6.7m/s²；</w:t>
                  </w:r>
                </w:p>
                <w:p>
                  <w:pPr>
                    <w:pStyle w:val="null3"/>
                    <w:jc w:val="both"/>
                  </w:pPr>
                  <w:r>
                    <w:rPr>
                      <w:rFonts w:ascii="仿宋_GB2312" w:hAnsi="仿宋_GB2312" w:cs="仿宋_GB2312" w:eastAsia="仿宋_GB2312"/>
                      <w:sz w:val="24"/>
                    </w:rPr>
                    <w:t>12.发动机用双活塞环结构，动力持续强劲，经久耐用；</w:t>
                  </w:r>
                </w:p>
                <w:p>
                  <w:pPr>
                    <w:pStyle w:val="null3"/>
                    <w:jc w:val="both"/>
                  </w:pPr>
                  <w:r>
                    <w:rPr>
                      <w:rFonts w:ascii="仿宋_GB2312" w:hAnsi="仿宋_GB2312" w:cs="仿宋_GB2312" w:eastAsia="仿宋_GB2312"/>
                      <w:sz w:val="24"/>
                    </w:rPr>
                    <w:t>13.怠速转速3000r/min。</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背负式风力灭火机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两冲程风冷发动机，气缸排量：</w:t>
                  </w:r>
                  <w:r>
                    <w:rPr>
                      <w:rFonts w:ascii="仿宋_GB2312" w:hAnsi="仿宋_GB2312" w:cs="仿宋_GB2312" w:eastAsia="仿宋_GB2312"/>
                      <w:sz w:val="24"/>
                    </w:rPr>
                    <w:t>≥75cc；</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发动机功率</w:t>
                  </w:r>
                  <w:r>
                    <w:rPr>
                      <w:rFonts w:ascii="仿宋_GB2312" w:hAnsi="仿宋_GB2312" w:cs="仿宋_GB2312" w:eastAsia="仿宋_GB2312"/>
                      <w:sz w:val="24"/>
                    </w:rPr>
                    <w:t>:≥3.2kW；</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燃油箱容量</w:t>
                  </w:r>
                  <w:r>
                    <w:rPr>
                      <w:rFonts w:ascii="仿宋_GB2312" w:hAnsi="仿宋_GB2312" w:cs="仿宋_GB2312" w:eastAsia="仿宋_GB2312"/>
                      <w:sz w:val="24"/>
                    </w:rPr>
                    <w:t>(L)≥2.3L；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有效灭火距离</w:t>
                  </w:r>
                  <w:r>
                    <w:rPr>
                      <w:rFonts w:ascii="仿宋_GB2312" w:hAnsi="仿宋_GB2312" w:cs="仿宋_GB2312" w:eastAsia="仿宋_GB2312"/>
                      <w:sz w:val="24"/>
                    </w:rPr>
                    <w:t>≥2.2m；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出风口处风量：</w:t>
                  </w:r>
                  <w:r>
                    <w:rPr>
                      <w:rFonts w:ascii="仿宋_GB2312" w:hAnsi="仿宋_GB2312" w:cs="仿宋_GB2312" w:eastAsia="仿宋_GB2312"/>
                      <w:sz w:val="24"/>
                    </w:rPr>
                    <w:t>≥0.45m³/s；</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最大风量</w:t>
                  </w:r>
                  <w:r>
                    <w:rPr>
                      <w:rFonts w:ascii="仿宋_GB2312" w:hAnsi="仿宋_GB2312" w:cs="仿宋_GB2312" w:eastAsia="仿宋_GB2312"/>
                      <w:sz w:val="24"/>
                    </w:rPr>
                    <w:t>≥0.53m³/s；</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最大风速：</w:t>
                  </w:r>
                  <w:r>
                    <w:rPr>
                      <w:rFonts w:ascii="仿宋_GB2312" w:hAnsi="仿宋_GB2312" w:cs="仿宋_GB2312" w:eastAsia="仿宋_GB2312"/>
                      <w:sz w:val="24"/>
                    </w:rPr>
                    <w:t>≥115m/s；</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启动性能</w:t>
                  </w:r>
                  <w:r>
                    <w:rPr>
                      <w:rFonts w:ascii="仿宋_GB2312" w:hAnsi="仿宋_GB2312" w:cs="仿宋_GB2312" w:eastAsia="仿宋_GB2312"/>
                      <w:sz w:val="24"/>
                    </w:rPr>
                    <w:t>≤5s,；</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整机净重</w:t>
                  </w:r>
                  <w:r>
                    <w:rPr>
                      <w:rFonts w:ascii="仿宋_GB2312" w:hAnsi="仿宋_GB2312" w:cs="仿宋_GB2312" w:eastAsia="仿宋_GB2312"/>
                      <w:sz w:val="24"/>
                    </w:rPr>
                    <w:t>(kg)≤10.45；</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一次性加油连续工作时间</w:t>
                  </w:r>
                  <w:r>
                    <w:rPr>
                      <w:rFonts w:ascii="仿宋_GB2312" w:hAnsi="仿宋_GB2312" w:cs="仿宋_GB2312" w:eastAsia="仿宋_GB2312"/>
                      <w:sz w:val="24"/>
                    </w:rPr>
                    <w:t>≥120min；</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风管可伸缩调节；调节长度：可调节</w:t>
                  </w:r>
                  <w:r>
                    <w:rPr>
                      <w:rFonts w:ascii="仿宋_GB2312" w:hAnsi="仿宋_GB2312" w:cs="仿宋_GB2312" w:eastAsia="仿宋_GB2312"/>
                      <w:sz w:val="24"/>
                    </w:rPr>
                    <w:t>50cm；</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末端风管防火接头方式：不锈钢风管；</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装备质量：全封闭油管，背架和机器用四个弹簧连接固定。</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防灭火指挥棉服</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扑火服面料采用永久阻燃的</w:t>
                  </w:r>
                  <w:r>
                    <w:rPr>
                      <w:rFonts w:ascii="仿宋_GB2312" w:hAnsi="仿宋_GB2312" w:cs="仿宋_GB2312" w:eastAsia="仿宋_GB2312"/>
                      <w:sz w:val="24"/>
                    </w:rPr>
                    <w:t>100%防静电直贡缎全棉面料加工而成，具有阻燃、防火、防静电的功能；面料克重≥310g/㎡；面料织有静电丝；面料颜色为藏蓝色；</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款式：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1）全身标志按用户需求定制；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2）衣领可立，可于头盔、披肩结合一体形成保护。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3）贴边采用粘扣设计，经7千次使用后，仍然具有良好的扣合效果。全套服装无金属部件，以免烫伤队员。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4）上衣底摆、袖口处采用收紧式结构，有效防止灰尘进入且具有舒适性。贴边采用粘扣，裤口、裤腰处的收紧结构能适应不同腰围尺寸的人员穿着。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5）、裤子包裆处理，裤子采用双缝制，腿部有醒目的反光条。上衣、裤子外均采用双线缝制。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6）、上衣底摆、袖口处采用收紧式结构，有效防止灰尘进入且具有舒适性。贴边采用粘扣，裤口、裤腰处的收紧结构能适应不同腰围尺寸的人员穿着。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面料阻燃性能：续燃时间（</w:t>
                  </w:r>
                  <w:r>
                    <w:rPr>
                      <w:rFonts w:ascii="仿宋_GB2312" w:hAnsi="仿宋_GB2312" w:cs="仿宋_GB2312" w:eastAsia="仿宋_GB2312"/>
                      <w:sz w:val="24"/>
                    </w:rPr>
                    <w:t>s）：经向≤0、纬向≤0；阴燃时间（s）：经向≤0、纬向≤0；损毁长度（mm）：经向≤100、纬向≤100；无熔融、滴落；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面料洗涤</w:t>
                  </w:r>
                  <w:r>
                    <w:rPr>
                      <w:rFonts w:ascii="仿宋_GB2312" w:hAnsi="仿宋_GB2312" w:cs="仿宋_GB2312" w:eastAsia="仿宋_GB2312"/>
                      <w:sz w:val="24"/>
                    </w:rPr>
                    <w:t>50次后断裂强力（N/5cm×20cm）：经向≥900，纬向≥500；撕破强力（N）：经向≥35N、纬向≥35N；纤维含量：棉100%；甲醛含量（mg/kg）：≤300；</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防静电性能（</w:t>
                  </w:r>
                  <w:r>
                    <w:rPr>
                      <w:rFonts w:ascii="仿宋_GB2312" w:hAnsi="仿宋_GB2312" w:cs="仿宋_GB2312" w:eastAsia="仿宋_GB2312"/>
                      <w:sz w:val="24"/>
                    </w:rPr>
                    <w:t>μC/套）≤0.6；</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裤内侧接缝强力（</w:t>
                  </w:r>
                  <w:r>
                    <w:rPr>
                      <w:rFonts w:ascii="仿宋_GB2312" w:hAnsi="仿宋_GB2312" w:cs="仿宋_GB2312" w:eastAsia="仿宋_GB2312"/>
                      <w:sz w:val="24"/>
                    </w:rPr>
                    <w:t>N）：≥240、裤后裆接缝强力（N）：≥685、肩接缝强力（N）：≥685。</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无异味。</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防火指挥靴</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主动强制换气功能。出气孔换气孔位于鞋底两侧，具有单向逆止性，只出不进。内部具有覆盖全底的气垫，以实现自主呼吸、缓冲、助力、舒适功能。底部耐穿刺性能：采用柔性耐穿刺材料。鞋面由阻燃皮革等材料构成，防水等级：防虹吸。</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1.氧指数：皮革≥48%，面料≥32%。</w:t>
                  </w:r>
                </w:p>
                <w:p>
                  <w:pPr>
                    <w:pStyle w:val="null3"/>
                    <w:jc w:val="both"/>
                  </w:pPr>
                  <w:r>
                    <w:rPr>
                      <w:rFonts w:ascii="仿宋_GB2312" w:hAnsi="仿宋_GB2312" w:cs="仿宋_GB2312" w:eastAsia="仿宋_GB2312"/>
                      <w:sz w:val="24"/>
                    </w:rPr>
                    <w:t>2.抗穿刺：≥1100N，同时整体具有强制自排水功能。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3.换气性能：≥850升/万步。</w:t>
                  </w:r>
                </w:p>
                <w:p>
                  <w:pPr>
                    <w:pStyle w:val="null3"/>
                    <w:jc w:val="both"/>
                  </w:pPr>
                  <w:r>
                    <w:rPr>
                      <w:rFonts w:ascii="仿宋_GB2312" w:hAnsi="仿宋_GB2312" w:cs="仿宋_GB2312" w:eastAsia="仿宋_GB2312"/>
                      <w:sz w:val="24"/>
                    </w:rPr>
                    <w:t>4.防水性能：皮革：静态水压1961Pa,3h不透水，面料：静态水压1961Pa,3h不透水。</w:t>
                  </w:r>
                </w:p>
                <w:p>
                  <w:pPr>
                    <w:pStyle w:val="null3"/>
                    <w:jc w:val="both"/>
                  </w:pPr>
                  <w:r>
                    <w:rPr>
                      <w:rFonts w:ascii="仿宋_GB2312" w:hAnsi="仿宋_GB2312" w:cs="仿宋_GB2312" w:eastAsia="仿宋_GB2312"/>
                      <w:sz w:val="24"/>
                    </w:rPr>
                    <w:t>5.鞋底硬度：60-80邵尔A。</w:t>
                  </w:r>
                </w:p>
                <w:p>
                  <w:pPr>
                    <w:pStyle w:val="null3"/>
                    <w:jc w:val="both"/>
                  </w:pPr>
                  <w:r>
                    <w:rPr>
                      <w:rFonts w:ascii="仿宋_GB2312" w:hAnsi="仿宋_GB2312" w:cs="仿宋_GB2312" w:eastAsia="仿宋_GB2312"/>
                      <w:sz w:val="24"/>
                    </w:rPr>
                    <w:t>6.面料阻燃性能：续燃时间：经向≤1s、纬向≤1s；阴燃时间：经向≤1s、纬向≤1s；损毁长度:经向≤24mm、纬向≤25mm；皮革阻燃性能：续燃时间：经向≤1s、纬向≤1s；阴燃时间：经向≤1s、纬向≤1s；损毁长度:经向≤12mm、纬向≤14mm。</w:t>
                  </w:r>
                </w:p>
                <w:p>
                  <w:pPr>
                    <w:pStyle w:val="null3"/>
                    <w:jc w:val="both"/>
                  </w:pPr>
                  <w:r>
                    <w:rPr>
                      <w:rFonts w:ascii="仿宋_GB2312" w:hAnsi="仿宋_GB2312" w:cs="仿宋_GB2312" w:eastAsia="仿宋_GB2312"/>
                      <w:sz w:val="24"/>
                    </w:rPr>
                    <w:t>7.整体：由防滑橡胶大底、鞋外帮、底内防刺穿层，透气排汗的鞋垫，可调节松紧的绑带等部分组成。</w:t>
                  </w:r>
                </w:p>
                <w:p>
                  <w:pPr>
                    <w:pStyle w:val="null3"/>
                    <w:jc w:val="both"/>
                  </w:pPr>
                  <w:r>
                    <w:rPr>
                      <w:rFonts w:ascii="仿宋_GB2312" w:hAnsi="仿宋_GB2312" w:cs="仿宋_GB2312" w:eastAsia="仿宋_GB2312"/>
                      <w:sz w:val="24"/>
                    </w:rPr>
                    <w:t>8.鞋底：鞋底内部防刺穿层应覆盖整个内底，在不损坏整鞋的情况下，不能被移动。</w:t>
                  </w:r>
                </w:p>
                <w:p>
                  <w:pPr>
                    <w:pStyle w:val="null3"/>
                    <w:jc w:val="both"/>
                  </w:pPr>
                  <w:r>
                    <w:rPr>
                      <w:rFonts w:ascii="仿宋_GB2312" w:hAnsi="仿宋_GB2312" w:cs="仿宋_GB2312" w:eastAsia="仿宋_GB2312"/>
                      <w:sz w:val="24"/>
                    </w:rPr>
                    <w:t>9.气垫层：底部防刺穿层之上，有可换气的气垫层，并覆盖全脚掌，具有行走换气功能。</w:t>
                  </w:r>
                </w:p>
                <w:p>
                  <w:pPr>
                    <w:pStyle w:val="null3"/>
                    <w:jc w:val="both"/>
                  </w:pPr>
                  <w:r>
                    <w:rPr>
                      <w:rFonts w:ascii="仿宋_GB2312" w:hAnsi="仿宋_GB2312" w:cs="仿宋_GB2312" w:eastAsia="仿宋_GB2312"/>
                      <w:sz w:val="24"/>
                    </w:rPr>
                    <w:t>10.气孔：底部两侧均设有单向排气孔。</w:t>
                  </w:r>
                </w:p>
                <w:p>
                  <w:pPr>
                    <w:pStyle w:val="null3"/>
                    <w:jc w:val="both"/>
                  </w:pPr>
                  <w:r>
                    <w:rPr>
                      <w:rFonts w:ascii="仿宋_GB2312" w:hAnsi="仿宋_GB2312" w:cs="仿宋_GB2312" w:eastAsia="仿宋_GB2312"/>
                      <w:sz w:val="24"/>
                    </w:rPr>
                    <w:t>11.大底与帮面缝制：大底与帮面结合采用胶粘和线缝同用的方法。</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强光手电</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额定电压</w:t>
                  </w:r>
                  <w:r>
                    <w:rPr>
                      <w:rFonts w:ascii="仿宋_GB2312" w:hAnsi="仿宋_GB2312" w:cs="仿宋_GB2312" w:eastAsia="仿宋_GB2312"/>
                      <w:sz w:val="24"/>
                    </w:rPr>
                    <w:t>≥DC3.7V</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额定容量</w:t>
                  </w:r>
                  <w:r>
                    <w:rPr>
                      <w:rFonts w:ascii="仿宋_GB2312" w:hAnsi="仿宋_GB2312" w:cs="仿宋_GB2312" w:eastAsia="仿宋_GB2312"/>
                      <w:sz w:val="24"/>
                    </w:rPr>
                    <w:t>≥2200mAh</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额定功率（</w:t>
                  </w:r>
                  <w:r>
                    <w:rPr>
                      <w:rFonts w:ascii="仿宋_GB2312" w:hAnsi="仿宋_GB2312" w:cs="仿宋_GB2312" w:eastAsia="仿宋_GB2312"/>
                      <w:sz w:val="24"/>
                    </w:rPr>
                    <w:t>LED）≥3W</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光源（</w:t>
                  </w:r>
                  <w:r>
                    <w:rPr>
                      <w:rFonts w:ascii="仿宋_GB2312" w:hAnsi="仿宋_GB2312" w:cs="仿宋_GB2312" w:eastAsia="仿宋_GB2312"/>
                      <w:sz w:val="24"/>
                    </w:rPr>
                    <w:t>LED）平均使用寿命≥100000h</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连续放电时间</w:t>
                  </w:r>
                  <w:r>
                    <w:rPr>
                      <w:rFonts w:ascii="仿宋_GB2312" w:hAnsi="仿宋_GB2312" w:cs="仿宋_GB2312" w:eastAsia="仿宋_GB2312"/>
                      <w:sz w:val="24"/>
                    </w:rPr>
                    <w:t>≥8h（强光）/16h（工作光）/32h（频闪）</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充电时间</w:t>
                  </w:r>
                  <w:r>
                    <w:rPr>
                      <w:rFonts w:ascii="仿宋_GB2312" w:hAnsi="仿宋_GB2312" w:cs="仿宋_GB2312" w:eastAsia="仿宋_GB2312"/>
                      <w:sz w:val="24"/>
                    </w:rPr>
                    <w:t>≤5h</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电池使用寿命</w:t>
                  </w:r>
                  <w:r>
                    <w:rPr>
                      <w:rFonts w:ascii="仿宋_GB2312" w:hAnsi="仿宋_GB2312" w:cs="仿宋_GB2312" w:eastAsia="仿宋_GB2312"/>
                      <w:sz w:val="24"/>
                    </w:rPr>
                    <w:t>≥1000（循环）</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外形尺寸</w:t>
                  </w:r>
                  <w:r>
                    <w:rPr>
                      <w:rFonts w:ascii="仿宋_GB2312" w:hAnsi="仿宋_GB2312" w:cs="仿宋_GB2312" w:eastAsia="仿宋_GB2312"/>
                      <w:sz w:val="24"/>
                    </w:rPr>
                    <w:t>≤32×138mm(直径×长度)</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重量</w:t>
                  </w:r>
                  <w:r>
                    <w:rPr>
                      <w:rFonts w:ascii="仿宋_GB2312" w:hAnsi="仿宋_GB2312" w:cs="仿宋_GB2312" w:eastAsia="仿宋_GB2312"/>
                      <w:sz w:val="24"/>
                    </w:rPr>
                    <w:t>≤0.15kg</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外壳防护等级</w:t>
                  </w:r>
                  <w:r>
                    <w:rPr>
                      <w:rFonts w:ascii="仿宋_GB2312" w:hAnsi="仿宋_GB2312" w:cs="仿宋_GB2312" w:eastAsia="仿宋_GB2312"/>
                      <w:sz w:val="24"/>
                    </w:rPr>
                    <w:t>≥IP68</w:t>
                  </w:r>
                  <w:r>
                    <w:rPr>
                      <w:rFonts w:ascii="仿宋_GB2312" w:hAnsi="仿宋_GB2312" w:cs="仿宋_GB2312" w:eastAsia="仿宋_GB2312"/>
                      <w:sz w:val="24"/>
                    </w:rPr>
                    <w:t>。</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进度款，所有货物在规定时间内送至采购人指定地点，并经采购人验收合格后，达到付款条件起10个工作日内，支付合同总金额的60.0%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根据国办发〔2025〕34号《国务院办公厅关于在政府采购中实施本国产品标准及相关政策的通知》、陕财办采〔2026〕2号《陕西省财政厅关于在政府采购活动中实施本国产品标准及相关政策的通知》。本项目采购含有多种产品，若供应商为本项目提供的符合本国产品标准的产品成本之和占本次提供的全部产品成本之和的比例达到80%以上时，依法对该供应商提供的全部产品给予价格评审优惠，即对该供应商提供的全部产品的总报价给予20%的价格扣除，用扣除后的价格参与评审。以供应商提供的“关于符合本国产品标准的声明函”为准。此项价格扣除与中小企业声明函价格扣除可同时生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备独立承担民事责任的能力：提供法人或者其他组织的营业执照等证明文件，自然人的身份证明；2、提供2025年5月至今任意一个月依法缴纳税收和社会保障资金的相关材料；3、提供具有履行合同所必需的设备和专业技术能力的承诺；4、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提供具有财务审计资质单位出具的2024或2025年度财务报告（成立时间至开标时间不足一年的可提供成立后任意时段的资产负债表）或2025年4月份至今基本账户银行出具的资信证明。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提供法定代表人授权委托书（附法定代表人、被授权人身份证复印件）；法定代表人直接参加投标，须提供法定代表人证明书（附法定代表人身份证复印件）。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有法定代表人或其委托代理人签字或盖章并加盖单位公章。由委托代理人签字或盖章，出具有效的授权委托书及被授权人身份证。由法定代表人签字或盖章的，应附法定代表人身份证明。</w:t>
            </w:r>
          </w:p>
        </w:tc>
        <w:tc>
          <w:tcPr>
            <w:tcW w:type="dxa" w:w="1661"/>
          </w:tcPr>
          <w:p>
            <w:pPr>
              <w:pStyle w:val="null3"/>
            </w:pPr>
            <w:r>
              <w:rPr>
                <w:rFonts w:ascii="仿宋_GB2312" w:hAnsi="仿宋_GB2312" w:cs="仿宋_GB2312" w:eastAsia="仿宋_GB2312"/>
              </w:rPr>
              <w:t>开标一览表 本国产品说明 中小企业声明函 企业业绩.docx 技术部分.docx 分项报价表.docx 投标人应提交的相关资格证明材料.docx 投标函 残疾人福利性单位声明函 标的清单 关于符合本国产品标准的声明函 投标文件封面 商务偏离表.docx 技术规格偏离表.docx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所投产品技术参数清楚，明确并能逐条响应招标文件“第三章 招标项目技术、服务、商务及其他要求”3.3技术要求中所有技术参数要求，得20分。标记“▲”的技术参数每负偏离一项扣1分，“#”的技术参数每负偏离一项扣0.5分。带“▲”项参数须提供第三方有检测资质的机构出具带有CMA标志的检测报告加以佐证，“#”项须提供相关技术支持材料，技术支持材料不限于产品宣传彩页或官网截图或产品检测报告或产品说明书等证明资料，不提供或不能证明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投标人针对本项目提供完整的项目实施方案。内容包含 ：①供货组织安排②实施计划及进度计划③物力调配及保障措施④针对可能出现的各类突发情况提供应急解决方案。 评审标准：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20分，其中每有一项内容存在缺项或漏项的扣5分，每项内容中每有一处存在缺陷的扣1分，该项分值扣完为止，未提供不得分。 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根据项目实际需求，提供质量保证方案。内容包含①产品性能、使用寿命及效果②运输成品保护方案③计划保证措施④运输时效⑤质量保证措施。 评审标准：根据完整性：内容必须全面，对评审内容中的各项要求有详细描述；可实施性：切合本项目实际情况，提出清晰、合理的内容；针对性：内容能够紧扣项目实际情况，内容科学合理提供相应方案，以上5项内容无缺项、无漏项且无缺陷的得10分，其中每有一项内容存在缺项或漏项的扣2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根据项目实际需求提供售后服务方案。内容包含：①服务范围及保障措施②售后服务团队人员配备方案③售后服务体系及方式。 评审标准：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供应商提供2023年5月至今具有类似项目业绩；投标文件中需附合同复印件并加盖公章，以合同签订时间为准。每提供1个得1分，满分3分。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1.满足招标文件实质性要求且最终报价最低的供应商的价格为投标基准价，其价格分为满分35分。 2.投标报价得分=（投标基准价/最终投标报价）×35的公式计算得分。 3.投标报价不完整的，不进入评标标准价的计算，本项得0分。 4.经评评标小组一致认定，超过预算金额,其响应将被拒绝。</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