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投标人</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）提供具有财务审计资质单位出具的2024</w:t>
      </w:r>
      <w:r>
        <w:rPr>
          <w:rFonts w:hint="eastAsia" w:ascii="宋体" w:hAnsi="宋体" w:cs="宋体"/>
          <w:color w:val="auto"/>
          <w:sz w:val="21"/>
          <w:szCs w:val="21"/>
          <w:lang w:val="en-US" w:eastAsia="zh-CN"/>
        </w:rPr>
        <w:t>或2025</w:t>
      </w:r>
      <w:r>
        <w:rPr>
          <w:rFonts w:hint="eastAsia" w:ascii="宋体" w:hAnsi="宋体" w:eastAsia="宋体" w:cs="宋体"/>
          <w:color w:val="auto"/>
          <w:sz w:val="21"/>
          <w:szCs w:val="21"/>
          <w:lang w:val="zh-CN" w:eastAsia="zh-CN"/>
        </w:rPr>
        <w:t>年度财务报告（成立时间至开标时间不足一年的可提供成立后任意时段的资产负债表）或2025年</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zh-CN" w:eastAsia="zh-CN"/>
        </w:rPr>
        <w:t>月份至今基本账户银行出具的资信证明；</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月份至今任意一个月依法缴纳税收和社会保障资金的相关材料；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val="zh-CN" w:eastAsia="zh-CN"/>
        </w:rPr>
        <w:t>）具备履行合同所必需的设备和专业技术能力的证明材料：提供承诺书；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33931270">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D3E2B"/>
    <w:rsid w:val="1EE918A3"/>
    <w:rsid w:val="20AC17EB"/>
    <w:rsid w:val="25F64B8B"/>
    <w:rsid w:val="26223268"/>
    <w:rsid w:val="5C05723B"/>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1717</Words>
  <Characters>1823</Characters>
  <Lines>0</Lines>
  <Paragraphs>0</Paragraphs>
  <TotalTime>4</TotalTime>
  <ScaleCrop>false</ScaleCrop>
  <LinksUpToDate>false</LinksUpToDate>
  <CharactersWithSpaces>2339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蒲公瑛</cp:lastModifiedBy>
  <dcterms:modified xsi:type="dcterms:W3CDTF">2026-05-27T09:31:56Z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eyJoZGlkIjoiMjMyMjQ3NWZiMzY3ZGRlYWM4ZTc5M2RlNjk3ZDU4ODQiLCJ1c2VySWQiOiIyNjczNDI4MzEifQ==</vt:lpwstr>
  </property>
  <property fmtid="{D5CDD505-2E9C-101B-9397-08002B2CF9AE}" pid="4" name="ICV">
    <vt:lpwstr>00DF8EC9539446228B286234A287414B_12</vt:lpwstr>
  </property>
</Properties>
</file>