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C93AEA">
      <w:pPr>
        <w:pStyle w:val="4"/>
        <w:jc w:val="center"/>
        <w:outlineLvl w:val="1"/>
        <w:rPr>
          <w:rFonts w:hint="eastAsia" w:ascii="仿宋" w:hAnsi="仿宋" w:eastAsia="仿宋" w:cs="仿宋"/>
          <w:sz w:val="24"/>
          <w:szCs w:val="24"/>
        </w:rPr>
      </w:pPr>
      <w:r>
        <w:rPr>
          <w:rFonts w:hint="eastAsia" w:ascii="仿宋" w:hAnsi="仿宋" w:eastAsia="仿宋" w:cs="仿宋"/>
          <w:b/>
          <w:sz w:val="24"/>
          <w:szCs w:val="24"/>
        </w:rPr>
        <w:t>第三章 磋商项目技术、服务、商务及其他要求</w:t>
      </w:r>
    </w:p>
    <w:p w14:paraId="1B369197">
      <w:pPr>
        <w:pStyle w:val="4"/>
        <w:ind w:firstLine="480"/>
        <w:rPr>
          <w:rFonts w:hint="eastAsia" w:ascii="仿宋" w:hAnsi="仿宋" w:eastAsia="仿宋" w:cs="仿宋"/>
          <w:sz w:val="24"/>
          <w:szCs w:val="24"/>
        </w:rPr>
      </w:pPr>
      <w:r>
        <w:rPr>
          <w:rFonts w:hint="eastAsia" w:ascii="仿宋" w:hAnsi="仿宋" w:eastAsia="仿宋" w:cs="仿宋"/>
          <w:sz w:val="24"/>
          <w:szCs w:val="24"/>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3B156414">
      <w:pPr>
        <w:pStyle w:val="4"/>
        <w:outlineLvl w:val="2"/>
        <w:rPr>
          <w:rFonts w:hint="eastAsia" w:ascii="仿宋" w:hAnsi="仿宋" w:eastAsia="仿宋" w:cs="仿宋"/>
          <w:sz w:val="24"/>
          <w:szCs w:val="24"/>
        </w:rPr>
      </w:pPr>
      <w:r>
        <w:rPr>
          <w:rFonts w:hint="eastAsia" w:ascii="仿宋" w:hAnsi="仿宋" w:eastAsia="仿宋" w:cs="仿宋"/>
          <w:b/>
          <w:sz w:val="24"/>
          <w:szCs w:val="24"/>
        </w:rPr>
        <w:t>3.1采购项目概况</w:t>
      </w:r>
      <w:bookmarkStart w:id="2" w:name="_GoBack"/>
      <w:bookmarkEnd w:id="2"/>
    </w:p>
    <w:p w14:paraId="7D4A29DD">
      <w:pPr>
        <w:pStyle w:val="4"/>
        <w:ind w:firstLine="480"/>
        <w:rPr>
          <w:rFonts w:hint="eastAsia" w:ascii="仿宋" w:hAnsi="仿宋" w:eastAsia="仿宋" w:cs="仿宋"/>
          <w:sz w:val="24"/>
          <w:szCs w:val="24"/>
        </w:rPr>
      </w:pPr>
      <w:r>
        <w:rPr>
          <w:rFonts w:hint="eastAsia" w:ascii="仿宋" w:hAnsi="仿宋" w:eastAsia="仿宋" w:cs="仿宋"/>
          <w:sz w:val="24"/>
          <w:szCs w:val="24"/>
        </w:rPr>
        <w:t>西安市儿童医院商用密码改造，服务期三年。</w:t>
      </w:r>
    </w:p>
    <w:p w14:paraId="1527F673">
      <w:pPr>
        <w:pStyle w:val="4"/>
        <w:outlineLvl w:val="2"/>
        <w:rPr>
          <w:rFonts w:hint="eastAsia" w:ascii="仿宋" w:hAnsi="仿宋" w:eastAsia="仿宋" w:cs="仿宋"/>
          <w:sz w:val="24"/>
          <w:szCs w:val="24"/>
        </w:rPr>
      </w:pPr>
      <w:r>
        <w:rPr>
          <w:rFonts w:hint="eastAsia" w:ascii="仿宋" w:hAnsi="仿宋" w:eastAsia="仿宋" w:cs="仿宋"/>
          <w:b/>
          <w:sz w:val="24"/>
          <w:szCs w:val="24"/>
        </w:rPr>
        <w:t>3.2服务内容及服务要求</w:t>
      </w:r>
    </w:p>
    <w:p w14:paraId="2B2BBF06">
      <w:pPr>
        <w:pStyle w:val="4"/>
        <w:outlineLvl w:val="3"/>
        <w:rPr>
          <w:rFonts w:hint="eastAsia" w:ascii="仿宋" w:hAnsi="仿宋" w:eastAsia="仿宋" w:cs="仿宋"/>
          <w:sz w:val="24"/>
          <w:szCs w:val="24"/>
        </w:rPr>
      </w:pPr>
      <w:r>
        <w:rPr>
          <w:rFonts w:hint="eastAsia" w:ascii="仿宋" w:hAnsi="仿宋" w:eastAsia="仿宋" w:cs="仿宋"/>
          <w:b/>
          <w:sz w:val="24"/>
          <w:szCs w:val="24"/>
        </w:rPr>
        <w:t>3.2.1服务内容</w:t>
      </w:r>
    </w:p>
    <w:p w14:paraId="18BBF1DF">
      <w:pPr>
        <w:pStyle w:val="4"/>
        <w:rPr>
          <w:rFonts w:hint="eastAsia" w:ascii="仿宋" w:hAnsi="仿宋" w:eastAsia="仿宋" w:cs="仿宋"/>
          <w:sz w:val="24"/>
          <w:szCs w:val="24"/>
        </w:rPr>
      </w:pPr>
      <w:r>
        <w:rPr>
          <w:rFonts w:hint="eastAsia" w:ascii="仿宋" w:hAnsi="仿宋" w:eastAsia="仿宋" w:cs="仿宋"/>
          <w:sz w:val="24"/>
          <w:szCs w:val="24"/>
        </w:rPr>
        <w:t>采购包1：</w:t>
      </w:r>
    </w:p>
    <w:p w14:paraId="2C10CA5C">
      <w:pPr>
        <w:pStyle w:val="4"/>
        <w:rPr>
          <w:rFonts w:hint="eastAsia" w:ascii="仿宋" w:hAnsi="仿宋" w:eastAsia="仿宋" w:cs="仿宋"/>
          <w:sz w:val="24"/>
          <w:szCs w:val="24"/>
        </w:rPr>
      </w:pPr>
      <w:r>
        <w:rPr>
          <w:rFonts w:hint="eastAsia" w:ascii="仿宋" w:hAnsi="仿宋" w:eastAsia="仿宋" w:cs="仿宋"/>
          <w:sz w:val="24"/>
          <w:szCs w:val="24"/>
        </w:rPr>
        <w:t xml:space="preserve">采购包预算金额（元）: </w:t>
      </w:r>
      <w:r>
        <w:rPr>
          <w:rFonts w:hint="eastAsia" w:ascii="仿宋" w:hAnsi="仿宋" w:eastAsia="仿宋" w:cs="仿宋"/>
          <w:sz w:val="24"/>
          <w:szCs w:val="24"/>
          <w:lang w:val="en-US" w:eastAsia="zh-CN"/>
        </w:rPr>
        <w:t>95</w:t>
      </w:r>
      <w:r>
        <w:rPr>
          <w:rFonts w:hint="eastAsia" w:ascii="仿宋" w:hAnsi="仿宋" w:eastAsia="仿宋" w:cs="仿宋"/>
          <w:sz w:val="24"/>
          <w:szCs w:val="24"/>
        </w:rPr>
        <w:t>0,000.00</w:t>
      </w:r>
    </w:p>
    <w:p w14:paraId="19B27363">
      <w:pPr>
        <w:pStyle w:val="4"/>
        <w:rPr>
          <w:rFonts w:hint="eastAsia" w:ascii="仿宋" w:hAnsi="仿宋" w:eastAsia="仿宋" w:cs="仿宋"/>
          <w:sz w:val="24"/>
          <w:szCs w:val="24"/>
        </w:rPr>
      </w:pPr>
      <w:r>
        <w:rPr>
          <w:rFonts w:hint="eastAsia" w:ascii="仿宋" w:hAnsi="仿宋" w:eastAsia="仿宋" w:cs="仿宋"/>
          <w:sz w:val="24"/>
          <w:szCs w:val="24"/>
        </w:rPr>
        <w:t xml:space="preserve">采购包最高限价（元）: </w:t>
      </w:r>
      <w:r>
        <w:rPr>
          <w:rFonts w:hint="eastAsia" w:ascii="仿宋" w:hAnsi="仿宋" w:eastAsia="仿宋" w:cs="仿宋"/>
          <w:sz w:val="24"/>
          <w:szCs w:val="24"/>
          <w:lang w:val="en-US" w:eastAsia="zh-CN"/>
        </w:rPr>
        <w:t>95</w:t>
      </w:r>
      <w:r>
        <w:rPr>
          <w:rFonts w:hint="eastAsia" w:ascii="仿宋" w:hAnsi="仿宋" w:eastAsia="仿宋" w:cs="仿宋"/>
          <w:sz w:val="24"/>
          <w:szCs w:val="24"/>
        </w:rPr>
        <w:t>0,000.00</w:t>
      </w:r>
    </w:p>
    <w:p w14:paraId="2309A373">
      <w:pPr>
        <w:pStyle w:val="4"/>
        <w:rPr>
          <w:rFonts w:hint="eastAsia" w:ascii="仿宋" w:hAnsi="仿宋" w:eastAsia="仿宋" w:cs="仿宋"/>
          <w:sz w:val="24"/>
          <w:szCs w:val="24"/>
        </w:rPr>
      </w:pPr>
      <w:r>
        <w:rPr>
          <w:rFonts w:hint="eastAsia" w:ascii="仿宋" w:hAnsi="仿宋" w:eastAsia="仿宋" w:cs="仿宋"/>
          <w:sz w:val="24"/>
          <w:szCs w:val="24"/>
        </w:rPr>
        <w:t>供应商报价不允许超过标的金额</w:t>
      </w:r>
    </w:p>
    <w:p w14:paraId="410CB0B1">
      <w:pPr>
        <w:pStyle w:val="4"/>
        <w:rPr>
          <w:rFonts w:hint="eastAsia" w:ascii="仿宋" w:hAnsi="仿宋" w:eastAsia="仿宋" w:cs="仿宋"/>
          <w:sz w:val="24"/>
          <w:szCs w:val="24"/>
        </w:rPr>
      </w:pPr>
      <w:r>
        <w:rPr>
          <w:rFonts w:hint="eastAsia" w:ascii="仿宋" w:hAnsi="仿宋" w:eastAsia="仿宋" w:cs="仿宋"/>
          <w:sz w:val="24"/>
          <w:szCs w:val="24"/>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6"/>
        <w:gridCol w:w="706"/>
        <w:gridCol w:w="745"/>
        <w:gridCol w:w="1416"/>
        <w:gridCol w:w="707"/>
        <w:gridCol w:w="707"/>
        <w:gridCol w:w="707"/>
        <w:gridCol w:w="707"/>
        <w:gridCol w:w="707"/>
        <w:gridCol w:w="707"/>
        <w:gridCol w:w="707"/>
      </w:tblGrid>
      <w:tr w14:paraId="171F75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2C1B4E6B">
            <w:pPr>
              <w:pStyle w:val="4"/>
              <w:rPr>
                <w:rFonts w:hint="eastAsia" w:ascii="仿宋" w:hAnsi="仿宋" w:eastAsia="仿宋" w:cs="仿宋"/>
                <w:sz w:val="24"/>
                <w:szCs w:val="24"/>
              </w:rPr>
            </w:pPr>
            <w:r>
              <w:rPr>
                <w:rFonts w:hint="eastAsia" w:ascii="仿宋" w:hAnsi="仿宋" w:eastAsia="仿宋" w:cs="仿宋"/>
                <w:sz w:val="24"/>
                <w:szCs w:val="24"/>
              </w:rPr>
              <w:t>序号</w:t>
            </w:r>
          </w:p>
        </w:tc>
        <w:tc>
          <w:tcPr>
            <w:tcW w:w="755" w:type="dxa"/>
          </w:tcPr>
          <w:p w14:paraId="3314F6B9">
            <w:pPr>
              <w:pStyle w:val="4"/>
              <w:rPr>
                <w:rFonts w:hint="eastAsia" w:ascii="仿宋" w:hAnsi="仿宋" w:eastAsia="仿宋" w:cs="仿宋"/>
                <w:sz w:val="24"/>
                <w:szCs w:val="24"/>
              </w:rPr>
            </w:pPr>
            <w:r>
              <w:rPr>
                <w:rFonts w:hint="eastAsia" w:ascii="仿宋" w:hAnsi="仿宋" w:eastAsia="仿宋" w:cs="仿宋"/>
                <w:sz w:val="24"/>
                <w:szCs w:val="24"/>
              </w:rPr>
              <w:t>标的名称</w:t>
            </w:r>
          </w:p>
        </w:tc>
        <w:tc>
          <w:tcPr>
            <w:tcW w:w="755" w:type="dxa"/>
          </w:tcPr>
          <w:p w14:paraId="31C86F28">
            <w:pPr>
              <w:pStyle w:val="4"/>
              <w:rPr>
                <w:rFonts w:hint="eastAsia" w:ascii="仿宋" w:hAnsi="仿宋" w:eastAsia="仿宋" w:cs="仿宋"/>
                <w:sz w:val="24"/>
                <w:szCs w:val="24"/>
              </w:rPr>
            </w:pPr>
            <w:r>
              <w:rPr>
                <w:rFonts w:hint="eastAsia" w:ascii="仿宋" w:hAnsi="仿宋" w:eastAsia="仿宋" w:cs="仿宋"/>
                <w:sz w:val="24"/>
                <w:szCs w:val="24"/>
              </w:rPr>
              <w:t>数量</w:t>
            </w:r>
          </w:p>
        </w:tc>
        <w:tc>
          <w:tcPr>
            <w:tcW w:w="755" w:type="dxa"/>
          </w:tcPr>
          <w:p w14:paraId="294CB1D8">
            <w:pPr>
              <w:pStyle w:val="4"/>
              <w:rPr>
                <w:rFonts w:hint="eastAsia" w:ascii="仿宋" w:hAnsi="仿宋" w:eastAsia="仿宋" w:cs="仿宋"/>
                <w:sz w:val="24"/>
                <w:szCs w:val="24"/>
              </w:rPr>
            </w:pPr>
            <w:r>
              <w:rPr>
                <w:rFonts w:hint="eastAsia" w:ascii="仿宋" w:hAnsi="仿宋" w:eastAsia="仿宋" w:cs="仿宋"/>
                <w:sz w:val="24"/>
                <w:szCs w:val="24"/>
              </w:rPr>
              <w:t>标的金额 （元）</w:t>
            </w:r>
          </w:p>
        </w:tc>
        <w:tc>
          <w:tcPr>
            <w:tcW w:w="755" w:type="dxa"/>
          </w:tcPr>
          <w:p w14:paraId="3C3A692A">
            <w:pPr>
              <w:pStyle w:val="4"/>
              <w:rPr>
                <w:rFonts w:hint="eastAsia" w:ascii="仿宋" w:hAnsi="仿宋" w:eastAsia="仿宋" w:cs="仿宋"/>
                <w:sz w:val="24"/>
                <w:szCs w:val="24"/>
              </w:rPr>
            </w:pPr>
            <w:r>
              <w:rPr>
                <w:rFonts w:hint="eastAsia" w:ascii="仿宋" w:hAnsi="仿宋" w:eastAsia="仿宋" w:cs="仿宋"/>
                <w:sz w:val="24"/>
                <w:szCs w:val="24"/>
              </w:rPr>
              <w:t>计量单位</w:t>
            </w:r>
          </w:p>
        </w:tc>
        <w:tc>
          <w:tcPr>
            <w:tcW w:w="755" w:type="dxa"/>
          </w:tcPr>
          <w:p w14:paraId="75247ED9">
            <w:pPr>
              <w:pStyle w:val="4"/>
              <w:rPr>
                <w:rFonts w:hint="eastAsia" w:ascii="仿宋" w:hAnsi="仿宋" w:eastAsia="仿宋" w:cs="仿宋"/>
                <w:sz w:val="24"/>
                <w:szCs w:val="24"/>
              </w:rPr>
            </w:pPr>
            <w:r>
              <w:rPr>
                <w:rFonts w:hint="eastAsia" w:ascii="仿宋" w:hAnsi="仿宋" w:eastAsia="仿宋" w:cs="仿宋"/>
                <w:sz w:val="24"/>
                <w:szCs w:val="24"/>
              </w:rPr>
              <w:t>所属行业</w:t>
            </w:r>
          </w:p>
        </w:tc>
        <w:tc>
          <w:tcPr>
            <w:tcW w:w="755" w:type="dxa"/>
          </w:tcPr>
          <w:p w14:paraId="79830ED4">
            <w:pPr>
              <w:pStyle w:val="4"/>
              <w:rPr>
                <w:rFonts w:hint="eastAsia" w:ascii="仿宋" w:hAnsi="仿宋" w:eastAsia="仿宋" w:cs="仿宋"/>
                <w:sz w:val="24"/>
                <w:szCs w:val="24"/>
              </w:rPr>
            </w:pPr>
            <w:r>
              <w:rPr>
                <w:rFonts w:hint="eastAsia" w:ascii="仿宋" w:hAnsi="仿宋" w:eastAsia="仿宋" w:cs="仿宋"/>
                <w:sz w:val="24"/>
                <w:szCs w:val="24"/>
              </w:rPr>
              <w:t>是否核心产品</w:t>
            </w:r>
          </w:p>
        </w:tc>
        <w:tc>
          <w:tcPr>
            <w:tcW w:w="755" w:type="dxa"/>
          </w:tcPr>
          <w:p w14:paraId="72CDAB3D">
            <w:pPr>
              <w:pStyle w:val="4"/>
              <w:rPr>
                <w:rFonts w:hint="eastAsia" w:ascii="仿宋" w:hAnsi="仿宋" w:eastAsia="仿宋" w:cs="仿宋"/>
                <w:sz w:val="24"/>
                <w:szCs w:val="24"/>
              </w:rPr>
            </w:pPr>
            <w:r>
              <w:rPr>
                <w:rFonts w:hint="eastAsia" w:ascii="仿宋" w:hAnsi="仿宋" w:eastAsia="仿宋" w:cs="仿宋"/>
                <w:sz w:val="24"/>
                <w:szCs w:val="24"/>
              </w:rPr>
              <w:t>是否允许进口产品</w:t>
            </w:r>
          </w:p>
        </w:tc>
        <w:tc>
          <w:tcPr>
            <w:tcW w:w="755" w:type="dxa"/>
          </w:tcPr>
          <w:p w14:paraId="7FC57130">
            <w:pPr>
              <w:pStyle w:val="4"/>
              <w:rPr>
                <w:rFonts w:hint="eastAsia" w:ascii="仿宋" w:hAnsi="仿宋" w:eastAsia="仿宋" w:cs="仿宋"/>
                <w:sz w:val="24"/>
                <w:szCs w:val="24"/>
              </w:rPr>
            </w:pPr>
            <w:r>
              <w:rPr>
                <w:rFonts w:hint="eastAsia" w:ascii="仿宋" w:hAnsi="仿宋" w:eastAsia="仿宋" w:cs="仿宋"/>
                <w:sz w:val="24"/>
                <w:szCs w:val="24"/>
              </w:rPr>
              <w:t>是否属于节能产品</w:t>
            </w:r>
          </w:p>
        </w:tc>
        <w:tc>
          <w:tcPr>
            <w:tcW w:w="755" w:type="dxa"/>
          </w:tcPr>
          <w:p w14:paraId="26822B1F">
            <w:pPr>
              <w:pStyle w:val="4"/>
              <w:rPr>
                <w:rFonts w:hint="eastAsia" w:ascii="仿宋" w:hAnsi="仿宋" w:eastAsia="仿宋" w:cs="仿宋"/>
                <w:sz w:val="24"/>
                <w:szCs w:val="24"/>
              </w:rPr>
            </w:pPr>
            <w:r>
              <w:rPr>
                <w:rFonts w:hint="eastAsia" w:ascii="仿宋" w:hAnsi="仿宋" w:eastAsia="仿宋" w:cs="仿宋"/>
                <w:sz w:val="24"/>
                <w:szCs w:val="24"/>
              </w:rPr>
              <w:t>是否属于环境标志产品</w:t>
            </w:r>
          </w:p>
        </w:tc>
        <w:tc>
          <w:tcPr>
            <w:tcW w:w="755" w:type="dxa"/>
          </w:tcPr>
          <w:p w14:paraId="1FAEE2B9">
            <w:pPr>
              <w:pStyle w:val="4"/>
              <w:rPr>
                <w:rFonts w:hint="eastAsia" w:ascii="仿宋" w:hAnsi="仿宋" w:eastAsia="仿宋" w:cs="仿宋"/>
                <w:sz w:val="24"/>
                <w:szCs w:val="24"/>
              </w:rPr>
            </w:pPr>
            <w:r>
              <w:rPr>
                <w:rFonts w:hint="eastAsia" w:ascii="仿宋" w:hAnsi="仿宋" w:eastAsia="仿宋" w:cs="仿宋"/>
                <w:sz w:val="24"/>
                <w:szCs w:val="24"/>
              </w:rPr>
              <w:t>是否实施本国产品政策</w:t>
            </w:r>
          </w:p>
        </w:tc>
      </w:tr>
      <w:tr w14:paraId="4F5F46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01DA3997">
            <w:pPr>
              <w:pStyle w:val="4"/>
              <w:rPr>
                <w:rFonts w:hint="eastAsia" w:ascii="仿宋" w:hAnsi="仿宋" w:eastAsia="仿宋" w:cs="仿宋"/>
                <w:sz w:val="24"/>
                <w:szCs w:val="24"/>
              </w:rPr>
            </w:pPr>
            <w:r>
              <w:rPr>
                <w:rFonts w:hint="eastAsia" w:ascii="仿宋" w:hAnsi="仿宋" w:eastAsia="仿宋" w:cs="仿宋"/>
                <w:sz w:val="24"/>
                <w:szCs w:val="24"/>
              </w:rPr>
              <w:t>1</w:t>
            </w:r>
          </w:p>
        </w:tc>
        <w:tc>
          <w:tcPr>
            <w:tcW w:w="755" w:type="dxa"/>
          </w:tcPr>
          <w:p w14:paraId="0FDCAEC4">
            <w:pPr>
              <w:pStyle w:val="4"/>
              <w:rPr>
                <w:rFonts w:hint="eastAsia" w:ascii="仿宋" w:hAnsi="仿宋" w:eastAsia="仿宋" w:cs="仿宋"/>
                <w:sz w:val="24"/>
                <w:szCs w:val="24"/>
              </w:rPr>
            </w:pPr>
            <w:r>
              <w:rPr>
                <w:rFonts w:hint="eastAsia" w:ascii="仿宋" w:hAnsi="仿宋" w:eastAsia="仿宋" w:cs="仿宋"/>
                <w:sz w:val="24"/>
                <w:szCs w:val="24"/>
                <w:lang w:val="en-US" w:eastAsia="zh-CN"/>
              </w:rPr>
              <w:t xml:space="preserve">商用密码 </w:t>
            </w:r>
          </w:p>
          <w:p w14:paraId="6EBE5365">
            <w:pPr>
              <w:pStyle w:val="4"/>
              <w:rPr>
                <w:rFonts w:hint="eastAsia" w:ascii="仿宋" w:hAnsi="仿宋" w:eastAsia="仿宋" w:cs="仿宋"/>
                <w:sz w:val="24"/>
                <w:szCs w:val="24"/>
              </w:rPr>
            </w:pPr>
            <w:r>
              <w:rPr>
                <w:rFonts w:hint="eastAsia" w:ascii="仿宋" w:hAnsi="仿宋" w:eastAsia="仿宋" w:cs="仿宋"/>
                <w:sz w:val="24"/>
                <w:szCs w:val="24"/>
                <w:lang w:val="en-US" w:eastAsia="zh-CN"/>
              </w:rPr>
              <w:t>改造</w:t>
            </w:r>
          </w:p>
          <w:p w14:paraId="36A2E5B3">
            <w:pPr>
              <w:pStyle w:val="4"/>
              <w:rPr>
                <w:rFonts w:hint="eastAsia" w:ascii="仿宋" w:hAnsi="仿宋" w:eastAsia="仿宋" w:cs="仿宋"/>
                <w:sz w:val="24"/>
                <w:szCs w:val="24"/>
              </w:rPr>
            </w:pPr>
          </w:p>
        </w:tc>
        <w:tc>
          <w:tcPr>
            <w:tcW w:w="755" w:type="dxa"/>
          </w:tcPr>
          <w:p w14:paraId="4DC2BD4F">
            <w:pPr>
              <w:pStyle w:val="4"/>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.00</w:t>
            </w:r>
          </w:p>
        </w:tc>
        <w:tc>
          <w:tcPr>
            <w:tcW w:w="755" w:type="dxa"/>
          </w:tcPr>
          <w:p w14:paraId="1DDDAB15">
            <w:pPr>
              <w:pStyle w:val="4"/>
              <w:rPr>
                <w:rFonts w:hint="eastAsia" w:ascii="仿宋" w:hAnsi="仿宋" w:eastAsia="仿宋" w:cs="仿宋"/>
                <w:sz w:val="24"/>
                <w:szCs w:val="24"/>
              </w:rPr>
            </w:pPr>
            <w:r>
              <w:rPr>
                <w:rFonts w:hint="eastAsia" w:ascii="仿宋" w:hAnsi="仿宋" w:eastAsia="仿宋" w:cs="仿宋"/>
                <w:sz w:val="24"/>
                <w:szCs w:val="24"/>
                <w:lang w:val="en-US" w:eastAsia="zh-CN"/>
              </w:rPr>
              <w:t>95</w:t>
            </w:r>
            <w:r>
              <w:rPr>
                <w:rFonts w:hint="eastAsia" w:ascii="仿宋" w:hAnsi="仿宋" w:eastAsia="仿宋" w:cs="仿宋"/>
                <w:sz w:val="24"/>
                <w:szCs w:val="24"/>
              </w:rPr>
              <w:t>0,000.00</w:t>
            </w:r>
          </w:p>
        </w:tc>
        <w:tc>
          <w:tcPr>
            <w:tcW w:w="755" w:type="dxa"/>
          </w:tcPr>
          <w:p w14:paraId="0B7EC5D6">
            <w:pPr>
              <w:pStyle w:val="4"/>
              <w:rPr>
                <w:rFonts w:hint="eastAsia" w:ascii="仿宋" w:hAnsi="仿宋" w:eastAsia="仿宋" w:cs="仿宋"/>
                <w:sz w:val="24"/>
                <w:szCs w:val="24"/>
              </w:rPr>
            </w:pPr>
            <w:r>
              <w:rPr>
                <w:rFonts w:hint="eastAsia" w:ascii="仿宋" w:hAnsi="仿宋" w:eastAsia="仿宋" w:cs="仿宋"/>
                <w:sz w:val="24"/>
                <w:szCs w:val="24"/>
              </w:rPr>
              <w:t>年</w:t>
            </w:r>
          </w:p>
        </w:tc>
        <w:tc>
          <w:tcPr>
            <w:tcW w:w="755" w:type="dxa"/>
          </w:tcPr>
          <w:p w14:paraId="6E76CF59">
            <w:pPr>
              <w:pStyle w:val="4"/>
              <w:rPr>
                <w:rFonts w:hint="eastAsia" w:ascii="仿宋" w:hAnsi="仿宋" w:eastAsia="仿宋" w:cs="仿宋"/>
                <w:sz w:val="24"/>
                <w:szCs w:val="24"/>
              </w:rPr>
            </w:pPr>
            <w:r>
              <w:rPr>
                <w:rFonts w:hint="eastAsia" w:ascii="仿宋" w:hAnsi="仿宋" w:eastAsia="仿宋" w:cs="仿宋"/>
                <w:sz w:val="24"/>
                <w:szCs w:val="24"/>
              </w:rPr>
              <w:t>软件和信息技术服务业</w:t>
            </w:r>
          </w:p>
        </w:tc>
        <w:tc>
          <w:tcPr>
            <w:tcW w:w="755" w:type="dxa"/>
          </w:tcPr>
          <w:p w14:paraId="36C803EC">
            <w:pPr>
              <w:pStyle w:val="4"/>
              <w:rPr>
                <w:rFonts w:hint="eastAsia" w:ascii="仿宋" w:hAnsi="仿宋" w:eastAsia="仿宋" w:cs="仿宋"/>
                <w:sz w:val="24"/>
                <w:szCs w:val="24"/>
              </w:rPr>
            </w:pPr>
            <w:r>
              <w:rPr>
                <w:rFonts w:hint="eastAsia" w:ascii="仿宋" w:hAnsi="仿宋" w:eastAsia="仿宋" w:cs="仿宋"/>
                <w:sz w:val="24"/>
                <w:szCs w:val="24"/>
              </w:rPr>
              <w:t>否</w:t>
            </w:r>
          </w:p>
        </w:tc>
        <w:tc>
          <w:tcPr>
            <w:tcW w:w="755" w:type="dxa"/>
          </w:tcPr>
          <w:p w14:paraId="12C009DF">
            <w:pPr>
              <w:pStyle w:val="4"/>
              <w:rPr>
                <w:rFonts w:hint="eastAsia" w:ascii="仿宋" w:hAnsi="仿宋" w:eastAsia="仿宋" w:cs="仿宋"/>
                <w:sz w:val="24"/>
                <w:szCs w:val="24"/>
              </w:rPr>
            </w:pPr>
            <w:r>
              <w:rPr>
                <w:rFonts w:hint="eastAsia" w:ascii="仿宋" w:hAnsi="仿宋" w:eastAsia="仿宋" w:cs="仿宋"/>
                <w:sz w:val="24"/>
                <w:szCs w:val="24"/>
              </w:rPr>
              <w:t>否</w:t>
            </w:r>
          </w:p>
        </w:tc>
        <w:tc>
          <w:tcPr>
            <w:tcW w:w="755" w:type="dxa"/>
          </w:tcPr>
          <w:p w14:paraId="7B7802D0">
            <w:pPr>
              <w:pStyle w:val="4"/>
              <w:rPr>
                <w:rFonts w:hint="eastAsia" w:ascii="仿宋" w:hAnsi="仿宋" w:eastAsia="仿宋" w:cs="仿宋"/>
                <w:sz w:val="24"/>
                <w:szCs w:val="24"/>
              </w:rPr>
            </w:pPr>
            <w:r>
              <w:rPr>
                <w:rFonts w:hint="eastAsia" w:ascii="仿宋" w:hAnsi="仿宋" w:eastAsia="仿宋" w:cs="仿宋"/>
                <w:sz w:val="24"/>
                <w:szCs w:val="24"/>
              </w:rPr>
              <w:t>否</w:t>
            </w:r>
          </w:p>
        </w:tc>
        <w:tc>
          <w:tcPr>
            <w:tcW w:w="755" w:type="dxa"/>
          </w:tcPr>
          <w:p w14:paraId="06DAC312">
            <w:pPr>
              <w:pStyle w:val="4"/>
              <w:rPr>
                <w:rFonts w:hint="eastAsia" w:ascii="仿宋" w:hAnsi="仿宋" w:eastAsia="仿宋" w:cs="仿宋"/>
                <w:sz w:val="24"/>
                <w:szCs w:val="24"/>
              </w:rPr>
            </w:pPr>
            <w:r>
              <w:rPr>
                <w:rFonts w:hint="eastAsia" w:ascii="仿宋" w:hAnsi="仿宋" w:eastAsia="仿宋" w:cs="仿宋"/>
                <w:sz w:val="24"/>
                <w:szCs w:val="24"/>
              </w:rPr>
              <w:t>否</w:t>
            </w:r>
          </w:p>
        </w:tc>
        <w:tc>
          <w:tcPr>
            <w:tcW w:w="755" w:type="dxa"/>
          </w:tcPr>
          <w:p w14:paraId="639B1A38">
            <w:pPr>
              <w:pStyle w:val="4"/>
              <w:rPr>
                <w:rFonts w:hint="eastAsia" w:ascii="仿宋" w:hAnsi="仿宋" w:eastAsia="仿宋" w:cs="仿宋"/>
                <w:sz w:val="24"/>
                <w:szCs w:val="24"/>
              </w:rPr>
            </w:pPr>
            <w:r>
              <w:rPr>
                <w:rFonts w:hint="eastAsia" w:ascii="仿宋" w:hAnsi="仿宋" w:eastAsia="仿宋" w:cs="仿宋"/>
                <w:sz w:val="24"/>
                <w:szCs w:val="24"/>
              </w:rPr>
              <w:t>否</w:t>
            </w:r>
          </w:p>
        </w:tc>
      </w:tr>
    </w:tbl>
    <w:p w14:paraId="73E4F535">
      <w:pPr>
        <w:pStyle w:val="4"/>
        <w:outlineLvl w:val="2"/>
        <w:rPr>
          <w:rFonts w:hint="eastAsia" w:ascii="仿宋" w:hAnsi="仿宋" w:eastAsia="仿宋" w:cs="仿宋"/>
          <w:sz w:val="24"/>
          <w:szCs w:val="24"/>
        </w:rPr>
      </w:pPr>
      <w:r>
        <w:rPr>
          <w:rFonts w:hint="eastAsia" w:ascii="仿宋" w:hAnsi="仿宋" w:eastAsia="仿宋" w:cs="仿宋"/>
          <w:b/>
          <w:sz w:val="24"/>
          <w:szCs w:val="24"/>
        </w:rPr>
        <w:t>3.2.2服务要求</w:t>
      </w:r>
    </w:p>
    <w:p w14:paraId="29BA6F13">
      <w:pPr>
        <w:pStyle w:val="4"/>
        <w:rPr>
          <w:rFonts w:hint="eastAsia" w:ascii="仿宋" w:hAnsi="仿宋" w:eastAsia="仿宋" w:cs="仿宋"/>
          <w:sz w:val="24"/>
          <w:szCs w:val="24"/>
        </w:rPr>
      </w:pPr>
      <w:r>
        <w:rPr>
          <w:rFonts w:hint="eastAsia" w:ascii="仿宋" w:hAnsi="仿宋" w:eastAsia="仿宋" w:cs="仿宋"/>
          <w:sz w:val="24"/>
          <w:szCs w:val="24"/>
        </w:rPr>
        <w:t>采购包1：</w:t>
      </w:r>
    </w:p>
    <w:p w14:paraId="46C8D25B">
      <w:pPr>
        <w:pStyle w:val="4"/>
        <w:rPr>
          <w:rFonts w:hint="eastAsia" w:ascii="仿宋" w:hAnsi="仿宋" w:eastAsia="仿宋" w:cs="仿宋"/>
          <w:sz w:val="24"/>
          <w:szCs w:val="24"/>
        </w:rPr>
      </w:pPr>
      <w:r>
        <w:rPr>
          <w:rFonts w:hint="eastAsia" w:ascii="仿宋" w:hAnsi="仿宋" w:eastAsia="仿宋" w:cs="仿宋"/>
          <w:sz w:val="24"/>
          <w:szCs w:val="24"/>
        </w:rPr>
        <w:t>标的名称：</w:t>
      </w:r>
      <w:r>
        <w:rPr>
          <w:rFonts w:hint="eastAsia" w:ascii="仿宋" w:hAnsi="仿宋" w:eastAsia="仿宋" w:cs="仿宋"/>
          <w:sz w:val="24"/>
          <w:szCs w:val="24"/>
          <w:lang w:val="en-US" w:eastAsia="zh-CN"/>
        </w:rPr>
        <w:t>商用密码改造</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448"/>
        <w:gridCol w:w="566"/>
        <w:gridCol w:w="7508"/>
      </w:tblGrid>
      <w:tr w14:paraId="7629DD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8" w:type="dxa"/>
          </w:tcPr>
          <w:p w14:paraId="7447A8BE">
            <w:pPr>
              <w:pStyle w:val="4"/>
              <w:rPr>
                <w:rFonts w:hint="eastAsia" w:ascii="仿宋" w:hAnsi="仿宋" w:eastAsia="仿宋" w:cs="仿宋"/>
                <w:sz w:val="24"/>
                <w:szCs w:val="24"/>
              </w:rPr>
            </w:pPr>
            <w:r>
              <w:rPr>
                <w:rFonts w:hint="eastAsia" w:ascii="仿宋" w:hAnsi="仿宋" w:eastAsia="仿宋" w:cs="仿宋"/>
                <w:sz w:val="24"/>
                <w:szCs w:val="24"/>
              </w:rPr>
              <w:t xml:space="preserve"> 序号</w:t>
            </w:r>
          </w:p>
        </w:tc>
        <w:tc>
          <w:tcPr>
            <w:tcW w:w="566" w:type="dxa"/>
          </w:tcPr>
          <w:p w14:paraId="73D6A8B6">
            <w:pPr>
              <w:pStyle w:val="4"/>
              <w:rPr>
                <w:rFonts w:hint="eastAsia" w:ascii="仿宋" w:hAnsi="仿宋" w:eastAsia="仿宋" w:cs="仿宋"/>
                <w:sz w:val="24"/>
                <w:szCs w:val="24"/>
              </w:rPr>
            </w:pPr>
            <w:r>
              <w:rPr>
                <w:rFonts w:hint="eastAsia" w:ascii="仿宋" w:hAnsi="仿宋" w:eastAsia="仿宋" w:cs="仿宋"/>
                <w:sz w:val="24"/>
                <w:szCs w:val="24"/>
              </w:rPr>
              <w:t xml:space="preserve"> 参数性质</w:t>
            </w:r>
          </w:p>
        </w:tc>
        <w:tc>
          <w:tcPr>
            <w:tcW w:w="7508" w:type="dxa"/>
          </w:tcPr>
          <w:p w14:paraId="5A09EA4E">
            <w:pPr>
              <w:pStyle w:val="4"/>
              <w:rPr>
                <w:rFonts w:hint="eastAsia" w:ascii="仿宋" w:hAnsi="仿宋" w:eastAsia="仿宋" w:cs="仿宋"/>
                <w:sz w:val="24"/>
                <w:szCs w:val="24"/>
              </w:rPr>
            </w:pPr>
            <w:r>
              <w:rPr>
                <w:rFonts w:hint="eastAsia" w:ascii="仿宋" w:hAnsi="仿宋" w:eastAsia="仿宋" w:cs="仿宋"/>
                <w:sz w:val="24"/>
                <w:szCs w:val="24"/>
              </w:rPr>
              <w:t xml:space="preserve"> 技术参数与性能指标</w:t>
            </w:r>
          </w:p>
        </w:tc>
      </w:tr>
      <w:tr w14:paraId="685D7B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8" w:type="dxa"/>
          </w:tcPr>
          <w:p w14:paraId="1E14C107">
            <w:pPr>
              <w:pStyle w:val="4"/>
              <w:rPr>
                <w:rFonts w:hint="eastAsia" w:ascii="仿宋" w:hAnsi="仿宋" w:eastAsia="仿宋" w:cs="仿宋"/>
                <w:sz w:val="24"/>
                <w:szCs w:val="24"/>
              </w:rPr>
            </w:pPr>
            <w:r>
              <w:rPr>
                <w:rFonts w:hint="eastAsia" w:ascii="仿宋" w:hAnsi="仿宋" w:eastAsia="仿宋" w:cs="仿宋"/>
                <w:sz w:val="24"/>
                <w:szCs w:val="24"/>
              </w:rPr>
              <w:t>1</w:t>
            </w:r>
          </w:p>
        </w:tc>
        <w:tc>
          <w:tcPr>
            <w:tcW w:w="566" w:type="dxa"/>
          </w:tcPr>
          <w:p w14:paraId="51E97CB7">
            <w:pPr>
              <w:rPr>
                <w:rFonts w:hint="eastAsia" w:ascii="仿宋" w:hAnsi="仿宋" w:eastAsia="仿宋" w:cs="仿宋"/>
                <w:sz w:val="24"/>
                <w:szCs w:val="24"/>
              </w:rPr>
            </w:pPr>
          </w:p>
        </w:tc>
        <w:tc>
          <w:tcPr>
            <w:tcW w:w="7508" w:type="dxa"/>
          </w:tcPr>
          <w:p w14:paraId="764B7914">
            <w:pPr>
              <w:pStyle w:val="4"/>
              <w:jc w:val="left"/>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一、</w:t>
            </w:r>
            <w:r>
              <w:rPr>
                <w:rFonts w:hint="eastAsia" w:ascii="仿宋" w:hAnsi="仿宋" w:eastAsia="仿宋" w:cs="仿宋"/>
                <w:b/>
                <w:bCs/>
                <w:color w:val="000000"/>
                <w:sz w:val="24"/>
                <w:szCs w:val="24"/>
              </w:rPr>
              <w:t>项目概况</w:t>
            </w:r>
          </w:p>
          <w:p w14:paraId="62326E16">
            <w:pPr>
              <w:pStyle w:val="4"/>
              <w:ind w:firstLine="400"/>
              <w:jc w:val="left"/>
              <w:rPr>
                <w:rFonts w:hint="eastAsia" w:ascii="仿宋" w:hAnsi="仿宋" w:eastAsia="仿宋" w:cs="仿宋"/>
                <w:sz w:val="24"/>
                <w:szCs w:val="24"/>
              </w:rPr>
            </w:pPr>
            <w:r>
              <w:rPr>
                <w:rFonts w:hint="eastAsia" w:ascii="仿宋" w:hAnsi="仿宋" w:eastAsia="仿宋" w:cs="仿宋"/>
                <w:color w:val="000000"/>
                <w:sz w:val="24"/>
                <w:szCs w:val="24"/>
              </w:rPr>
              <w:t>为进一步推进卫生领域信息系统商用密码应用，强化重要信息系统与数据安全自主可控性，根据中办、国办有关文件精神，通过对西安市儿童医院互联网医院系统的信息安全现状和密码应用需求进行分析，依据GB/T 39786-2021《信息安全技术 信息系统密码应用基本要求》，从物理和环境安全、网络和通信安全、设备和计算安全、应用和数据安全等4个层面，以及密钥管理、安全管理等方面，设</w:t>
            </w:r>
            <w:r>
              <w:rPr>
                <w:rFonts w:hint="eastAsia" w:ascii="仿宋" w:hAnsi="仿宋" w:eastAsia="仿宋" w:cs="仿宋"/>
                <w:color w:val="000000"/>
                <w:sz w:val="24"/>
                <w:szCs w:val="24"/>
                <w:lang w:eastAsia="zh-CN"/>
              </w:rPr>
              <w:t>计了</w:t>
            </w:r>
            <w:r>
              <w:rPr>
                <w:rFonts w:hint="eastAsia" w:ascii="仿宋" w:hAnsi="仿宋" w:eastAsia="仿宋" w:cs="仿宋"/>
                <w:color w:val="000000"/>
                <w:sz w:val="24"/>
                <w:szCs w:val="24"/>
              </w:rPr>
              <w:t>医院互联网医院系统密码应用的技术方案、安全管理方案和实施保障方案。</w:t>
            </w:r>
          </w:p>
          <w:p w14:paraId="332D250F">
            <w:pPr>
              <w:rPr>
                <w:rFonts w:hint="eastAsia" w:ascii="仿宋" w:hAnsi="仿宋" w:eastAsia="仿宋" w:cs="仿宋"/>
                <w:sz w:val="24"/>
                <w:szCs w:val="24"/>
              </w:rPr>
            </w:pPr>
            <w:r>
              <w:rPr>
                <w:rFonts w:hint="eastAsia" w:ascii="仿宋" w:hAnsi="仿宋" w:eastAsia="仿宋" w:cs="仿宋"/>
                <w:b/>
                <w:color w:val="000000"/>
                <w:sz w:val="24"/>
                <w:szCs w:val="24"/>
              </w:rPr>
              <w:t>二、服务内容</w:t>
            </w:r>
            <w:r>
              <w:rPr>
                <w:rFonts w:hint="eastAsia" w:ascii="仿宋" w:hAnsi="仿宋" w:eastAsia="仿宋" w:cs="仿宋"/>
                <w:sz w:val="24"/>
                <w:szCs w:val="24"/>
                <w:lang w:eastAsia="zh-CN"/>
              </w:rPr>
              <w:t>（</w:t>
            </w:r>
            <w:r>
              <w:rPr>
                <w:rFonts w:hint="eastAsia" w:ascii="仿宋" w:hAnsi="仿宋" w:eastAsia="仿宋" w:cs="仿宋"/>
                <w:sz w:val="24"/>
                <w:szCs w:val="24"/>
              </w:rPr>
              <w:t>▲</w:t>
            </w:r>
            <w:r>
              <w:rPr>
                <w:rFonts w:hint="eastAsia" w:ascii="仿宋" w:hAnsi="仿宋" w:eastAsia="仿宋" w:cs="仿宋"/>
                <w:sz w:val="24"/>
                <w:szCs w:val="24"/>
                <w:lang w:val="en-US" w:eastAsia="zh-CN"/>
              </w:rPr>
              <w:t>为赋分项，</w:t>
            </w:r>
            <w:r>
              <w:rPr>
                <w:rFonts w:hint="eastAsia" w:ascii="仿宋" w:hAnsi="仿宋" w:eastAsia="仿宋" w:cs="仿宋"/>
                <w:sz w:val="24"/>
                <w:szCs w:val="24"/>
                <w:lang w:val="en-US" w:eastAsia="zh-CN"/>
              </w:rPr>
              <w:sym w:font="Wingdings" w:char="00AB"/>
            </w:r>
            <w:r>
              <w:rPr>
                <w:rFonts w:hint="eastAsia" w:ascii="仿宋" w:hAnsi="仿宋" w:eastAsia="仿宋" w:cs="仿宋"/>
                <w:sz w:val="24"/>
                <w:szCs w:val="24"/>
                <w:lang w:val="en-US" w:eastAsia="zh-CN"/>
              </w:rPr>
              <w:t>为必要条款</w:t>
            </w:r>
            <w:r>
              <w:rPr>
                <w:rFonts w:hint="eastAsia" w:ascii="仿宋" w:hAnsi="仿宋" w:eastAsia="仿宋" w:cs="仿宋"/>
                <w:sz w:val="24"/>
                <w:szCs w:val="24"/>
                <w:lang w:eastAsia="zh-CN"/>
              </w:rPr>
              <w:t>）</w:t>
            </w:r>
          </w:p>
          <w:p w14:paraId="26240B31">
            <w:pPr>
              <w:rPr>
                <w:rFonts w:hint="eastAsia" w:ascii="仿宋" w:hAnsi="仿宋" w:eastAsia="仿宋" w:cs="仿宋"/>
                <w:sz w:val="24"/>
                <w:szCs w:val="24"/>
              </w:rPr>
            </w:pPr>
            <w:r>
              <w:rPr>
                <w:rFonts w:hint="eastAsia" w:ascii="仿宋" w:hAnsi="仿宋" w:eastAsia="仿宋" w:cs="仿宋"/>
                <w:sz w:val="24"/>
                <w:szCs w:val="24"/>
              </w:rPr>
              <w:t>本次密码应用建设实施范围覆盖西安市儿童医院互联网医院系统，具体包括：</w:t>
            </w:r>
          </w:p>
          <w:p w14:paraId="00F7639A">
            <w:pPr>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一）</w:t>
            </w:r>
            <w:r>
              <w:rPr>
                <w:rFonts w:hint="eastAsia" w:ascii="仿宋" w:hAnsi="仿宋" w:eastAsia="仿宋" w:cs="仿宋"/>
                <w:sz w:val="24"/>
                <w:szCs w:val="24"/>
              </w:rPr>
              <w:t>物理环境：互联网医院系统服务器、数据库、密码设备所在机房的国密门禁系统及视频监控加密系统建设。</w:t>
            </w:r>
          </w:p>
          <w:p w14:paraId="1B86E447">
            <w:pPr>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二）</w:t>
            </w:r>
            <w:r>
              <w:rPr>
                <w:rFonts w:hint="eastAsia" w:ascii="仿宋" w:hAnsi="仿宋" w:eastAsia="仿宋" w:cs="仿宋"/>
                <w:sz w:val="24"/>
                <w:szCs w:val="24"/>
              </w:rPr>
              <w:t>网络与通信：互联网医院系统业务访问通道、远程运维通道的SSL VPN安全网关部署。</w:t>
            </w:r>
          </w:p>
          <w:p w14:paraId="64C1B52C">
            <w:pPr>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三）</w:t>
            </w:r>
            <w:r>
              <w:rPr>
                <w:rFonts w:hint="eastAsia" w:ascii="仿宋" w:hAnsi="仿宋" w:eastAsia="仿宋" w:cs="仿宋"/>
                <w:sz w:val="24"/>
                <w:szCs w:val="24"/>
              </w:rPr>
              <w:t>设备与计算：应用服务器、数据库服务器等设备的身份鉴别、日志完整性保护。</w:t>
            </w:r>
          </w:p>
          <w:p w14:paraId="1A47D684">
            <w:pPr>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四）</w:t>
            </w:r>
            <w:r>
              <w:rPr>
                <w:rFonts w:hint="eastAsia" w:ascii="仿宋" w:hAnsi="仿宋" w:eastAsia="仿宋" w:cs="仿宋"/>
                <w:sz w:val="24"/>
                <w:szCs w:val="24"/>
              </w:rPr>
              <w:t>应用与数据：互联网医院业务系统的用户身份认证、访问控制、数据传输/存储机密性和完整性保护、操作不可否认性保护。</w:t>
            </w:r>
          </w:p>
          <w:p w14:paraId="24240BC5">
            <w:pPr>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五）</w:t>
            </w:r>
            <w:r>
              <w:rPr>
                <w:rFonts w:hint="eastAsia" w:ascii="仿宋" w:hAnsi="仿宋" w:eastAsia="仿宋" w:cs="仿宋"/>
                <w:sz w:val="24"/>
                <w:szCs w:val="24"/>
              </w:rPr>
              <w:t>密钥管理：密钥全生命周期管理体系的建设。</w:t>
            </w:r>
          </w:p>
          <w:p w14:paraId="7CCCD51E">
            <w:pPr>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六）</w:t>
            </w:r>
            <w:r>
              <w:rPr>
                <w:rFonts w:hint="eastAsia" w:ascii="仿宋" w:hAnsi="仿宋" w:eastAsia="仿宋" w:cs="仿宋"/>
                <w:sz w:val="24"/>
                <w:szCs w:val="24"/>
              </w:rPr>
              <w:t>安全管理：密码安全管理制度、人员管理、应急响应等管理体系建设。</w:t>
            </w:r>
          </w:p>
          <w:p w14:paraId="75EF60F5">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（七）最终目标为通过商用密码应用安全性测评。</w:t>
            </w:r>
          </w:p>
          <w:p w14:paraId="6ED3D3D1">
            <w:pPr>
              <w:numPr>
                <w:ilvl w:val="0"/>
                <w:numId w:val="0"/>
              </w:numPr>
              <w:spacing w:line="276" w:lineRule="auto"/>
              <w:ind w:leftChars="0"/>
              <w:jc w:val="left"/>
              <w:rPr>
                <w:rFonts w:hint="eastAsia" w:ascii="仿宋" w:hAnsi="仿宋" w:eastAsia="仿宋" w:cs="仿宋"/>
                <w:b/>
                <w:bCs/>
                <w:color w:val="000000" w:themeColor="text1"/>
                <w:kern w:val="0"/>
                <w:sz w:val="24"/>
                <w:szCs w:val="24"/>
                <w:highlight w:val="none"/>
                <w14:textFill>
                  <w14:solidFill>
                    <w14:schemeClr w14:val="tx1"/>
                  </w14:solidFill>
                </w14:textFill>
              </w:rPr>
            </w:pPr>
            <w:r>
              <w:rPr>
                <w:rFonts w:hint="eastAsia" w:ascii="仿宋" w:hAnsi="仿宋" w:eastAsia="仿宋" w:cs="仿宋"/>
                <w:b/>
                <w:bCs/>
                <w:color w:val="000000" w:themeColor="text1"/>
                <w:kern w:val="0"/>
                <w:sz w:val="24"/>
                <w:szCs w:val="24"/>
                <w:highlight w:val="none"/>
                <w:lang w:val="en-US" w:eastAsia="zh-CN"/>
                <w14:textFill>
                  <w14:solidFill>
                    <w14:schemeClr w14:val="tx1"/>
                  </w14:solidFill>
                </w14:textFill>
              </w:rPr>
              <w:t>三、技</w:t>
            </w:r>
            <w:r>
              <w:rPr>
                <w:rFonts w:hint="eastAsia" w:ascii="仿宋" w:hAnsi="仿宋" w:eastAsia="仿宋" w:cs="仿宋"/>
                <w:b/>
                <w:bCs/>
                <w:color w:val="000000" w:themeColor="text1"/>
                <w:kern w:val="0"/>
                <w:sz w:val="24"/>
                <w:szCs w:val="24"/>
                <w:highlight w:val="none"/>
                <w14:textFill>
                  <w14:solidFill>
                    <w14:schemeClr w14:val="tx1"/>
                  </w14:solidFill>
                </w14:textFill>
              </w:rPr>
              <w:t>术要求</w:t>
            </w:r>
          </w:p>
          <w:tbl>
            <w:tblPr>
              <w:tblStyle w:val="2"/>
              <w:tblW w:w="7650" w:type="dxa"/>
              <w:jc w:val="center"/>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Layout w:type="fixed"/>
              <w:tblCellMar>
                <w:top w:w="0" w:type="dxa"/>
                <w:left w:w="108" w:type="dxa"/>
                <w:bottom w:w="0" w:type="dxa"/>
                <w:right w:w="108" w:type="dxa"/>
              </w:tblCellMar>
            </w:tblPr>
            <w:tblGrid>
              <w:gridCol w:w="478"/>
              <w:gridCol w:w="740"/>
              <w:gridCol w:w="5152"/>
              <w:gridCol w:w="609"/>
              <w:gridCol w:w="671"/>
            </w:tblGrid>
            <w:tr w14:paraId="1EACD731">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CellMar>
                  <w:top w:w="0" w:type="dxa"/>
                  <w:left w:w="108" w:type="dxa"/>
                  <w:bottom w:w="0" w:type="dxa"/>
                  <w:right w:w="108" w:type="dxa"/>
                </w:tblCellMar>
              </w:tblPrEx>
              <w:trPr>
                <w:tblHeader/>
                <w:jc w:val="center"/>
              </w:trPr>
              <w:tc>
                <w:tcPr>
                  <w:tcW w:w="478" w:type="dxa"/>
                  <w:vAlign w:val="center"/>
                </w:tcPr>
                <w:p w14:paraId="1A8B7E89">
                  <w:pPr>
                    <w:spacing w:line="276"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序号</w:t>
                  </w:r>
                </w:p>
              </w:tc>
              <w:tc>
                <w:tcPr>
                  <w:tcW w:w="740" w:type="dxa"/>
                  <w:vAlign w:val="center"/>
                </w:tcPr>
                <w:p w14:paraId="195808D3">
                  <w:pPr>
                    <w:spacing w:line="276"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产品名称</w:t>
                  </w:r>
                </w:p>
              </w:tc>
              <w:tc>
                <w:tcPr>
                  <w:tcW w:w="5152" w:type="dxa"/>
                  <w:vAlign w:val="center"/>
                </w:tcPr>
                <w:p w14:paraId="4889AF41">
                  <w:pPr>
                    <w:spacing w:line="276"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技术参数描述</w:t>
                  </w:r>
                </w:p>
              </w:tc>
              <w:tc>
                <w:tcPr>
                  <w:tcW w:w="609" w:type="dxa"/>
                  <w:vAlign w:val="center"/>
                </w:tcPr>
                <w:p w14:paraId="7DC1C953">
                  <w:pPr>
                    <w:spacing w:line="276"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数量</w:t>
                  </w:r>
                </w:p>
              </w:tc>
              <w:tc>
                <w:tcPr>
                  <w:tcW w:w="671" w:type="dxa"/>
                  <w:vAlign w:val="center"/>
                </w:tcPr>
                <w:p w14:paraId="525FEB60">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备注</w:t>
                  </w:r>
                </w:p>
              </w:tc>
            </w:tr>
            <w:tr w14:paraId="7BFFD722">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CellMar>
                  <w:top w:w="0" w:type="dxa"/>
                  <w:left w:w="108" w:type="dxa"/>
                  <w:bottom w:w="0" w:type="dxa"/>
                  <w:right w:w="108" w:type="dxa"/>
                </w:tblCellMar>
              </w:tblPrEx>
              <w:trPr>
                <w:trHeight w:val="1866" w:hRule="atLeast"/>
                <w:jc w:val="center"/>
              </w:trPr>
              <w:tc>
                <w:tcPr>
                  <w:tcW w:w="478" w:type="dxa"/>
                  <w:vAlign w:val="center"/>
                </w:tcPr>
                <w:p w14:paraId="73FE3612">
                  <w:pPr>
                    <w:spacing w:line="276"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1</w:t>
                  </w:r>
                </w:p>
              </w:tc>
              <w:tc>
                <w:tcPr>
                  <w:tcW w:w="740" w:type="dxa"/>
                  <w:vAlign w:val="center"/>
                </w:tcPr>
                <w:p w14:paraId="58032B38">
                  <w:pPr>
                    <w:spacing w:line="276"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服务器密码机</w:t>
                  </w:r>
                </w:p>
              </w:tc>
              <w:tc>
                <w:tcPr>
                  <w:tcW w:w="5152" w:type="dxa"/>
                  <w:vAlign w:val="center"/>
                </w:tcPr>
                <w:p w14:paraId="26A1B4EA">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w:t>
                  </w:r>
                  <w:r>
                    <w:rPr>
                      <w:rFonts w:hint="eastAsia" w:ascii="仿宋" w:hAnsi="仿宋" w:eastAsia="仿宋" w:cs="仿宋"/>
                      <w:color w:val="000000" w:themeColor="text1"/>
                      <w:kern w:val="0"/>
                      <w:sz w:val="24"/>
                      <w:szCs w:val="24"/>
                      <w:highlight w:val="none"/>
                      <w14:textFill>
                        <w14:solidFill>
                          <w14:schemeClr w14:val="tx1"/>
                        </w14:solidFill>
                      </w14:textFill>
                    </w:rPr>
                    <w:t>2U,2个千兆电口，1T硬盘</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智能密码钥匙*9，双电源，SM4算法加解密性能1100Mbps，SM2算法加解密性能8800Tps，服务器密码机能够为各类业务系统提供高性能的、多任务并行处理的密码运算，支持SM1、SM2、SM3、SM4等多种国产密码算法，可以满足应用系统的数字签名/验证、数据加密/解密等需求，保证信息的机密性、完整性和有效性，同时提供安全、完善的密钥管理机制，自身具备较强的安全防护能力。</w:t>
                  </w:r>
                </w:p>
                <w:p w14:paraId="438BB705">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2.</w:t>
                  </w:r>
                  <w:r>
                    <w:rPr>
                      <w:rFonts w:hint="eastAsia" w:ascii="仿宋" w:hAnsi="仿宋" w:eastAsia="仿宋" w:cs="仿宋"/>
                      <w:color w:val="000000" w:themeColor="text1"/>
                      <w:kern w:val="0"/>
                      <w:sz w:val="24"/>
                      <w:szCs w:val="24"/>
                      <w:highlight w:val="none"/>
                      <w14:textFill>
                        <w14:solidFill>
                          <w14:schemeClr w14:val="tx1"/>
                        </w14:solidFill>
                      </w14:textFill>
                    </w:rPr>
                    <w:t>支持安全的访问控制功能、支持安全的密钥存储功能、支持安全的密钥生成功能、支持密钥管理功能；支持SM2算法加/解密功能、SM2算法数字签名/验证功能、对称密钥加/解密功能</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SM1/SM4算法加密/解密</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；具有随机数生成、密钥管理、密码运算等功能。</w:t>
                  </w:r>
                </w:p>
                <w:p w14:paraId="3393FE19">
                  <w:pPr>
                    <w:spacing w:line="276" w:lineRule="auto"/>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3.</w:t>
                  </w:r>
                  <w:r>
                    <w:rPr>
                      <w:rFonts w:hint="eastAsia" w:ascii="仿宋" w:hAnsi="仿宋" w:eastAsia="仿宋" w:cs="仿宋"/>
                      <w:color w:val="000000" w:themeColor="text1"/>
                      <w:kern w:val="0"/>
                      <w:sz w:val="24"/>
                      <w:szCs w:val="24"/>
                      <w:highlight w:val="none"/>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主备网口恢复：要求双网卡绑定（bond）模式下，主备网口切换不影响业务连续性（提供第三方具体CNAS资质的检测机构出具的检测报告复印件证明材料，并加盖公章）</w:t>
                  </w:r>
                </w:p>
                <w:p w14:paraId="0EDB4C92">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4.</w:t>
                  </w:r>
                  <w:r>
                    <w:rPr>
                      <w:rFonts w:hint="eastAsia" w:ascii="仿宋" w:hAnsi="仿宋" w:eastAsia="仿宋" w:cs="仿宋"/>
                      <w:color w:val="000000" w:themeColor="text1"/>
                      <w:kern w:val="0"/>
                      <w:sz w:val="24"/>
                      <w:szCs w:val="24"/>
                      <w:highlight w:val="none"/>
                      <w14:textFill>
                        <w14:solidFill>
                          <w14:schemeClr w14:val="tx1"/>
                        </w14:solidFill>
                      </w14:textFill>
                    </w:rPr>
                    <w:t>▲产品支持 SPHINCS+、UOV、Kyber、Dilithium、Falcon、Aigis-sig、Aigis-enc 等抗量子算法的加解密、签名验签及私钥生成功能</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（提供第三方具有CNAS资质的检测机构出具的检测报告复印件证明材料，并加盖公章）</w:t>
                  </w:r>
                </w:p>
                <w:p w14:paraId="58E1DDBC">
                  <w:pPr>
                    <w:spacing w:line="276" w:lineRule="auto"/>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5.</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sym w:font="Wingdings" w:char="00AB"/>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产品经国家密码管理局审批鉴定，具备商用密码产品认证证书（第二级要求），</w:t>
                  </w:r>
                </w:p>
                <w:p w14:paraId="10A3F5AA">
                  <w:pPr>
                    <w:spacing w:line="276" w:lineRule="auto"/>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000000" w:themeColor="text1"/>
                      <w:kern w:val="0"/>
                      <w:sz w:val="24"/>
                      <w:szCs w:val="24"/>
                      <w:highlight w:val="none"/>
                      <w14:textFill>
                        <w14:solidFill>
                          <w14:schemeClr w14:val="tx1"/>
                        </w14:solidFill>
                      </w14:textFill>
                    </w:rPr>
                    <w:t>▲</w:t>
                  </w:r>
                  <w:r>
                    <w:rPr>
                      <w:rFonts w:hint="eastAsia" w:ascii="仿宋" w:hAnsi="仿宋" w:eastAsia="仿宋" w:cs="仿宋"/>
                      <w:color w:val="auto"/>
                      <w:kern w:val="0"/>
                      <w:sz w:val="24"/>
                      <w:szCs w:val="24"/>
                      <w:highlight w:val="none"/>
                      <w:lang w:val="en-US" w:eastAsia="zh-CN"/>
                    </w:rPr>
                    <w:t>内</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置的密码卡与投标产品为同一个厂商，（提供商用密码产品认证证书复印件，并加盖公章）</w:t>
                  </w:r>
                </w:p>
                <w:p w14:paraId="039E6FDC">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7.</w:t>
                  </w:r>
                  <w:r>
                    <w:rPr>
                      <w:rFonts w:hint="eastAsia" w:ascii="仿宋" w:hAnsi="仿宋" w:eastAsia="仿宋" w:cs="仿宋"/>
                      <w:color w:val="000000" w:themeColor="text1"/>
                      <w:kern w:val="0"/>
                      <w:sz w:val="24"/>
                      <w:szCs w:val="24"/>
                      <w:highlight w:val="none"/>
                      <w14:textFill>
                        <w14:solidFill>
                          <w14:schemeClr w14:val="tx1"/>
                        </w14:solidFill>
                      </w14:textFill>
                    </w:rPr>
                    <w:t>▲要求产品具备IPv6 Ready证书；</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（提供第三方检测机构出具的检测报告复印件证明材料，并加盖公章）</w:t>
                  </w:r>
                </w:p>
                <w:p w14:paraId="7CAA2579">
                  <w:pPr>
                    <w:spacing w:line="276" w:lineRule="auto"/>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8.▲</w:t>
                  </w:r>
                  <w:r>
                    <w:rPr>
                      <w:rFonts w:hint="eastAsia" w:ascii="仿宋" w:hAnsi="仿宋" w:eastAsia="仿宋" w:cs="仿宋"/>
                      <w:color w:val="auto"/>
                      <w:kern w:val="0"/>
                      <w:sz w:val="24"/>
                      <w:szCs w:val="24"/>
                      <w:highlight w:val="none"/>
                      <w:lang w:val="en-US" w:eastAsia="zh-CN"/>
                    </w:rPr>
                    <w:t>要求产品与密码服务平台为同一厂商</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w:t>
                  </w:r>
                </w:p>
                <w:p w14:paraId="4C2F21F9">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9.</w:t>
                  </w:r>
                  <w:r>
                    <w:rPr>
                      <w:rFonts w:hint="eastAsia" w:ascii="仿宋" w:hAnsi="仿宋" w:eastAsia="仿宋" w:cs="仿宋"/>
                      <w:color w:val="000000" w:themeColor="text1"/>
                      <w:kern w:val="0"/>
                      <w:sz w:val="24"/>
                      <w:szCs w:val="24"/>
                      <w:highlight w:val="none"/>
                      <w14:textFill>
                        <w14:solidFill>
                          <w14:schemeClr w14:val="tx1"/>
                        </w14:solidFill>
                      </w14:textFill>
                    </w:rPr>
                    <w:t>要求投标产品厂商具备ISO22301业务连续性管理体系认证、ISO50001能源管理体系认证、ISO28000供应链安全管理体系认证、ISO14001环境管理体系认证、ISO45001职业健康安全管理体系认证；</w:t>
                  </w:r>
                </w:p>
                <w:p w14:paraId="0E7EB076">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kern w:val="0"/>
                      <w:sz w:val="24"/>
                      <w:szCs w:val="24"/>
                      <w:highlight w:val="none"/>
                      <w14:textFill>
                        <w14:solidFill>
                          <w14:schemeClr w14:val="tx1"/>
                        </w14:solidFill>
                      </w14:textFill>
                    </w:rPr>
                    <w:t>为保障产品售后服务水平，要求投标产品厂商具备GB/T27922商品售后服务评价体系认证；</w:t>
                  </w:r>
                </w:p>
              </w:tc>
              <w:tc>
                <w:tcPr>
                  <w:tcW w:w="609" w:type="dxa"/>
                  <w:vAlign w:val="center"/>
                </w:tcPr>
                <w:p w14:paraId="29B3C154">
                  <w:pPr>
                    <w:spacing w:line="276"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2台</w:t>
                  </w:r>
                </w:p>
              </w:tc>
              <w:tc>
                <w:tcPr>
                  <w:tcW w:w="671" w:type="dxa"/>
                  <w:vAlign w:val="center"/>
                </w:tcPr>
                <w:p w14:paraId="35BA455B">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p>
              </w:tc>
            </w:tr>
            <w:tr w14:paraId="0C03180B">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CellMar>
                  <w:top w:w="0" w:type="dxa"/>
                  <w:left w:w="108" w:type="dxa"/>
                  <w:bottom w:w="0" w:type="dxa"/>
                  <w:right w:w="108" w:type="dxa"/>
                </w:tblCellMar>
              </w:tblPrEx>
              <w:trPr>
                <w:jc w:val="center"/>
              </w:trPr>
              <w:tc>
                <w:tcPr>
                  <w:tcW w:w="478" w:type="dxa"/>
                  <w:vAlign w:val="center"/>
                </w:tcPr>
                <w:p w14:paraId="3F4BDDB4">
                  <w:pPr>
                    <w:spacing w:line="276"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2</w:t>
                  </w:r>
                </w:p>
              </w:tc>
              <w:tc>
                <w:tcPr>
                  <w:tcW w:w="740" w:type="dxa"/>
                  <w:vAlign w:val="center"/>
                </w:tcPr>
                <w:p w14:paraId="6A29F7A1">
                  <w:pPr>
                    <w:spacing w:line="276"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签名验签服务</w:t>
                  </w:r>
                </w:p>
              </w:tc>
              <w:tc>
                <w:tcPr>
                  <w:tcW w:w="5152" w:type="dxa"/>
                  <w:vAlign w:val="center"/>
                </w:tcPr>
                <w:p w14:paraId="1243F9FC">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sz w:val="24"/>
                      <w:szCs w:val="24"/>
                      <w:lang w:val="en-US" w:eastAsia="zh-CN"/>
                    </w:rPr>
                    <w:t>1.</w:t>
                  </w:r>
                  <w:r>
                    <w:rPr>
                      <w:rFonts w:hint="eastAsia" w:ascii="仿宋" w:hAnsi="仿宋" w:eastAsia="仿宋" w:cs="仿宋"/>
                      <w:color w:val="000000" w:themeColor="text1"/>
                      <w:kern w:val="0"/>
                      <w:sz w:val="24"/>
                      <w:szCs w:val="24"/>
                      <w:highlight w:val="none"/>
                      <w14:textFill>
                        <w14:solidFill>
                          <w14:schemeClr w14:val="tx1"/>
                        </w14:solidFill>
                      </w14:textFill>
                    </w:rPr>
                    <w:t>▲支持管理员配置功能，管理员配置支持基于数字证书的方式配置“超级管理员模式”和“三权分立模式”（提供产品功能截图证明）</w:t>
                  </w:r>
                </w:p>
                <w:p w14:paraId="54D9E461">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2</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▲支持一键检测功能，包括服务接口检测和加密卡检测，保证设备处于正常工作状态（提供产品功能截图证明）</w:t>
                  </w:r>
                </w:p>
                <w:p w14:paraId="461B410B">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3</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具备完善的身份鉴别机制，支持基于数字证书的身份认证，同时管理员通过管理界面可进行证书管理、应用管理、系统管理以及日志管理等管理操作（提供产品功能截图证明）（提供第三方权威机构检测报告佐证，提供检测报告复印件）。</w:t>
                  </w:r>
                </w:p>
                <w:p w14:paraId="1E9B1ABD">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4</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▲支持配置NTP同步功能，自动同步时间。（提供第三方权威机构检测报告佐证，提供检测报告复印件）。</w:t>
                  </w:r>
                </w:p>
                <w:p w14:paraId="3F5D9309">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5</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支持PKCS1/ PKCS7 attach/PKCS7 detach/XML Sign 等多种格式的数字签名和验证，同时支持大文件数字签名和验证</w:t>
                  </w:r>
                </w:p>
                <w:p w14:paraId="03DE99F6">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6</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▲支持多证书链配置，验证不同CA的用户证书，支持 CRL/OCSP 等多种方式的证书有效性验证（提供第三方权威机构检测报告佐证，提供检测报告复印件）。</w:t>
                  </w:r>
                </w:p>
                <w:p w14:paraId="0DC5361B">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7</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支持国密SM1、SM2、SM3、SM4算法</w:t>
                  </w:r>
                </w:p>
                <w:p w14:paraId="61B96513">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8</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支持数字信封和带签名的数字信封功能</w:t>
                  </w:r>
                </w:p>
                <w:p w14:paraId="20677DBE">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9</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支持备份恢复功能，可通过界面备份当前所有配置，保证系统瘫痪时的快速恢复</w:t>
                  </w:r>
                </w:p>
                <w:p w14:paraId="3D4FB4D2">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10</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支持双机、负载均衡</w:t>
                  </w:r>
                </w:p>
                <w:p w14:paraId="35D8AB1D">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1</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w:t>
                  </w:r>
                  <w:r>
                    <w:rPr>
                      <w:rFonts w:hint="eastAsia" w:ascii="仿宋" w:hAnsi="仿宋" w:eastAsia="仿宋" w:cs="仿宋"/>
                      <w:color w:val="000000" w:themeColor="text1"/>
                      <w:kern w:val="0"/>
                      <w:sz w:val="24"/>
                      <w:szCs w:val="24"/>
                      <w:highlight w:val="none"/>
                      <w14:textFill>
                        <w14:solidFill>
                          <w14:schemeClr w14:val="tx1"/>
                        </w14:solidFill>
                      </w14:textFill>
                    </w:rPr>
                    <w:t>提供C、COM、Java等主流开发API</w:t>
                  </w:r>
                </w:p>
                <w:p w14:paraId="7572624E">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1</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2.</w:t>
                  </w:r>
                  <w:r>
                    <w:rPr>
                      <w:rFonts w:hint="eastAsia" w:ascii="仿宋" w:hAnsi="仿宋" w:eastAsia="仿宋" w:cs="仿宋"/>
                      <w:color w:val="000000" w:themeColor="text1"/>
                      <w:kern w:val="0"/>
                      <w:sz w:val="24"/>
                      <w:szCs w:val="24"/>
                      <w:highlight w:val="none"/>
                      <w14:textFill>
                        <w14:solidFill>
                          <w14:schemeClr w14:val="tx1"/>
                        </w14:solidFill>
                      </w14:textFill>
                    </w:rPr>
                    <w:t>基于国产化平台，提供基于数字证书的身份认证、数据签名与签名验证服务等服务； 硬件规格：2U（机架式）；2个100/1000M自适应网口；2个10000M光口；双电源。内存：8G，存储：4T，功耗150W。 主要性能参数：SM2签名10000次/秒，验签4000次/秒</w:t>
                  </w:r>
                </w:p>
                <w:p w14:paraId="646B0191">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1</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3.</w:t>
                  </w:r>
                  <w:r>
                    <w:rPr>
                      <w:rFonts w:hint="eastAsia" w:ascii="仿宋" w:hAnsi="仿宋" w:eastAsia="仿宋" w:cs="仿宋"/>
                      <w:color w:val="000000" w:themeColor="text1"/>
                      <w:kern w:val="0"/>
                      <w:sz w:val="24"/>
                      <w:szCs w:val="24"/>
                      <w:highlight w:val="none"/>
                      <w14:textFill>
                        <w14:solidFill>
                          <w14:schemeClr w14:val="tx1"/>
                        </w14:solidFill>
                      </w14:textFill>
                    </w:rPr>
                    <w:t>电源指标：双电源</w:t>
                  </w:r>
                </w:p>
                <w:p w14:paraId="7827F2A3">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1</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4.</w:t>
                  </w:r>
                  <w:r>
                    <w:rPr>
                      <w:rFonts w:hint="eastAsia" w:ascii="仿宋" w:hAnsi="仿宋" w:eastAsia="仿宋" w:cs="仿宋"/>
                      <w:color w:val="000000" w:themeColor="text1"/>
                      <w:kern w:val="0"/>
                      <w:sz w:val="24"/>
                      <w:szCs w:val="24"/>
                      <w:highlight w:val="none"/>
                      <w14:textFill>
                        <w14:solidFill>
                          <w14:schemeClr w14:val="tx1"/>
                        </w14:solidFill>
                      </w14:textFill>
                    </w:rPr>
                    <w:t>▲产品具备IPv6 Ready Logo认证证书（提供证书证明材料）</w:t>
                  </w:r>
                </w:p>
                <w:p w14:paraId="2F9444B0">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1</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5.</w:t>
                  </w:r>
                  <w:r>
                    <w:rPr>
                      <w:rFonts w:hint="eastAsia" w:ascii="仿宋" w:hAnsi="仿宋" w:eastAsia="仿宋" w:cs="仿宋"/>
                      <w:color w:val="000000" w:themeColor="text1"/>
                      <w:kern w:val="0"/>
                      <w:sz w:val="24"/>
                      <w:szCs w:val="24"/>
                      <w:highlight w:val="none"/>
                      <w14:textFill>
                        <w14:solidFill>
                          <w14:schemeClr w14:val="tx1"/>
                        </w14:solidFill>
                      </w14:textFill>
                    </w:rPr>
                    <w:t>▲产品具备公安部计算机信息系统安全产品质量监督检验中心出具的检测报告，确保产品符合《信息安全技术 签名验签服务器技术规范GB/T 38629-2020》和《信息安全技术 通用渗透测试检测条件 JCTJ 005-2016》（6.2.1、6.2.2）相关要求（提供国家认可的第三方检测机构出具的检测报告复印件并加盖投标人鲜章）</w:t>
                  </w:r>
                </w:p>
                <w:p w14:paraId="661BD5F3">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1</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6.</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sym w:font="Wingdings" w:char="00AB"/>
                  </w:r>
                  <w:r>
                    <w:rPr>
                      <w:rFonts w:hint="eastAsia" w:ascii="仿宋" w:hAnsi="仿宋" w:eastAsia="仿宋" w:cs="仿宋"/>
                      <w:color w:val="000000" w:themeColor="text1"/>
                      <w:kern w:val="0"/>
                      <w:sz w:val="24"/>
                      <w:szCs w:val="24"/>
                      <w:highlight w:val="none"/>
                      <w14:textFill>
                        <w14:solidFill>
                          <w14:schemeClr w14:val="tx1"/>
                        </w14:solidFill>
                      </w14:textFill>
                    </w:rPr>
                    <w:t>产品具备国家密码管理局颁发的《商用密码产品认证证书》且满足密码模块安全等级第二级相关要求（提供证书证明材料）</w:t>
                  </w:r>
                </w:p>
                <w:p w14:paraId="4E36CB89">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1</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7.</w:t>
                  </w:r>
                  <w:r>
                    <w:rPr>
                      <w:rFonts w:hint="eastAsia" w:ascii="仿宋" w:hAnsi="仿宋" w:eastAsia="仿宋" w:cs="仿宋"/>
                      <w:color w:val="000000" w:themeColor="text1"/>
                      <w:kern w:val="0"/>
                      <w:sz w:val="24"/>
                      <w:szCs w:val="24"/>
                      <w:highlight w:val="none"/>
                      <w14:textFill>
                        <w14:solidFill>
                          <w14:schemeClr w14:val="tx1"/>
                        </w14:solidFill>
                      </w14:textFill>
                    </w:rPr>
                    <w:t>▲产品具备公安部计算机信息系统安全产品质量监督检验中心颁发的《网络安全专用产品安全检测证书》（提供证书证明材料）</w:t>
                  </w:r>
                </w:p>
              </w:tc>
              <w:tc>
                <w:tcPr>
                  <w:tcW w:w="609" w:type="dxa"/>
                  <w:vAlign w:val="center"/>
                </w:tcPr>
                <w:p w14:paraId="188420CA">
                  <w:pPr>
                    <w:spacing w:line="276"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2台</w:t>
                  </w:r>
                </w:p>
              </w:tc>
              <w:tc>
                <w:tcPr>
                  <w:tcW w:w="671" w:type="dxa"/>
                  <w:vAlign w:val="center"/>
                </w:tcPr>
                <w:p w14:paraId="5C23297E">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p>
              </w:tc>
            </w:tr>
            <w:tr w14:paraId="7A9F9167">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CellMar>
                  <w:top w:w="0" w:type="dxa"/>
                  <w:left w:w="108" w:type="dxa"/>
                  <w:bottom w:w="0" w:type="dxa"/>
                  <w:right w:w="108" w:type="dxa"/>
                </w:tblCellMar>
              </w:tblPrEx>
              <w:trPr>
                <w:trHeight w:val="1986" w:hRule="atLeast"/>
                <w:jc w:val="center"/>
              </w:trPr>
              <w:tc>
                <w:tcPr>
                  <w:tcW w:w="478" w:type="dxa"/>
                  <w:vAlign w:val="center"/>
                </w:tcPr>
                <w:p w14:paraId="15C57884">
                  <w:pPr>
                    <w:snapToGrid w:val="0"/>
                    <w:spacing w:before="40" w:after="40"/>
                    <w:jc w:val="center"/>
                    <w:rPr>
                      <w:rFonts w:hint="eastAsia" w:ascii="仿宋" w:hAnsi="仿宋" w:eastAsia="仿宋" w:cs="仿宋"/>
                      <w:sz w:val="24"/>
                      <w:szCs w:val="24"/>
                    </w:rPr>
                  </w:pPr>
                  <w:r>
                    <w:rPr>
                      <w:rFonts w:hint="eastAsia" w:ascii="仿宋" w:hAnsi="仿宋" w:eastAsia="仿宋" w:cs="仿宋"/>
                      <w:sz w:val="24"/>
                      <w:szCs w:val="24"/>
                    </w:rPr>
                    <w:t>3</w:t>
                  </w:r>
                </w:p>
              </w:tc>
              <w:tc>
                <w:tcPr>
                  <w:tcW w:w="740" w:type="dxa"/>
                  <w:vAlign w:val="center"/>
                </w:tcPr>
                <w:p w14:paraId="5EE73AC2">
                  <w:pPr>
                    <w:snapToGrid w:val="0"/>
                    <w:spacing w:before="40" w:after="40"/>
                    <w:jc w:val="center"/>
                    <w:rPr>
                      <w:rFonts w:hint="eastAsia" w:ascii="仿宋" w:hAnsi="仿宋" w:eastAsia="仿宋" w:cs="仿宋"/>
                      <w:sz w:val="24"/>
                      <w:szCs w:val="24"/>
                    </w:rPr>
                  </w:pPr>
                  <w:r>
                    <w:rPr>
                      <w:rFonts w:hint="eastAsia" w:ascii="仿宋" w:hAnsi="仿宋" w:eastAsia="仿宋" w:cs="仿宋"/>
                      <w:color w:val="000000" w:themeColor="text1"/>
                      <w:kern w:val="0"/>
                      <w:sz w:val="24"/>
                      <w:szCs w:val="24"/>
                      <w:highlight w:val="none"/>
                      <w14:textFill>
                        <w14:solidFill>
                          <w14:schemeClr w14:val="tx1"/>
                        </w14:solidFill>
                      </w14:textFill>
                    </w:rPr>
                    <w:t>VPN综合安全网关</w:t>
                  </w:r>
                </w:p>
              </w:tc>
              <w:tc>
                <w:tcPr>
                  <w:tcW w:w="5152" w:type="dxa"/>
                  <w:shd w:val="clear" w:color="auto" w:fill="auto"/>
                  <w:vAlign w:val="center"/>
                </w:tcPr>
                <w:p w14:paraId="7B4D7AFE">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eastAsia="zh-CN"/>
                      <w14:textFill>
                        <w14:solidFill>
                          <w14:schemeClr w14:val="tx1"/>
                        </w14:solidFill>
                      </w14:textFill>
                    </w:rPr>
                    <w:t>1.</w:t>
                  </w:r>
                  <w:r>
                    <w:rPr>
                      <w:rFonts w:hint="eastAsia" w:ascii="仿宋" w:hAnsi="仿宋" w:eastAsia="仿宋" w:cs="仿宋"/>
                      <w:color w:val="000000" w:themeColor="text1"/>
                      <w:kern w:val="0"/>
                      <w:sz w:val="24"/>
                      <w:szCs w:val="24"/>
                      <w:highlight w:val="none"/>
                      <w14:textFill>
                        <w14:solidFill>
                          <w14:schemeClr w14:val="tx1"/>
                        </w14:solidFill>
                      </w14:textFill>
                    </w:rPr>
                    <w:t>标准机架式2U服务器设备，国产CPU、国产操作系统，内存≥8G，双硬盘，其中一个硬盘≥1TB，USB接口≥3个，内置高性能密码卡，产品≥6个10/100/1000M以太网接口，≥2个SFP千兆光口，≥2个SFP+万兆光口</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1+1 冗余电源。</w:t>
                  </w:r>
                </w:p>
                <w:p w14:paraId="6BB3D943">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eastAsia="zh-CN"/>
                      <w14:textFill>
                        <w14:solidFill>
                          <w14:schemeClr w14:val="tx1"/>
                        </w14:solidFill>
                      </w14:textFill>
                    </w:rPr>
                    <w:t>2.</w:t>
                  </w:r>
                  <w:r>
                    <w:rPr>
                      <w:rFonts w:hint="eastAsia" w:ascii="仿宋" w:hAnsi="仿宋" w:eastAsia="仿宋" w:cs="仿宋"/>
                      <w:color w:val="000000" w:themeColor="text1"/>
                      <w:kern w:val="0"/>
                      <w:sz w:val="24"/>
                      <w:szCs w:val="24"/>
                      <w:highlight w:val="none"/>
                      <w14:textFill>
                        <w14:solidFill>
                          <w14:schemeClr w14:val="tx1"/>
                        </w14:solidFill>
                      </w14:textFill>
                    </w:rPr>
                    <w:t>用于安全性高，高速、高性能的应用环境支持对称算法，为信息安全传输系统提供高性能的数据加解密服务，为主机数据安全存储系统、身份认证系统以及对称、非对称密钥管理系统的主要密码设备和核心构件。</w:t>
                  </w:r>
                </w:p>
                <w:p w14:paraId="09F9AE76">
                  <w:pPr>
                    <w:spacing w:line="276" w:lineRule="auto"/>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eastAsia="zh-CN"/>
                      <w14:textFill>
                        <w14:solidFill>
                          <w14:schemeClr w14:val="tx1"/>
                        </w14:solidFill>
                      </w14:textFill>
                    </w:rPr>
                    <w:t>3.</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▲内</w:t>
                  </w:r>
                  <w:r>
                    <w:rPr>
                      <w:rFonts w:hint="eastAsia" w:ascii="仿宋" w:hAnsi="仿宋" w:eastAsia="仿宋" w:cs="仿宋"/>
                      <w:color w:val="000000" w:themeColor="text1"/>
                      <w:kern w:val="0"/>
                      <w:sz w:val="24"/>
                      <w:szCs w:val="24"/>
                      <w:highlight w:val="none"/>
                      <w14:textFill>
                        <w14:solidFill>
                          <w14:schemeClr w14:val="tx1"/>
                        </w14:solidFill>
                      </w14:textFill>
                    </w:rPr>
                    <w:t>置加密模块支持</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第三方智能密码钥匙</w:t>
                  </w:r>
                  <w:r>
                    <w:rPr>
                      <w:rFonts w:hint="eastAsia" w:ascii="仿宋" w:hAnsi="仿宋" w:eastAsia="仿宋" w:cs="仿宋"/>
                      <w:color w:val="000000" w:themeColor="text1"/>
                      <w:kern w:val="0"/>
                      <w:sz w:val="24"/>
                      <w:szCs w:val="24"/>
                      <w:highlight w:val="none"/>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（提供第三方具有CNAS资质的检测机构出具的检测报告复印件证明材料，并加盖公章）</w:t>
                  </w:r>
                </w:p>
                <w:p w14:paraId="43C104E7">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4.</w:t>
                  </w:r>
                  <w:r>
                    <w:rPr>
                      <w:rFonts w:hint="eastAsia" w:ascii="仿宋" w:hAnsi="仿宋" w:eastAsia="仿宋" w:cs="仿宋"/>
                      <w:color w:val="000000" w:themeColor="text1"/>
                      <w:kern w:val="0"/>
                      <w:sz w:val="24"/>
                      <w:szCs w:val="24"/>
                      <w:highlight w:val="none"/>
                      <w14:textFill>
                        <w14:solidFill>
                          <w14:schemeClr w14:val="tx1"/>
                        </w14:solidFill>
                      </w14:textFill>
                    </w:rPr>
                    <w:t>支持SM1、SM4等国产密码算法，基于国密技术的数据传输加密、解密方法及加解密系统。</w:t>
                  </w:r>
                </w:p>
                <w:p w14:paraId="1B186D5C">
                  <w:pPr>
                    <w:spacing w:line="276" w:lineRule="auto"/>
                    <w:jc w:val="left"/>
                    <w:rPr>
                      <w:rFonts w:hint="eastAsia" w:ascii="仿宋" w:hAnsi="仿宋" w:eastAsia="仿宋" w:cs="仿宋"/>
                      <w:color w:val="000000" w:themeColor="text1"/>
                      <w:kern w:val="0"/>
                      <w:sz w:val="24"/>
                      <w:szCs w:val="24"/>
                      <w:highlight w:val="none"/>
                      <w:lang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5.▲</w:t>
                  </w:r>
                  <w:r>
                    <w:rPr>
                      <w:rFonts w:hint="eastAsia" w:ascii="仿宋" w:hAnsi="仿宋" w:eastAsia="仿宋" w:cs="仿宋"/>
                      <w:color w:val="000000" w:themeColor="text1"/>
                      <w:kern w:val="0"/>
                      <w:sz w:val="24"/>
                      <w:szCs w:val="24"/>
                      <w:highlight w:val="none"/>
                      <w14:textFill>
                        <w14:solidFill>
                          <w14:schemeClr w14:val="tx1"/>
                        </w14:solidFill>
                      </w14:textFill>
                    </w:rPr>
                    <w:t>内置证书管理，支持三级证书链管理模式，支持内置CA颁发证书功能，支持第三方CA证书颁发功能</w:t>
                  </w:r>
                  <w:r>
                    <w:rPr>
                      <w:rFonts w:hint="eastAsia" w:ascii="仿宋" w:hAnsi="仿宋" w:eastAsia="仿宋" w:cs="仿宋"/>
                      <w:color w:val="000000" w:themeColor="text1"/>
                      <w:kern w:val="0"/>
                      <w:sz w:val="24"/>
                      <w:szCs w:val="24"/>
                      <w:highlight w:val="none"/>
                      <w:lang w:eastAsia="zh-CN"/>
                      <w14:textFill>
                        <w14:solidFill>
                          <w14:schemeClr w14:val="tx1"/>
                        </w14:solidFill>
                      </w14:textFill>
                    </w:rPr>
                    <w:t>，支</w:t>
                  </w:r>
                  <w:r>
                    <w:rPr>
                      <w:rFonts w:hint="eastAsia" w:ascii="仿宋" w:hAnsi="仿宋" w:eastAsia="仿宋" w:cs="仿宋"/>
                      <w:color w:val="000000" w:themeColor="text1"/>
                      <w:kern w:val="0"/>
                      <w:sz w:val="24"/>
                      <w:szCs w:val="24"/>
                      <w:highlight w:val="none"/>
                      <w14:textFill>
                        <w14:solidFill>
                          <w14:schemeClr w14:val="tx1"/>
                        </w14:solidFill>
                      </w14:textFill>
                    </w:rPr>
                    <w:t>持基于CRL的证书有效性验证功能，支持对接第三方CA获取国密双证书，支持导入GMT0009和GMT0016格式的加密密钥。</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提供功能截图</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p>
                <w:p w14:paraId="18711484">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eastAsia="zh-CN"/>
                      <w14:textFill>
                        <w14:solidFill>
                          <w14:schemeClr w14:val="tx1"/>
                        </w14:solidFill>
                      </w14:textFill>
                    </w:rPr>
                    <w:t>6.</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投标产品具备国家版权局颁发的《计算机软件著作权登记证书》（提供证明材料复印件，</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并</w:t>
                  </w:r>
                  <w:r>
                    <w:rPr>
                      <w:rFonts w:hint="eastAsia" w:ascii="仿宋" w:hAnsi="仿宋" w:eastAsia="仿宋" w:cs="仿宋"/>
                      <w:color w:val="000000" w:themeColor="text1"/>
                      <w:kern w:val="0"/>
                      <w:sz w:val="24"/>
                      <w:szCs w:val="24"/>
                      <w:highlight w:val="none"/>
                      <w14:textFill>
                        <w14:solidFill>
                          <w14:schemeClr w14:val="tx1"/>
                        </w14:solidFill>
                      </w14:textFill>
                    </w:rPr>
                    <w:t>加盖公章）</w:t>
                  </w:r>
                </w:p>
                <w:p w14:paraId="6D2C397F">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7.密码算法支持SM1/SM2/SM3/SM4等国密、AES/RSA/SHA/系列等国际以及CRYSTALS-KYBER、FALCON、CRYSTALS-Dilithium、Sphincs+等后量子密码算法。</w:t>
                  </w:r>
                </w:p>
                <w:p w14:paraId="30053210">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eastAsia="zh-CN"/>
                      <w14:textFill>
                        <w14:solidFill>
                          <w14:schemeClr w14:val="tx1"/>
                        </w14:solidFill>
                      </w14:textFill>
                    </w:rPr>
                    <w:t>8.</w:t>
                  </w:r>
                  <w:r>
                    <w:rPr>
                      <w:rFonts w:hint="eastAsia" w:ascii="仿宋" w:hAnsi="仿宋" w:eastAsia="仿宋" w:cs="仿宋"/>
                      <w:color w:val="000000" w:themeColor="text1"/>
                      <w:kern w:val="0"/>
                      <w:sz w:val="24"/>
                      <w:szCs w:val="24"/>
                      <w:highlight w:val="none"/>
                      <w14:textFill>
                        <w14:solidFill>
                          <w14:schemeClr w14:val="tx1"/>
                        </w14:solidFill>
                      </w14:textFill>
                    </w:rPr>
                    <w:t>产品支持IPSec、SSL、</w:t>
                  </w:r>
                  <w:r>
                    <w:rPr>
                      <w:rFonts w:hint="eastAsia" w:ascii="仿宋" w:hAnsi="仿宋" w:eastAsia="仿宋" w:cs="仿宋"/>
                      <w:color w:val="000000" w:themeColor="text1"/>
                      <w:kern w:val="0"/>
                      <w:sz w:val="24"/>
                      <w:szCs w:val="24"/>
                      <w:highlight w:val="none"/>
                      <w:lang w:eastAsia="zh-CN"/>
                      <w14:textFill>
                        <w14:solidFill>
                          <w14:schemeClr w14:val="tx1"/>
                        </w14:solidFill>
                      </w14:textFill>
                    </w:rPr>
                    <w:t>TLS</w:t>
                  </w:r>
                  <w:r>
                    <w:rPr>
                      <w:rFonts w:hint="eastAsia" w:ascii="仿宋" w:hAnsi="仿宋" w:eastAsia="仿宋" w:cs="仿宋"/>
                      <w:color w:val="000000" w:themeColor="text1"/>
                      <w:kern w:val="0"/>
                      <w:sz w:val="24"/>
                      <w:szCs w:val="24"/>
                      <w:highlight w:val="none"/>
                      <w14:textFill>
                        <w14:solidFill>
                          <w14:schemeClr w14:val="tx1"/>
                        </w14:solidFill>
                      </w14:textFill>
                    </w:rPr>
                    <w:t>等安全加密协议。</w:t>
                  </w:r>
                </w:p>
                <w:p w14:paraId="21746F91">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9.▲产品支持NAT 穿越</w:t>
                  </w:r>
                  <w:r>
                    <w:rPr>
                      <w:rFonts w:hint="eastAsia" w:ascii="仿宋" w:hAnsi="仿宋" w:eastAsia="仿宋" w:cs="仿宋"/>
                      <w:color w:val="000000" w:themeColor="text1"/>
                      <w:kern w:val="0"/>
                      <w:sz w:val="24"/>
                      <w:szCs w:val="24"/>
                      <w:highlight w:val="none"/>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提供第三方具有CNAS资质的检测机构出具的检测报告复印件证明材料，并加盖公章）</w:t>
                  </w:r>
                </w:p>
                <w:p w14:paraId="1504BC31">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eastAsia="zh-CN"/>
                      <w14:textFill>
                        <w14:solidFill>
                          <w14:schemeClr w14:val="tx1"/>
                        </w14:solidFill>
                      </w14:textFill>
                    </w:rPr>
                    <w:t>10.</w:t>
                  </w:r>
                  <w:r>
                    <w:rPr>
                      <w:rFonts w:hint="eastAsia" w:ascii="仿宋" w:hAnsi="仿宋" w:eastAsia="仿宋" w:cs="仿宋"/>
                      <w:color w:val="000000" w:themeColor="text1"/>
                      <w:kern w:val="0"/>
                      <w:sz w:val="24"/>
                      <w:szCs w:val="24"/>
                      <w:highlight w:val="none"/>
                      <w14:textFill>
                        <w14:solidFill>
                          <w14:schemeClr w14:val="tx1"/>
                        </w14:solidFill>
                      </w14:textFill>
                    </w:rPr>
                    <w:t>SSLVPN客户端支持多种认证方式</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账号+口令、USBkey、数字证书等</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，支持数据压缩，终端操作系统支持windows系列，支持linux系列、麒麟V10桌面等国产操作系统。</w:t>
                  </w:r>
                </w:p>
                <w:p w14:paraId="3B98999B">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eastAsia="zh-CN"/>
                      <w14:textFill>
                        <w14:solidFill>
                          <w14:schemeClr w14:val="tx1"/>
                        </w14:solidFill>
                      </w14:textFill>
                    </w:rPr>
                    <w:t>11.</w:t>
                  </w:r>
                  <w:r>
                    <w:rPr>
                      <w:rFonts w:hint="eastAsia" w:ascii="仿宋" w:hAnsi="仿宋" w:eastAsia="仿宋" w:cs="仿宋"/>
                      <w:color w:val="000000" w:themeColor="text1"/>
                      <w:kern w:val="0"/>
                      <w:sz w:val="24"/>
                      <w:szCs w:val="24"/>
                      <w:highlight w:val="none"/>
                      <w14:textFill>
                        <w14:solidFill>
                          <w14:schemeClr w14:val="tx1"/>
                        </w14:solidFill>
                      </w14:textFill>
                    </w:rPr>
                    <w:t>支持单点登录和多种认证方法，包括UKEY证书、动态码等。</w:t>
                  </w:r>
                </w:p>
                <w:p w14:paraId="7EA6DAC0">
                  <w:pPr>
                    <w:spacing w:line="276" w:lineRule="auto"/>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12.IPSec、SSL/TLCP等协议支持经典密码（SM）与抗量子密码（PQC）混合密钥协商和加密功能。</w:t>
                  </w:r>
                </w:p>
                <w:p w14:paraId="1F939BBF">
                  <w:pPr>
                    <w:spacing w:line="276" w:lineRule="auto"/>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13.提供零信任（SDP）功能，支持网络隐身。</w:t>
                  </w:r>
                </w:p>
                <w:p w14:paraId="4B1B32B5">
                  <w:pPr>
                    <w:spacing w:line="276" w:lineRule="auto"/>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14.少支持4000台CPE网关接入，且支持通过增加汇聚网关设备数量的方式实现平滑扩容，IPSecVPN隧道数不少于5000。</w:t>
                  </w:r>
                </w:p>
                <w:p w14:paraId="1040B719">
                  <w:pPr>
                    <w:spacing w:line="276" w:lineRule="auto"/>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15.SM4算法SSL吞吐率≥3000Mbps，SSL并发用户数≥15万，SSL并发连接数≥16万；SM4算法IPSEC吞吐率≥3000Mbps，IPSecVPN隧道数≥5000。</w:t>
                  </w:r>
                </w:p>
                <w:p w14:paraId="69E6229C">
                  <w:pPr>
                    <w:spacing w:line="276" w:lineRule="auto"/>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16.▲要求产品具备IPv6 Ready证书（提供第三方具有CNAS资质的检测机构出具的检测报告复印件证明材料，并加盖公章）</w:t>
                  </w:r>
                </w:p>
                <w:p w14:paraId="07AF5CC0">
                  <w:pPr>
                    <w:spacing w:line="276" w:lineRule="auto"/>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17.支持物理机械锁防护强拆，支持机箱面板液晶屏显示产品型号和管理网口的IP地址等信息。</w:t>
                  </w:r>
                </w:p>
                <w:p w14:paraId="012FF4B3">
                  <w:pPr>
                    <w:spacing w:line="276" w:lineRule="auto"/>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18.支持双活和主备部署模式，会话恢复时间低于2秒。</w:t>
                  </w:r>
                </w:p>
                <w:p w14:paraId="064F364B">
                  <w:pPr>
                    <w:spacing w:line="276" w:lineRule="auto"/>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20.支持与管理平台对接，远程监控运行状态、下发配置、升级固件等</w:t>
                  </w:r>
                </w:p>
                <w:p w14:paraId="069C1DEC">
                  <w:pPr>
                    <w:spacing w:line="276" w:lineRule="auto"/>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19.▲支持业务口、量子密钥口和管理口隔离，支持量子专用网口、U盾外挂方式引用量子密钥作为加密密钥，提供量子密钥与经典密钥的自动切换功能，支持抗量子计算功能。</w:t>
                  </w:r>
                </w:p>
                <w:p w14:paraId="4B64AC3B">
                  <w:pPr>
                    <w:spacing w:line="276" w:lineRule="auto"/>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（提供功能截图）</w:t>
                  </w:r>
                </w:p>
                <w:p w14:paraId="058B0CBB">
                  <w:pPr>
                    <w:spacing w:line="276" w:lineRule="auto"/>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21.支持网桥功能，支持端口聚合功能</w:t>
                  </w:r>
                </w:p>
                <w:p w14:paraId="6DE0B7D4">
                  <w:pPr>
                    <w:spacing w:line="276" w:lineRule="auto"/>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22.产品符合低湿工作、低温储存、高温工作、高温储存、冲击试验、振动试验要求。</w:t>
                  </w:r>
                </w:p>
                <w:p w14:paraId="1E25E7C5">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23.</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sym w:font="Wingdings" w:char="00AB"/>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产品经国家密码管理局审批鉴定，具备商用密码产品认证证书（第二级要求）（提供商用密码产品认证证书复印件，并加盖公章）</w:t>
                  </w:r>
                </w:p>
              </w:tc>
              <w:tc>
                <w:tcPr>
                  <w:tcW w:w="609" w:type="dxa"/>
                  <w:vAlign w:val="center"/>
                </w:tcPr>
                <w:p w14:paraId="02FC0036">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3台</w:t>
                  </w:r>
                </w:p>
              </w:tc>
              <w:tc>
                <w:tcPr>
                  <w:tcW w:w="671" w:type="dxa"/>
                  <w:vAlign w:val="center"/>
                </w:tcPr>
                <w:p w14:paraId="70DE03E8">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p>
              </w:tc>
            </w:tr>
            <w:tr w14:paraId="19CE32B4">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CellMar>
                  <w:top w:w="0" w:type="dxa"/>
                  <w:left w:w="108" w:type="dxa"/>
                  <w:bottom w:w="0" w:type="dxa"/>
                  <w:right w:w="108" w:type="dxa"/>
                </w:tblCellMar>
              </w:tblPrEx>
              <w:trPr>
                <w:jc w:val="center"/>
              </w:trPr>
              <w:tc>
                <w:tcPr>
                  <w:tcW w:w="478" w:type="dxa"/>
                  <w:vAlign w:val="center"/>
                </w:tcPr>
                <w:p w14:paraId="5915ADE6">
                  <w:pPr>
                    <w:snapToGrid w:val="0"/>
                    <w:spacing w:before="40" w:after="40"/>
                    <w:jc w:val="center"/>
                    <w:rPr>
                      <w:rFonts w:hint="eastAsia" w:ascii="仿宋" w:hAnsi="仿宋" w:eastAsia="仿宋" w:cs="仿宋"/>
                      <w:sz w:val="24"/>
                      <w:szCs w:val="24"/>
                    </w:rPr>
                  </w:pPr>
                  <w:r>
                    <w:rPr>
                      <w:rFonts w:hint="eastAsia" w:ascii="仿宋" w:hAnsi="仿宋" w:eastAsia="仿宋" w:cs="仿宋"/>
                      <w:sz w:val="24"/>
                      <w:szCs w:val="24"/>
                    </w:rPr>
                    <w:t>4</w:t>
                  </w:r>
                </w:p>
              </w:tc>
              <w:tc>
                <w:tcPr>
                  <w:tcW w:w="740" w:type="dxa"/>
                  <w:vAlign w:val="center"/>
                </w:tcPr>
                <w:p w14:paraId="2EDFAFD3">
                  <w:pPr>
                    <w:snapToGrid w:val="0"/>
                    <w:spacing w:before="40" w:after="40"/>
                    <w:jc w:val="center"/>
                    <w:rPr>
                      <w:rFonts w:hint="eastAsia" w:ascii="仿宋" w:hAnsi="仿宋" w:eastAsia="仿宋" w:cs="仿宋"/>
                      <w:sz w:val="24"/>
                      <w:szCs w:val="24"/>
                    </w:rPr>
                  </w:pPr>
                  <w:r>
                    <w:rPr>
                      <w:rFonts w:hint="eastAsia" w:ascii="仿宋" w:hAnsi="仿宋" w:eastAsia="仿宋" w:cs="仿宋"/>
                      <w:color w:val="000000" w:themeColor="text1"/>
                      <w:kern w:val="0"/>
                      <w:sz w:val="24"/>
                      <w:szCs w:val="24"/>
                      <w:highlight w:val="none"/>
                      <w14:textFill>
                        <w14:solidFill>
                          <w14:schemeClr w14:val="tx1"/>
                        </w14:solidFill>
                      </w14:textFill>
                    </w:rPr>
                    <w:t>国密浏览器</w:t>
                  </w:r>
                </w:p>
              </w:tc>
              <w:tc>
                <w:tcPr>
                  <w:tcW w:w="5152" w:type="dxa"/>
                  <w:vAlign w:val="center"/>
                </w:tcPr>
                <w:p w14:paraId="0C38079F">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eastAsia="zh-CN"/>
                      <w14:textFill>
                        <w14:solidFill>
                          <w14:schemeClr w14:val="tx1"/>
                        </w14:solidFill>
                      </w14:textFill>
                    </w:rPr>
                    <w:t>1.</w:t>
                  </w:r>
                  <w:r>
                    <w:rPr>
                      <w:rFonts w:hint="eastAsia" w:ascii="仿宋" w:hAnsi="仿宋" w:eastAsia="仿宋" w:cs="仿宋"/>
                      <w:color w:val="000000" w:themeColor="text1"/>
                      <w:kern w:val="0"/>
                      <w:sz w:val="24"/>
                      <w:szCs w:val="24"/>
                      <w:highlight w:val="none"/>
                      <w14:textFill>
                        <w14:solidFill>
                          <w14:schemeClr w14:val="tx1"/>
                        </w14:solidFill>
                      </w14:textFill>
                    </w:rPr>
                    <w:t xml:space="preserve">支持国密算法SM2、SM3、SM4。在Chrome内核、IE内核下均支持国密SSL协议； </w:t>
                  </w:r>
                </w:p>
                <w:p w14:paraId="54BE5886">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eastAsia="zh-CN"/>
                      <w14:textFill>
                        <w14:solidFill>
                          <w14:schemeClr w14:val="tx1"/>
                        </w14:solidFill>
                      </w14:textFill>
                    </w:rPr>
                    <w:t>2.</w:t>
                  </w:r>
                  <w:r>
                    <w:rPr>
                      <w:rFonts w:hint="eastAsia" w:ascii="仿宋" w:hAnsi="仿宋" w:eastAsia="仿宋" w:cs="仿宋"/>
                      <w:color w:val="000000" w:themeColor="text1"/>
                      <w:kern w:val="0"/>
                      <w:sz w:val="24"/>
                      <w:szCs w:val="24"/>
                      <w:highlight w:val="none"/>
                      <w14:textFill>
                        <w14:solidFill>
                          <w14:schemeClr w14:val="tx1"/>
                        </w14:solidFill>
                      </w14:textFill>
                    </w:rPr>
                    <w:t>支持HTML和CSS解析，支持</w:t>
                  </w:r>
                  <w:r>
                    <w:rPr>
                      <w:rFonts w:hint="eastAsia" w:ascii="仿宋" w:hAnsi="仿宋" w:eastAsia="仿宋" w:cs="仿宋"/>
                      <w:color w:val="000000" w:themeColor="text1"/>
                      <w:kern w:val="0"/>
                      <w:sz w:val="24"/>
                      <w:szCs w:val="24"/>
                      <w:highlight w:val="none"/>
                      <w:lang w:eastAsia="zh-CN"/>
                      <w14:textFill>
                        <w14:solidFill>
                          <w14:schemeClr w14:val="tx1"/>
                        </w14:solidFill>
                      </w14:textFill>
                    </w:rPr>
                    <w:t>JavaScript</w:t>
                  </w:r>
                  <w:r>
                    <w:rPr>
                      <w:rFonts w:hint="eastAsia" w:ascii="仿宋" w:hAnsi="仿宋" w:eastAsia="仿宋" w:cs="仿宋"/>
                      <w:color w:val="000000" w:themeColor="text1"/>
                      <w:kern w:val="0"/>
                      <w:sz w:val="24"/>
                      <w:szCs w:val="24"/>
                      <w:highlight w:val="none"/>
                      <w14:textFill>
                        <w14:solidFill>
                          <w14:schemeClr w14:val="tx1"/>
                        </w14:solidFill>
                      </w14:textFill>
                    </w:rPr>
                    <w:t>引擎，可以正确的渲染显示页面，支持基本的浏览器操作功能；</w:t>
                  </w:r>
                </w:p>
                <w:p w14:paraId="3391F680">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eastAsia="zh-CN"/>
                      <w14:textFill>
                        <w14:solidFill>
                          <w14:schemeClr w14:val="tx1"/>
                        </w14:solidFill>
                      </w14:textFill>
                    </w:rPr>
                    <w:t>3.</w:t>
                  </w:r>
                  <w:r>
                    <w:rPr>
                      <w:rFonts w:hint="eastAsia" w:ascii="仿宋" w:hAnsi="仿宋" w:eastAsia="仿宋" w:cs="仿宋"/>
                      <w:color w:val="000000" w:themeColor="text1"/>
                      <w:kern w:val="0"/>
                      <w:sz w:val="24"/>
                      <w:szCs w:val="24"/>
                      <w:highlight w:val="none"/>
                      <w14:textFill>
                        <w14:solidFill>
                          <w14:schemeClr w14:val="tx1"/>
                        </w14:solidFill>
                      </w14:textFill>
                    </w:rPr>
                    <w:t>支持NPAPI控件；</w:t>
                  </w:r>
                </w:p>
                <w:p w14:paraId="57B76853">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eastAsia="zh-CN"/>
                      <w14:textFill>
                        <w14:solidFill>
                          <w14:schemeClr w14:val="tx1"/>
                        </w14:solidFill>
                      </w14:textFill>
                    </w:rPr>
                    <w:t>4.</w:t>
                  </w:r>
                  <w:r>
                    <w:rPr>
                      <w:rFonts w:hint="eastAsia" w:ascii="仿宋" w:hAnsi="仿宋" w:eastAsia="仿宋" w:cs="仿宋"/>
                      <w:color w:val="000000" w:themeColor="text1"/>
                      <w:kern w:val="0"/>
                      <w:sz w:val="24"/>
                      <w:szCs w:val="24"/>
                      <w:highlight w:val="none"/>
                      <w14:textFill>
                        <w14:solidFill>
                          <w14:schemeClr w14:val="tx1"/>
                        </w14:solidFill>
                      </w14:textFill>
                    </w:rPr>
                    <w:t>支持国密算法SM2、SM3、SM4，支持国密SSL协议，适用GM/T 0024-2014《SSL VPN技术规范》；</w:t>
                  </w:r>
                </w:p>
                <w:p w14:paraId="66F6C44A">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eastAsia="zh-CN"/>
                      <w14:textFill>
                        <w14:solidFill>
                          <w14:schemeClr w14:val="tx1"/>
                        </w14:solidFill>
                      </w14:textFill>
                    </w:rPr>
                    <w:t>5.</w:t>
                  </w:r>
                  <w:r>
                    <w:rPr>
                      <w:rFonts w:hint="eastAsia" w:ascii="仿宋" w:hAnsi="仿宋" w:eastAsia="仿宋" w:cs="仿宋"/>
                      <w:color w:val="000000" w:themeColor="text1"/>
                      <w:kern w:val="0"/>
                      <w:sz w:val="24"/>
                      <w:szCs w:val="24"/>
                      <w:highlight w:val="none"/>
                      <w14:textFill>
                        <w14:solidFill>
                          <w14:schemeClr w14:val="tx1"/>
                        </w14:solidFill>
                      </w14:textFill>
                    </w:rPr>
                    <w:t>适用GB/T 38636-2020《信息安全技术 传输层密码协议（TLCP）》</w:t>
                  </w:r>
                </w:p>
                <w:p w14:paraId="70FBA82F">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eastAsia="zh-CN"/>
                      <w14:textFill>
                        <w14:solidFill>
                          <w14:schemeClr w14:val="tx1"/>
                        </w14:solidFill>
                      </w14:textFill>
                    </w:rPr>
                    <w:t>6.</w:t>
                  </w:r>
                  <w:r>
                    <w:rPr>
                      <w:rFonts w:hint="eastAsia" w:ascii="仿宋" w:hAnsi="仿宋" w:eastAsia="仿宋" w:cs="仿宋"/>
                      <w:color w:val="000000" w:themeColor="text1"/>
                      <w:kern w:val="0"/>
                      <w:sz w:val="24"/>
                      <w:szCs w:val="24"/>
                      <w:highlight w:val="none"/>
                      <w14:textFill>
                        <w14:solidFill>
                          <w14:schemeClr w14:val="tx1"/>
                        </w14:solidFill>
                      </w14:textFill>
                    </w:rPr>
                    <w:t xml:space="preserve">支持第三方电子认证中心签发的数字证书； </w:t>
                  </w:r>
                </w:p>
                <w:p w14:paraId="78842C59">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eastAsia="zh-CN"/>
                      <w14:textFill>
                        <w14:solidFill>
                          <w14:schemeClr w14:val="tx1"/>
                        </w14:solidFill>
                      </w14:textFill>
                    </w:rPr>
                    <w:t>7.</w:t>
                  </w:r>
                  <w:r>
                    <w:rPr>
                      <w:rFonts w:hint="eastAsia" w:ascii="仿宋" w:hAnsi="仿宋" w:eastAsia="仿宋" w:cs="仿宋"/>
                      <w:color w:val="000000" w:themeColor="text1"/>
                      <w:kern w:val="0"/>
                      <w:sz w:val="24"/>
                      <w:szCs w:val="24"/>
                      <w:highlight w:val="none"/>
                      <w14:textFill>
                        <w14:solidFill>
                          <w14:schemeClr w14:val="tx1"/>
                        </w14:solidFill>
                      </w14:textFill>
                    </w:rPr>
                    <w:t>支持Windows XP SP3/Windows 7/Windows 8/Windows10/Windows11系列操作系统，支持32位、64位；</w:t>
                  </w:r>
                </w:p>
              </w:tc>
              <w:tc>
                <w:tcPr>
                  <w:tcW w:w="609" w:type="dxa"/>
                  <w:vAlign w:val="center"/>
                </w:tcPr>
                <w:p w14:paraId="79081FBF">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5个</w:t>
                  </w:r>
                </w:p>
              </w:tc>
              <w:tc>
                <w:tcPr>
                  <w:tcW w:w="671" w:type="dxa"/>
                  <w:vAlign w:val="center"/>
                </w:tcPr>
                <w:p w14:paraId="5397876D">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p>
              </w:tc>
            </w:tr>
            <w:tr w14:paraId="1B8AD9E4">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CellMar>
                  <w:top w:w="0" w:type="dxa"/>
                  <w:left w:w="108" w:type="dxa"/>
                  <w:bottom w:w="0" w:type="dxa"/>
                  <w:right w:w="108" w:type="dxa"/>
                </w:tblCellMar>
              </w:tblPrEx>
              <w:trPr>
                <w:jc w:val="center"/>
              </w:trPr>
              <w:tc>
                <w:tcPr>
                  <w:tcW w:w="478" w:type="dxa"/>
                  <w:vAlign w:val="center"/>
                </w:tcPr>
                <w:p w14:paraId="42FFC2B9">
                  <w:pPr>
                    <w:snapToGrid w:val="0"/>
                    <w:spacing w:before="40" w:after="40"/>
                    <w:jc w:val="center"/>
                    <w:rPr>
                      <w:rFonts w:hint="eastAsia" w:ascii="仿宋" w:hAnsi="仿宋" w:eastAsia="仿宋" w:cs="仿宋"/>
                      <w:sz w:val="24"/>
                      <w:szCs w:val="24"/>
                    </w:rPr>
                  </w:pPr>
                  <w:r>
                    <w:rPr>
                      <w:rFonts w:hint="eastAsia" w:ascii="仿宋" w:hAnsi="仿宋" w:eastAsia="仿宋" w:cs="仿宋"/>
                      <w:color w:val="000000" w:themeColor="text1"/>
                      <w:kern w:val="0"/>
                      <w:sz w:val="24"/>
                      <w:szCs w:val="24"/>
                      <w:highlight w:val="none"/>
                      <w14:textFill>
                        <w14:solidFill>
                          <w14:schemeClr w14:val="tx1"/>
                        </w14:solidFill>
                      </w14:textFill>
                    </w:rPr>
                    <w:t>5</w:t>
                  </w:r>
                </w:p>
              </w:tc>
              <w:tc>
                <w:tcPr>
                  <w:tcW w:w="740" w:type="dxa"/>
                  <w:vAlign w:val="center"/>
                </w:tcPr>
                <w:p w14:paraId="2CCDB0AF">
                  <w:pPr>
                    <w:snapToGrid w:val="0"/>
                    <w:spacing w:before="40" w:after="40"/>
                    <w:jc w:val="center"/>
                    <w:rPr>
                      <w:rFonts w:hint="eastAsia" w:ascii="仿宋" w:hAnsi="仿宋" w:eastAsia="仿宋" w:cs="仿宋"/>
                      <w:sz w:val="24"/>
                      <w:szCs w:val="24"/>
                    </w:rPr>
                  </w:pPr>
                  <w:r>
                    <w:rPr>
                      <w:rFonts w:hint="eastAsia" w:ascii="仿宋" w:hAnsi="仿宋" w:eastAsia="仿宋" w:cs="仿宋"/>
                      <w:color w:val="000000" w:themeColor="text1"/>
                      <w:kern w:val="0"/>
                      <w:sz w:val="24"/>
                      <w:szCs w:val="24"/>
                      <w:highlight w:val="none"/>
                      <w14:textFill>
                        <w14:solidFill>
                          <w14:schemeClr w14:val="tx1"/>
                        </w14:solidFill>
                      </w14:textFill>
                    </w:rPr>
                    <w:t>国密门禁系统</w:t>
                  </w:r>
                </w:p>
              </w:tc>
              <w:tc>
                <w:tcPr>
                  <w:tcW w:w="5152" w:type="dxa"/>
                  <w:shd w:val="clear" w:color="auto" w:fill="auto"/>
                  <w:vAlign w:val="center"/>
                </w:tcPr>
                <w:p w14:paraId="4EA15ABD">
                  <w:pPr>
                    <w:spacing w:line="276" w:lineRule="auto"/>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系统组件含（门禁管理系统+加密系统+完整性审计系统+服务器+加密卡+加密套件），门禁网关整体支持接入8路门禁，系统配件包含1套门禁控制器，1套按键读卡器，10张门禁卡,1套出门按钮；</w:t>
                  </w:r>
                </w:p>
                <w:p w14:paraId="2221E14D">
                  <w:pPr>
                    <w:spacing w:line="276" w:lineRule="auto"/>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功能参数：</w:t>
                  </w:r>
                </w:p>
                <w:p w14:paraId="46F26BB2">
                  <w:pPr>
                    <w:spacing w:line="276" w:lineRule="auto"/>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1、系统功能至少具备基础信息管理、消费业务管理、门禁业务管理、考勤业务管理、巡更业务管理、访客管理、报表与查询等功能（提供加盖原厂公章的产品页面截图）。</w:t>
                  </w:r>
                </w:p>
                <w:p w14:paraId="395084FB">
                  <w:pPr>
                    <w:spacing w:line="276" w:lineRule="auto"/>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2、支持数据导入、导入查询功能，在有大量的部门数据、人员数据时，可以通过数据导入添加部门及人员（提供加盖原厂公章的产品页面截图）。</w:t>
                  </w:r>
                </w:p>
                <w:p w14:paraId="5CBE3720">
                  <w:pPr>
                    <w:spacing w:line="276" w:lineRule="auto"/>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3、</w:t>
                  </w:r>
                  <w:r>
                    <w:rPr>
                      <w:rFonts w:hint="eastAsia" w:ascii="仿宋" w:hAnsi="仿宋" w:eastAsia="仿宋" w:cs="仿宋"/>
                      <w:color w:val="000000" w:themeColor="text1"/>
                      <w:kern w:val="0"/>
                      <w:sz w:val="24"/>
                      <w:szCs w:val="24"/>
                      <w:highlight w:val="none"/>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支持对门禁进出记录完整性保护，可通过页面直接查看完整性记录情况。门禁完整性的设计采用的SM2算法，提供产品的进出记录完整性保护实现的代码片段（提供产品页面和代码片段截图）。</w:t>
                  </w:r>
                </w:p>
                <w:p w14:paraId="4C9CAF75">
                  <w:pPr>
                    <w:spacing w:line="276" w:lineRule="auto"/>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4、报表功能：按自定义时间加按可以按员工姓名，门，部门、工号等查询通行，拒绝明细表，未关门员工表。可以查询员工详细报表（提供产品页面截图）。</w:t>
                  </w:r>
                </w:p>
                <w:p w14:paraId="202ECA8E">
                  <w:pPr>
                    <w:spacing w:line="276" w:lineRule="auto"/>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5、支持巡更任务的管理能力，巡更任务管理用来管理在线巡更的巡更人员、巡更事件、巡更任务等（提供产品页面截图）。</w:t>
                  </w:r>
                </w:p>
                <w:p w14:paraId="6A7308A1">
                  <w:pPr>
                    <w:spacing w:line="276" w:lineRule="auto"/>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6、授权管理，支持可进行分时段、分级别、分区域管理，权限组管理用来管理访问组、门组、时间段和假日设置，支持授权仅卡方式开门、卡+密码方式开门等（提供产品页面截图）。</w:t>
                  </w:r>
                </w:p>
                <w:p w14:paraId="26DCED47">
                  <w:pPr>
                    <w:spacing w:line="276" w:lineRule="auto"/>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7、</w:t>
                  </w:r>
                  <w:r>
                    <w:rPr>
                      <w:rFonts w:hint="eastAsia" w:ascii="仿宋" w:hAnsi="仿宋" w:eastAsia="仿宋" w:cs="仿宋"/>
                      <w:color w:val="000000" w:themeColor="text1"/>
                      <w:kern w:val="0"/>
                      <w:sz w:val="24"/>
                      <w:szCs w:val="24"/>
                      <w:highlight w:val="none"/>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要求产品支持安全有效的密评取证，且取证过程中从产品导出的对应取证材料，支持通过原厂自有的安全加密终端进行加密，且具备定向加解密能力，加密的取证材料，只有测评公司的指定人员才可以打开，提供原厂安全加密终端的软件著作权与第三方检测报告。</w:t>
                  </w:r>
                </w:p>
                <w:p w14:paraId="0C4B6417">
                  <w:pPr>
                    <w:spacing w:line="276" w:lineRule="auto"/>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8、门禁管理系统软件应具有国家版权局颁发的软件著作权证书。（提供相关认证证书）</w:t>
                  </w:r>
                </w:p>
                <w:p w14:paraId="2751660C">
                  <w:pPr>
                    <w:spacing w:line="276" w:lineRule="auto"/>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9、</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sym w:font="Wingdings" w:char="00AB"/>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具有符合GM/T0036的国密产品认证证书。（提供相关认证证书）</w:t>
                  </w:r>
                </w:p>
                <w:p w14:paraId="3CEBCEAD">
                  <w:pPr>
                    <w:spacing w:line="276" w:lineRule="auto"/>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kern w:val="0"/>
                      <w:sz w:val="24"/>
                      <w:szCs w:val="24"/>
                      <w:highlight w:val="none"/>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国密门禁管理系统服务器具备中国国家强制性产品认证证书。（提供中国国家强制性产品认证证书）</w:t>
                  </w:r>
                </w:p>
                <w:p w14:paraId="0E662BF3">
                  <w:pPr>
                    <w:snapToGrid w:val="0"/>
                    <w:ind w:left="0" w:leftChars="0" w:right="0" w:rightChars="0" w:firstLine="0" w:firstLineChars="0"/>
                    <w:jc w:val="left"/>
                    <w:rPr>
                      <w:rFonts w:hint="eastAsia" w:ascii="仿宋" w:hAnsi="仿宋" w:eastAsia="仿宋" w:cs="仿宋"/>
                      <w:color w:val="FF0000"/>
                      <w:sz w:val="24"/>
                      <w:szCs w:val="24"/>
                      <w:lang w:val="en-US" w:eastAsia="zh-CN"/>
                    </w:rPr>
                  </w:pPr>
                </w:p>
              </w:tc>
              <w:tc>
                <w:tcPr>
                  <w:tcW w:w="609" w:type="dxa"/>
                  <w:vAlign w:val="center"/>
                </w:tcPr>
                <w:p w14:paraId="247E8CE0">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2套</w:t>
                  </w:r>
                </w:p>
              </w:tc>
              <w:tc>
                <w:tcPr>
                  <w:tcW w:w="671" w:type="dxa"/>
                  <w:vAlign w:val="center"/>
                </w:tcPr>
                <w:p w14:paraId="04EE35D4">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p>
              </w:tc>
            </w:tr>
            <w:tr w14:paraId="5D05E264">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CellMar>
                  <w:top w:w="0" w:type="dxa"/>
                  <w:left w:w="108" w:type="dxa"/>
                  <w:bottom w:w="0" w:type="dxa"/>
                  <w:right w:w="108" w:type="dxa"/>
                </w:tblCellMar>
              </w:tblPrEx>
              <w:trPr>
                <w:jc w:val="center"/>
              </w:trPr>
              <w:tc>
                <w:tcPr>
                  <w:tcW w:w="478" w:type="dxa"/>
                  <w:vAlign w:val="center"/>
                </w:tcPr>
                <w:p w14:paraId="75D59DB8">
                  <w:pPr>
                    <w:spacing w:line="276"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6</w:t>
                  </w:r>
                </w:p>
              </w:tc>
              <w:tc>
                <w:tcPr>
                  <w:tcW w:w="740" w:type="dxa"/>
                  <w:vAlign w:val="center"/>
                </w:tcPr>
                <w:p w14:paraId="70D0B7F2">
                  <w:pPr>
                    <w:spacing w:line="276"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密码服务平台</w:t>
                  </w:r>
                </w:p>
              </w:tc>
              <w:tc>
                <w:tcPr>
                  <w:tcW w:w="5152" w:type="dxa"/>
                  <w:vAlign w:val="center"/>
                </w:tcPr>
                <w:p w14:paraId="6C4F56DF">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eastAsia="zh-CN"/>
                      <w14:textFill>
                        <w14:solidFill>
                          <w14:schemeClr w14:val="tx1"/>
                        </w14:solidFill>
                      </w14:textFill>
                    </w:rPr>
                    <w:t>1.</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sym w:font="Wingdings" w:char="00AB"/>
                  </w:r>
                  <w:r>
                    <w:rPr>
                      <w:rFonts w:hint="eastAsia" w:ascii="仿宋" w:hAnsi="仿宋" w:eastAsia="仿宋" w:cs="仿宋"/>
                      <w:color w:val="000000" w:themeColor="text1"/>
                      <w:kern w:val="0"/>
                      <w:sz w:val="24"/>
                      <w:szCs w:val="24"/>
                      <w:highlight w:val="none"/>
                      <w14:textFill>
                        <w14:solidFill>
                          <w14:schemeClr w14:val="tx1"/>
                        </w14:solidFill>
                      </w14:textFill>
                    </w:rPr>
                    <w:t>作为应用对接的主媒介，向上对接应用，向下联通密码机等密码设备，提供统一的机密性、完整性及可选的抗抵赖与时间戳等密码应用服务，提供国家密码管理局颁发的《商用密码产品认证证书》</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（第二级要求）</w:t>
                  </w:r>
                  <w:r>
                    <w:rPr>
                      <w:rFonts w:hint="eastAsia" w:ascii="仿宋" w:hAnsi="仿宋" w:eastAsia="仿宋" w:cs="仿宋"/>
                      <w:color w:val="000000" w:themeColor="text1"/>
                      <w:kern w:val="0"/>
                      <w:sz w:val="24"/>
                      <w:szCs w:val="24"/>
                      <w:highlight w:val="none"/>
                      <w14:textFill>
                        <w14:solidFill>
                          <w14:schemeClr w14:val="tx1"/>
                        </w14:solidFill>
                      </w14:textFill>
                    </w:rPr>
                    <w:t>。</w:t>
                  </w:r>
                </w:p>
                <w:p w14:paraId="1C51B097">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eastAsia="zh-CN"/>
                      <w14:textFill>
                        <w14:solidFill>
                          <w14:schemeClr w14:val="tx1"/>
                        </w14:solidFill>
                      </w14:textFill>
                    </w:rPr>
                    <w:t>2.</w:t>
                  </w:r>
                  <w:r>
                    <w:rPr>
                      <w:rFonts w:hint="eastAsia" w:ascii="仿宋" w:hAnsi="仿宋" w:eastAsia="仿宋" w:cs="仿宋"/>
                      <w:color w:val="000000" w:themeColor="text1"/>
                      <w:kern w:val="0"/>
                      <w:sz w:val="24"/>
                      <w:szCs w:val="24"/>
                      <w:highlight w:val="none"/>
                      <w14:textFill>
                        <w14:solidFill>
                          <w14:schemeClr w14:val="tx1"/>
                        </w14:solidFill>
                      </w14:textFill>
                    </w:rPr>
                    <w:t>要求产品支持分布式部署，且具备先进的密钥管理能力，提供对应专利证书；</w:t>
                  </w:r>
                </w:p>
                <w:p w14:paraId="026E741C">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eastAsia="zh-CN"/>
                      <w14:textFill>
                        <w14:solidFill>
                          <w14:schemeClr w14:val="tx1"/>
                        </w14:solidFill>
                      </w14:textFill>
                    </w:rPr>
                    <w:t>3.</w:t>
                  </w:r>
                  <w:r>
                    <w:rPr>
                      <w:rFonts w:hint="eastAsia" w:ascii="仿宋" w:hAnsi="仿宋" w:eastAsia="仿宋" w:cs="仿宋"/>
                      <w:color w:val="000000" w:themeColor="text1"/>
                      <w:kern w:val="0"/>
                      <w:sz w:val="24"/>
                      <w:szCs w:val="24"/>
                      <w:highlight w:val="none"/>
                      <w14:textFill>
                        <w14:solidFill>
                          <w14:schemeClr w14:val="tx1"/>
                        </w14:solidFill>
                      </w14:textFill>
                    </w:rPr>
                    <w:t>具备密码运算服务横向扩展能力，支持平滑扩展计算节点与密码资源设备；</w:t>
                  </w:r>
                </w:p>
                <w:p w14:paraId="6CED1D37">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eastAsia="zh-CN"/>
                      <w14:textFill>
                        <w14:solidFill>
                          <w14:schemeClr w14:val="tx1"/>
                        </w14:solidFill>
                      </w14:textFill>
                    </w:rPr>
                    <w:t>4.</w:t>
                  </w:r>
                  <w:r>
                    <w:rPr>
                      <w:rFonts w:hint="eastAsia" w:ascii="仿宋" w:hAnsi="仿宋" w:eastAsia="仿宋" w:cs="仿宋"/>
                      <w:color w:val="000000" w:themeColor="text1"/>
                      <w:kern w:val="0"/>
                      <w:sz w:val="24"/>
                      <w:szCs w:val="24"/>
                      <w:highlight w:val="none"/>
                      <w14:textFill>
                        <w14:solidFill>
                          <w14:schemeClr w14:val="tx1"/>
                        </w14:solidFill>
                      </w14:textFill>
                    </w:rPr>
                    <w:t>要求密码服务平台在接口能力上提供：数据加解密接口、数字信封加解密接口、签发验证时间戳接口、签名验签接口、批量签名验签接口、大文件加解密接口；</w:t>
                  </w:r>
                </w:p>
                <w:p w14:paraId="32B83804">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5</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拥有多元化的计量方式配置，可实现调用次数计量、数据流量计量、按时间套餐计量等多种计量方式</w:t>
                  </w:r>
                </w:p>
                <w:p w14:paraId="76C33051">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6</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提供证书生命周期的管理功能。</w:t>
                  </w:r>
                </w:p>
                <w:p w14:paraId="38428D05">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7</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提供对称密钥管理、非对称密钥管理以及密钥归档管理功能</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要求具备抗量子的密钥管理扩展功能，提供对应的抗量子密钥管理功能的软件著作权证书</w:t>
                  </w:r>
                  <w:r>
                    <w:rPr>
                      <w:rFonts w:hint="eastAsia" w:ascii="仿宋" w:hAnsi="仿宋" w:eastAsia="仿宋" w:cs="仿宋"/>
                      <w:color w:val="000000" w:themeColor="text1"/>
                      <w:kern w:val="0"/>
                      <w:sz w:val="24"/>
                      <w:szCs w:val="24"/>
                      <w:highlight w:val="none"/>
                      <w14:textFill>
                        <w14:solidFill>
                          <w14:schemeClr w14:val="tx1"/>
                        </w14:solidFill>
                      </w14:textFill>
                    </w:rPr>
                    <w:t>。</w:t>
                  </w:r>
                </w:p>
                <w:p w14:paraId="527F1C6B">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8</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要求密码服务平台在云环境下具备资源管理的能力，能够对应用、密码资源、证书以及密钥进行有效的管理，</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提供产品功能截图与对应功能的软件著作权证书</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并加盖公章</w:t>
                  </w:r>
                  <w:r>
                    <w:rPr>
                      <w:rFonts w:hint="eastAsia" w:ascii="仿宋" w:hAnsi="仿宋" w:eastAsia="仿宋" w:cs="仿宋"/>
                      <w:color w:val="000000" w:themeColor="text1"/>
                      <w:kern w:val="0"/>
                      <w:sz w:val="24"/>
                      <w:szCs w:val="24"/>
                      <w:highlight w:val="none"/>
                      <w14:textFill>
                        <w14:solidFill>
                          <w14:schemeClr w14:val="tx1"/>
                        </w14:solidFill>
                      </w14:textFill>
                    </w:rPr>
                    <w:t>。</w:t>
                  </w:r>
                </w:p>
                <w:p w14:paraId="5F885D94">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9</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采用统一的服务流程，业务单位申请，主管单位审核，运维单位审核通过，系统自动开通密码服务，最大程度降低密码服务的接入难度。</w:t>
                  </w:r>
                </w:p>
                <w:p w14:paraId="67A6FFDB">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eastAsia="zh-CN"/>
                      <w14:textFill>
                        <w14:solidFill>
                          <w14:schemeClr w14:val="tx1"/>
                        </w14:solidFill>
                      </w14:textFill>
                    </w:rPr>
                    <w:t>1</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0</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面向运维人员提供交易监控、服务监控、设备监控、密钥监控，并支持下钻到详细页面，提供个性化的报表展现。</w:t>
                  </w:r>
                </w:p>
                <w:p w14:paraId="39821E77">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eastAsia="zh-CN"/>
                      <w14:textFill>
                        <w14:solidFill>
                          <w14:schemeClr w14:val="tx1"/>
                        </w14:solidFill>
                      </w14:textFill>
                    </w:rPr>
                    <w:t>1</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要求项目密码服务平台具备统一的服务能力，提供完善的密码服务申请与开通流程，最大程度降低密码服务的接入难度，并提供服务申请、业务审批、技术审批等业务流程节点。同时具备计量管理、信息管理以及台账管理等功能实现密码服务工作的全面管理，</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提供产品功能截图与对应功能的软件著作权证书</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并加盖公章</w:t>
                  </w:r>
                  <w:r>
                    <w:rPr>
                      <w:rFonts w:hint="eastAsia" w:ascii="仿宋" w:hAnsi="仿宋" w:eastAsia="仿宋" w:cs="仿宋"/>
                      <w:color w:val="000000" w:themeColor="text1"/>
                      <w:kern w:val="0"/>
                      <w:sz w:val="24"/>
                      <w:szCs w:val="24"/>
                      <w:highlight w:val="none"/>
                      <w14:textFill>
                        <w14:solidFill>
                          <w14:schemeClr w14:val="tx1"/>
                        </w14:solidFill>
                      </w14:textFill>
                    </w:rPr>
                    <w:t>。</w:t>
                  </w:r>
                </w:p>
                <w:p w14:paraId="27C6E864">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eastAsia="zh-CN"/>
                      <w14:textFill>
                        <w14:solidFill>
                          <w14:schemeClr w14:val="tx1"/>
                        </w14:solidFill>
                      </w14:textFill>
                    </w:rPr>
                    <w:t>1</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2</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要求密码服务平台具备统一的运维能力，提供资源监控、故障告警以及工单管理等一系列流程化的运维能力，提供产品功能截图与对应功能的软件著作权证书</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并加盖公章</w:t>
                  </w:r>
                  <w:r>
                    <w:rPr>
                      <w:rFonts w:hint="eastAsia" w:ascii="仿宋" w:hAnsi="仿宋" w:eastAsia="仿宋" w:cs="仿宋"/>
                      <w:color w:val="000000" w:themeColor="text1"/>
                      <w:kern w:val="0"/>
                      <w:sz w:val="24"/>
                      <w:szCs w:val="24"/>
                      <w:highlight w:val="none"/>
                      <w14:textFill>
                        <w14:solidFill>
                          <w14:schemeClr w14:val="tx1"/>
                        </w14:solidFill>
                      </w14:textFill>
                    </w:rPr>
                    <w:t>。</w:t>
                  </w:r>
                </w:p>
                <w:p w14:paraId="68650075">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13.▲</w:t>
                  </w:r>
                  <w:r>
                    <w:rPr>
                      <w:rFonts w:hint="eastAsia" w:ascii="仿宋" w:hAnsi="仿宋" w:eastAsia="仿宋" w:cs="仿宋"/>
                      <w:color w:val="000000" w:themeColor="text1"/>
                      <w:kern w:val="0"/>
                      <w:sz w:val="24"/>
                      <w:szCs w:val="24"/>
                      <w:highlight w:val="none"/>
                      <w14:textFill>
                        <w14:solidFill>
                          <w14:schemeClr w14:val="tx1"/>
                        </w14:solidFill>
                      </w14:textFill>
                    </w:rPr>
                    <w:t>资源管理系统：提供服务网关、服务治理、密码策略、密钥管理和设备管理等功能，向下遵循规范兼容各厂商密码设备，提供异构厂商设备纳管功能；向上为业务应用提供统一的密码服务接口（restFUL、Java、C等），降低业务应用的接入难度，并提供服务治理能力，确保密码服务的高可用</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提供产品功能截图与对应功能的软件著作权证书</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并加盖公章</w:t>
                  </w:r>
                </w:p>
                <w:p w14:paraId="53C3A6E0">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14.▲安全中心：</w:t>
                  </w:r>
                  <w:r>
                    <w:rPr>
                      <w:rFonts w:hint="eastAsia" w:ascii="仿宋" w:hAnsi="仿宋" w:eastAsia="仿宋" w:cs="仿宋"/>
                      <w:color w:val="000000" w:themeColor="text1"/>
                      <w:kern w:val="0"/>
                      <w:sz w:val="24"/>
                      <w:szCs w:val="24"/>
                      <w:highlight w:val="none"/>
                      <w14:textFill>
                        <w14:solidFill>
                          <w14:schemeClr w14:val="tx1"/>
                        </w14:solidFill>
                      </w14:textFill>
                    </w:rPr>
                    <w:t>系统从业务应用、密码资源和密码服务三方面为运维人员提供系统运维和系统监控能力，可实时查看密码交易量、密码交易趋势、密码交易性能，实时监控密码服务健康状况，及时了解密码资源使用情况，为密码资源扩容和密码服务能力提升提供决策依据</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提供产品功能截图与对应功能的软件著作权证书</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并加盖公章</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p>
              </w:tc>
              <w:tc>
                <w:tcPr>
                  <w:tcW w:w="609" w:type="dxa"/>
                  <w:vAlign w:val="center"/>
                </w:tcPr>
                <w:p w14:paraId="59296BBE">
                  <w:pPr>
                    <w:spacing w:line="276"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1套</w:t>
                  </w:r>
                </w:p>
              </w:tc>
              <w:tc>
                <w:tcPr>
                  <w:tcW w:w="671" w:type="dxa"/>
                  <w:vAlign w:val="center"/>
                </w:tcPr>
                <w:p w14:paraId="284A5260">
                  <w:pPr>
                    <w:spacing w:line="276"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纯软需要提供硬件资源</w:t>
                  </w:r>
                </w:p>
              </w:tc>
            </w:tr>
            <w:tr w14:paraId="2318EF2A">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CellMar>
                  <w:top w:w="0" w:type="dxa"/>
                  <w:left w:w="108" w:type="dxa"/>
                  <w:bottom w:w="0" w:type="dxa"/>
                  <w:right w:w="108" w:type="dxa"/>
                </w:tblCellMar>
              </w:tblPrEx>
              <w:trPr>
                <w:jc w:val="center"/>
              </w:trPr>
              <w:tc>
                <w:tcPr>
                  <w:tcW w:w="478" w:type="dxa"/>
                  <w:vAlign w:val="center"/>
                </w:tcPr>
                <w:p w14:paraId="15C8C54B">
                  <w:pPr>
                    <w:spacing w:line="276"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7</w:t>
                  </w:r>
                </w:p>
              </w:tc>
              <w:tc>
                <w:tcPr>
                  <w:tcW w:w="740" w:type="dxa"/>
                  <w:vAlign w:val="center"/>
                </w:tcPr>
                <w:p w14:paraId="5F697BCE">
                  <w:pPr>
                    <w:spacing w:line="276"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数据库加密系统</w:t>
                  </w:r>
                </w:p>
              </w:tc>
              <w:tc>
                <w:tcPr>
                  <w:tcW w:w="5152" w:type="dxa"/>
                  <w:vAlign w:val="center"/>
                </w:tcPr>
                <w:p w14:paraId="59EAE9B6">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eastAsia="zh-CN"/>
                      <w14:textFill>
                        <w14:solidFill>
                          <w14:schemeClr w14:val="tx1"/>
                        </w14:solidFill>
                      </w14:textFill>
                    </w:rPr>
                    <w:t>1.</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全面兼容主流及国产数据库，包含Oracle、Mysql、MariaDB、SqlSever、DB2、HIve、达梦、PostgreSQL、GreenPlum、AntDB、海量数据库、人大金仓、GBase8a、KingbaseAnalyticsDB、Redis、Hbase、MongoDB、优炫、AIDB、TIDB、es、udal、瀚高数据库、teledb、telepg、磐维数据库、高斯数据库、Oceanbase</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提供产品功能截图</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p>
                <w:p w14:paraId="02EC4621">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eastAsia="zh-CN"/>
                      <w14:textFill>
                        <w14:solidFill>
                          <w14:schemeClr w14:val="tx1"/>
                        </w14:solidFill>
                      </w14:textFill>
                    </w:rPr>
                    <w:t>2.</w:t>
                  </w:r>
                  <w:r>
                    <w:rPr>
                      <w:rFonts w:hint="eastAsia" w:ascii="仿宋" w:hAnsi="仿宋" w:eastAsia="仿宋" w:cs="仿宋"/>
                      <w:color w:val="000000" w:themeColor="text1"/>
                      <w:kern w:val="0"/>
                      <w:sz w:val="24"/>
                      <w:szCs w:val="24"/>
                      <w:highlight w:val="none"/>
                      <w14:textFill>
                        <w14:solidFill>
                          <w14:schemeClr w14:val="tx1"/>
                        </w14:solidFill>
                      </w14:textFill>
                    </w:rPr>
                    <w:t>数据库加密功能</w:t>
                  </w:r>
                </w:p>
                <w:p w14:paraId="76298902">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支持加密数据源基础管理功能，可实现加密数据源的新增、删除全流程操作。</w:t>
                  </w:r>
                </w:p>
                <w:p w14:paraId="67A8F5FB">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支持数据源信息可视化展示，可完整呈现地址/域名、端口号、数据库类型、实例（库）、数据库扫描状态、加密类型、加密设置状态及操作选项等核心信息。</w:t>
                  </w:r>
                </w:p>
                <w:p w14:paraId="247ADA98">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支持数据表信息自动周期更新，无需人工手动操作，实现数据源信息智能同步。</w:t>
                  </w:r>
                </w:p>
                <w:p w14:paraId="304F7FB1">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支持加密插件与系统Web管理端通信状态实时监控，可及时感知通信异常情况。</w:t>
                  </w:r>
                </w:p>
                <w:p w14:paraId="6E34B2CF">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支持内置敏感数据扫描能力，可自动识别各接入数据源中的敏感数据资产，实现资产摸排自动化。</w:t>
                  </w:r>
                </w:p>
                <w:p w14:paraId="142F49C8">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支持加密策略设置、加解密任务生成、策略检索、配置详情查看等全流程功能。</w:t>
                  </w:r>
                </w:p>
                <w:p w14:paraId="4B1B4BBB">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支持加密数据源基础管理，可新增、删除加密数据源</w:t>
                  </w:r>
                </w:p>
                <w:p w14:paraId="4C30A94E">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支持可视化展示数据源信息：地址/域名、端口号、数据库类型、实例（库）、数据库扫描状态、加密类型、加密设置状态、操作选项</w:t>
                  </w:r>
                </w:p>
                <w:p w14:paraId="213CE8CC">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支持自动周期更新数据表信息，无需人工手动刷新</w:t>
                  </w:r>
                </w:p>
                <w:p w14:paraId="156FEC58">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支持加密插件与系统Web端通信状态实时监控，异常可及时感知</w:t>
                  </w:r>
                </w:p>
                <w:p w14:paraId="7D6B059A">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内置敏感数据扫描功能，可自动识别各数据源内的敏感数据资产</w:t>
                  </w:r>
                </w:p>
                <w:p w14:paraId="2FF39977">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加密配置支持加密策略设置、加解密任务生成、策略搜索、配置查看全流程操作</w:t>
                  </w:r>
                </w:p>
                <w:p w14:paraId="719C06EC">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3</w:t>
                  </w:r>
                  <w:r>
                    <w:rPr>
                      <w:rFonts w:hint="eastAsia" w:ascii="仿宋" w:hAnsi="仿宋" w:eastAsia="仿宋" w:cs="仿宋"/>
                      <w:color w:val="000000" w:themeColor="text1"/>
                      <w:kern w:val="0"/>
                      <w:sz w:val="24"/>
                      <w:szCs w:val="24"/>
                      <w:highlight w:val="none"/>
                      <w14:textFill>
                        <w14:solidFill>
                          <w14:schemeClr w14:val="tx1"/>
                        </w14:solidFill>
                      </w14:textFill>
                    </w:rPr>
                    <w:t>. 视图触发器字段加密</w:t>
                  </w:r>
                </w:p>
                <w:p w14:paraId="35A65FAD">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产品须采用视图触发器库内扩展字段加密技术，对数据库敏感字段进行加密处理，加密数据以密文形式落地存储，保障存储层数据安全。</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提供产品功能截图</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p>
                <w:p w14:paraId="53D7DBF2">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产品须兼容SM4、DES、3DES、AES128、AES192、AES256、BF、CAST、IDEA、RC2、RC4、RC5、SEED、SM1、SM7、FPE+SM4等全品类商用及国密加密算法。</w:t>
                  </w:r>
                </w:p>
                <w:p w14:paraId="2863D6D2">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产品须支持ECB、GCM、CBC多种主流加密模式，可根据业务场景自定义配置。</w:t>
                  </w:r>
                </w:p>
                <w:p w14:paraId="67855A46">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产品须支持加密字段密文索引的新建与删除操作，有效保障加密后数据的查询检索效率，不影响业务访问性能。</w:t>
                  </w:r>
                </w:p>
                <w:p w14:paraId="4133E2FC">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采用视图触发器库内扩展字段加密技术，敏感字段加密后以密文形式落盘存储</w:t>
                  </w:r>
                </w:p>
                <w:p w14:paraId="0B4C779B">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支持SM4、DES、3DES、AES128、AES192、AES256、BF、CAST、IDEA、RC2、RC4、RC5、SEED、SM1、SM7、FPE+SM4等全品类加密算法</w:t>
                  </w:r>
                </w:p>
                <w:p w14:paraId="787188A2">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支持ECB、GCM、CBC多种主流加密模式自定义配置</w:t>
                  </w:r>
                </w:p>
                <w:p w14:paraId="24B75857">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支持对加密字段新建、删除密文索引，保障加密数据查询效率</w:t>
                  </w:r>
                </w:p>
                <w:p w14:paraId="2A215A8D">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4.</w:t>
                  </w:r>
                  <w:r>
                    <w:rPr>
                      <w:rFonts w:hint="eastAsia" w:ascii="仿宋" w:hAnsi="仿宋" w:eastAsia="仿宋" w:cs="仿宋"/>
                      <w:color w:val="000000" w:themeColor="text1"/>
                      <w:kern w:val="0"/>
                      <w:sz w:val="24"/>
                      <w:szCs w:val="24"/>
                      <w:highlight w:val="none"/>
                      <w14:textFill>
                        <w14:solidFill>
                          <w14:schemeClr w14:val="tx1"/>
                        </w14:solidFill>
                      </w14:textFill>
                    </w:rPr>
                    <w:t>JDBC字段加密</w:t>
                  </w:r>
                </w:p>
                <w:p w14:paraId="1A8F9832">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产品须采用客户端JDBC驱动替换技术实现敏感字段加密，确保敏感数据加密后以密文形式落盘存储。</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提供产品功能截图</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p>
                <w:p w14:paraId="06B5E5DA">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除SM4、AES等常规加密算法外，产品须额外支持FPE保留格式算法、SE选择性加密、OPE保序加密及专用数据脱敏算法，适配多样化加密脱敏场景</w:t>
                  </w:r>
                </w:p>
                <w:p w14:paraId="22AD154E">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产品须支持varchar、varchar2、char、nchar、clob、text等全量字符串类型字段明密共存，支撑业务系统平滑迁移、无感切换。</w:t>
                  </w:r>
                </w:p>
                <w:p w14:paraId="2CD7C16F">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产品须兼容ECB、GCM、CBC多种加密模式，支持用户灵活选配部署。</w:t>
                  </w:r>
                </w:p>
                <w:p w14:paraId="67867CAD">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产品须支持数据库关联字段联合加密能力，适配多表关联的复杂业务场景。</w:t>
                  </w:r>
                </w:p>
                <w:p w14:paraId="0B3BC647">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产品须支持数据脱敏处理后直接写入目标数据库，实现加密、脱敏一体化处理。</w:t>
                  </w:r>
                </w:p>
                <w:p w14:paraId="0207EFCF">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产品须支持SQL模板智能改写功能，适配加密环境下的数据库SQL正常执行逻辑，保障业务可用性。</w:t>
                  </w:r>
                </w:p>
                <w:p w14:paraId="6DAC78BB">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采用客户端JDBC驱动替换技术，实现敏感字段加密落盘存储</w:t>
                  </w:r>
                </w:p>
                <w:p w14:paraId="480D744C">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除SM4、AES等常规算法外，额外支持FPE保留格式算法、SE选择性加密、OPE保序加密、数据脱敏专用算法</w:t>
                  </w:r>
                </w:p>
                <w:p w14:paraId="611F3BD0">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支持archar/varchar2/char/nchar/clob/text等所有字符串类型字段</w:t>
                  </w:r>
                  <w:r>
                    <w:rPr>
                      <w:rFonts w:hint="eastAsia" w:ascii="仿宋" w:hAnsi="仿宋" w:eastAsia="仿宋" w:cs="仿宋"/>
                      <w:color w:val="000000" w:themeColor="text1"/>
                      <w:kern w:val="0"/>
                      <w:sz w:val="24"/>
                      <w:szCs w:val="24"/>
                      <w:highlight w:val="none"/>
                      <w:lang w:eastAsia="zh-CN"/>
                      <w14:textFill>
                        <w14:solidFill>
                          <w14:schemeClr w14:val="tx1"/>
                        </w14:solidFill>
                      </w14:textFill>
                    </w:rPr>
                    <w:t>紧密</w:t>
                  </w:r>
                  <w:r>
                    <w:rPr>
                      <w:rFonts w:hint="eastAsia" w:ascii="仿宋" w:hAnsi="仿宋" w:eastAsia="仿宋" w:cs="仿宋"/>
                      <w:color w:val="000000" w:themeColor="text1"/>
                      <w:kern w:val="0"/>
                      <w:sz w:val="24"/>
                      <w:szCs w:val="24"/>
                      <w:highlight w:val="none"/>
                      <w14:textFill>
                        <w14:solidFill>
                          <w14:schemeClr w14:val="tx1"/>
                        </w14:solidFill>
                      </w14:textFill>
                    </w:rPr>
                    <w:t>共存，适配业务平滑过渡</w:t>
                  </w:r>
                </w:p>
                <w:p w14:paraId="14FBA954">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支持ECB、GCM、CBC多种加密模式灵活配置</w:t>
                  </w:r>
                </w:p>
                <w:p w14:paraId="12AA9594">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支持数据库关联字段联合加密，适配多表关联业务场景</w:t>
                  </w:r>
                </w:p>
                <w:p w14:paraId="2F8BB6CE">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支持数据脱敏处理后直接写入目标数据库，加密脱敏一体化</w:t>
                  </w:r>
                </w:p>
                <w:p w14:paraId="79F4CE5D">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支持SQL模板智能改写，适配加密场景下的SQL执行逻辑</w:t>
                  </w:r>
                </w:p>
                <w:p w14:paraId="37AABC8B">
                  <w:pPr>
                    <w:spacing w:line="276" w:lineRule="auto"/>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5.文件加密</w:t>
                  </w:r>
                </w:p>
                <w:p w14:paraId="6620C5F7">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支持SM4、DES、3DES、AES128、AES192、AES256、BF、CAST、IDEA、RC2、RC4、RC5、SEED、</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SM1</w:t>
                  </w:r>
                  <w:r>
                    <w:rPr>
                      <w:rFonts w:hint="eastAsia" w:ascii="仿宋" w:hAnsi="仿宋" w:eastAsia="仿宋" w:cs="仿宋"/>
                      <w:color w:val="000000" w:themeColor="text1"/>
                      <w:kern w:val="0"/>
                      <w:sz w:val="24"/>
                      <w:szCs w:val="24"/>
                      <w:highlight w:val="none"/>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SM</w:t>
                  </w:r>
                  <w:r>
                    <w:rPr>
                      <w:rFonts w:hint="eastAsia" w:ascii="仿宋" w:hAnsi="仿宋" w:eastAsia="仿宋" w:cs="仿宋"/>
                      <w:color w:val="000000" w:themeColor="text1"/>
                      <w:kern w:val="0"/>
                      <w:sz w:val="24"/>
                      <w:szCs w:val="24"/>
                      <w:highlight w:val="none"/>
                      <w14:textFill>
                        <w14:solidFill>
                          <w14:schemeClr w14:val="tx1"/>
                        </w14:solidFill>
                      </w14:textFill>
                    </w:rPr>
                    <w:t>7、</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FPE+SM4</w:t>
                  </w:r>
                  <w:r>
                    <w:rPr>
                      <w:rFonts w:hint="eastAsia" w:ascii="仿宋" w:hAnsi="仿宋" w:eastAsia="仿宋" w:cs="仿宋"/>
                      <w:color w:val="000000" w:themeColor="text1"/>
                      <w:kern w:val="0"/>
                      <w:sz w:val="24"/>
                      <w:szCs w:val="24"/>
                      <w:highlight w:val="none"/>
                      <w14:textFill>
                        <w14:solidFill>
                          <w14:schemeClr w14:val="tx1"/>
                        </w14:solidFill>
                      </w14:textFill>
                    </w:rPr>
                    <w:t>等多种不同的加密算法。</w:t>
                  </w:r>
                </w:p>
                <w:p w14:paraId="1E9CA918">
                  <w:pPr>
                    <w:spacing w:line="276" w:lineRule="auto"/>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支持设置ECB、GCM、CBC等加密模式。</w:t>
                  </w:r>
                </w:p>
                <w:p w14:paraId="502EDBB6">
                  <w:pPr>
                    <w:spacing w:line="276" w:lineRule="auto"/>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支持从进程名和系统用户两个维度进行访问控制的策略配置。</w:t>
                  </w:r>
                </w:p>
                <w:p w14:paraId="7D137A7A">
                  <w:pPr>
                    <w:spacing w:line="276" w:lineRule="auto"/>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对于访问文件和目录的进程能够提供完整性破坏告警。</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提供产品功能截图</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p>
                <w:p w14:paraId="06B1D6D4">
                  <w:pPr>
                    <w:spacing w:line="276" w:lineRule="auto"/>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支持启用完整性保护</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和选择完整性校验算法</w:t>
                  </w:r>
                  <w:r>
                    <w:rPr>
                      <w:rFonts w:hint="eastAsia" w:ascii="仿宋" w:hAnsi="仿宋" w:eastAsia="仿宋" w:cs="仿宋"/>
                      <w:color w:val="000000" w:themeColor="text1"/>
                      <w:kern w:val="0"/>
                      <w:sz w:val="24"/>
                      <w:szCs w:val="24"/>
                      <w:highlight w:val="none"/>
                      <w14:textFill>
                        <w14:solidFill>
                          <w14:schemeClr w14:val="tx1"/>
                        </w14:solidFill>
                      </w14:textFill>
                    </w:rPr>
                    <w:t>。</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提供产品功能截图</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p>
                <w:p w14:paraId="3BC39DEE">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6.</w:t>
                  </w:r>
                  <w:r>
                    <w:rPr>
                      <w:rFonts w:hint="eastAsia" w:ascii="仿宋" w:hAnsi="仿宋" w:eastAsia="仿宋" w:cs="仿宋"/>
                      <w:color w:val="000000" w:themeColor="text1"/>
                      <w:kern w:val="0"/>
                      <w:sz w:val="24"/>
                      <w:szCs w:val="24"/>
                      <w:highlight w:val="none"/>
                      <w14:textFill>
                        <w14:solidFill>
                          <w14:schemeClr w14:val="tx1"/>
                        </w14:solidFill>
                      </w14:textFill>
                    </w:rPr>
                    <w:t>权限管理</w:t>
                  </w:r>
                </w:p>
                <w:p w14:paraId="61FF9E14">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支持</w:t>
                  </w:r>
                  <w:r>
                    <w:rPr>
                      <w:rFonts w:hint="eastAsia" w:ascii="仿宋" w:hAnsi="仿宋" w:eastAsia="仿宋" w:cs="仿宋"/>
                      <w:color w:val="000000" w:themeColor="text1"/>
                      <w:kern w:val="0"/>
                      <w:sz w:val="24"/>
                      <w:szCs w:val="24"/>
                      <w:highlight w:val="none"/>
                      <w14:textFill>
                        <w14:solidFill>
                          <w14:schemeClr w14:val="tx1"/>
                        </w14:solidFill>
                      </w14:textFill>
                    </w:rPr>
                    <w:t>根据客户端IP</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或客户端ID）</w:t>
                  </w:r>
                  <w:r>
                    <w:rPr>
                      <w:rFonts w:hint="eastAsia" w:ascii="仿宋" w:hAnsi="仿宋" w:eastAsia="仿宋" w:cs="仿宋"/>
                      <w:color w:val="000000" w:themeColor="text1"/>
                      <w:kern w:val="0"/>
                      <w:sz w:val="24"/>
                      <w:szCs w:val="24"/>
                      <w:highlight w:val="none"/>
                      <w14:textFill>
                        <w14:solidFill>
                          <w14:schemeClr w14:val="tx1"/>
                        </w14:solidFill>
                      </w14:textFill>
                    </w:rPr>
                    <w:t>、应用程序名、数据库用户名及访问时间等</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多维度</w:t>
                  </w:r>
                  <w:r>
                    <w:rPr>
                      <w:rFonts w:hint="eastAsia" w:ascii="仿宋" w:hAnsi="仿宋" w:eastAsia="仿宋" w:cs="仿宋"/>
                      <w:color w:val="000000" w:themeColor="text1"/>
                      <w:kern w:val="0"/>
                      <w:sz w:val="24"/>
                      <w:szCs w:val="24"/>
                      <w:highlight w:val="none"/>
                      <w14:textFill>
                        <w14:solidFill>
                          <w14:schemeClr w14:val="tx1"/>
                        </w14:solidFill>
                      </w14:textFill>
                    </w:rPr>
                    <w:t>条件</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进行</w:t>
                  </w:r>
                  <w:r>
                    <w:rPr>
                      <w:rFonts w:hint="eastAsia" w:ascii="仿宋" w:hAnsi="仿宋" w:eastAsia="仿宋" w:cs="仿宋"/>
                      <w:color w:val="000000" w:themeColor="text1"/>
                      <w:kern w:val="0"/>
                      <w:sz w:val="24"/>
                      <w:szCs w:val="24"/>
                      <w:highlight w:val="none"/>
                      <w14:textFill>
                        <w14:solidFill>
                          <w14:schemeClr w14:val="tx1"/>
                        </w14:solidFill>
                      </w14:textFill>
                    </w:rPr>
                    <w:t>解密权限</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控制</w:t>
                  </w:r>
                  <w:r>
                    <w:rPr>
                      <w:rFonts w:hint="eastAsia" w:ascii="仿宋" w:hAnsi="仿宋" w:eastAsia="仿宋" w:cs="仿宋"/>
                      <w:color w:val="000000" w:themeColor="text1"/>
                      <w:kern w:val="0"/>
                      <w:sz w:val="24"/>
                      <w:szCs w:val="24"/>
                      <w:highlight w:val="none"/>
                      <w14:textFill>
                        <w14:solidFill>
                          <w14:schemeClr w14:val="tx1"/>
                        </w14:solidFill>
                      </w14:textFill>
                    </w:rPr>
                    <w:t>。</w:t>
                  </w:r>
                </w:p>
                <w:p w14:paraId="01D6EC53">
                  <w:pPr>
                    <w:spacing w:line="276" w:lineRule="auto"/>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▲支持对受控用户设置任意字段为可读或不可读。</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提供产品功能截图</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p>
                <w:p w14:paraId="1BEB36A6">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支持</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针对敏感等级结果快速配置字段效果。</w:t>
                  </w:r>
                </w:p>
                <w:p w14:paraId="60FDEDF3">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受控用户读取加密字段可配置显示为：遮蔽、密文、NULL。</w:t>
                  </w:r>
                </w:p>
                <w:p w14:paraId="1AF93577">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支持对已配置的解密策略进行复制，并粘贴到目标表。</w:t>
                  </w:r>
                </w:p>
                <w:p w14:paraId="60867B1E">
                  <w:pPr>
                    <w:spacing w:line="276" w:lineRule="auto"/>
                    <w:jc w:val="left"/>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支持解密策略一键恢复为默认配置。</w:t>
                  </w:r>
                </w:p>
                <w:p w14:paraId="79EA5780">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7.</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sym w:font="Wingdings" w:char="00AB"/>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产品经国家密码管理局审批鉴定，具备商用密码产品认证证书，（提供商用密码产品认证证书复印件，并加盖公章）</w:t>
                  </w:r>
                </w:p>
              </w:tc>
              <w:tc>
                <w:tcPr>
                  <w:tcW w:w="609" w:type="dxa"/>
                  <w:vAlign w:val="center"/>
                </w:tcPr>
                <w:p w14:paraId="181B7D4E">
                  <w:pPr>
                    <w:spacing w:line="276"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1套</w:t>
                  </w:r>
                </w:p>
              </w:tc>
              <w:tc>
                <w:tcPr>
                  <w:tcW w:w="671" w:type="dxa"/>
                  <w:vAlign w:val="center"/>
                </w:tcPr>
                <w:p w14:paraId="4226D9A5">
                  <w:pPr>
                    <w:spacing w:line="276"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纯软需要提供硬件资源</w:t>
                  </w:r>
                </w:p>
              </w:tc>
            </w:tr>
            <w:tr w14:paraId="20507BC1">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CellMar>
                  <w:top w:w="0" w:type="dxa"/>
                  <w:left w:w="108" w:type="dxa"/>
                  <w:bottom w:w="0" w:type="dxa"/>
                  <w:right w:w="108" w:type="dxa"/>
                </w:tblCellMar>
              </w:tblPrEx>
              <w:trPr>
                <w:jc w:val="center"/>
              </w:trPr>
              <w:tc>
                <w:tcPr>
                  <w:tcW w:w="478" w:type="dxa"/>
                  <w:vAlign w:val="center"/>
                </w:tcPr>
                <w:p w14:paraId="188C72EB">
                  <w:pPr>
                    <w:spacing w:line="276"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8</w:t>
                  </w:r>
                </w:p>
              </w:tc>
              <w:tc>
                <w:tcPr>
                  <w:tcW w:w="740" w:type="dxa"/>
                  <w:vAlign w:val="center"/>
                </w:tcPr>
                <w:p w14:paraId="12617135">
                  <w:pPr>
                    <w:spacing w:line="276"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国密SSL证书</w:t>
                  </w:r>
                </w:p>
              </w:tc>
              <w:tc>
                <w:tcPr>
                  <w:tcW w:w="5152" w:type="dxa"/>
                  <w:vAlign w:val="center"/>
                </w:tcPr>
                <w:p w14:paraId="4A2C7372">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 xml:space="preserve">1.满足国家标准GMT 0024-2014《SSL VPN技术规范》；  </w:t>
                  </w:r>
                  <w:r>
                    <w:rPr>
                      <w:rFonts w:hint="eastAsia" w:ascii="仿宋" w:hAnsi="仿宋" w:eastAsia="仿宋" w:cs="仿宋"/>
                      <w:color w:val="000000" w:themeColor="text1"/>
                      <w:kern w:val="0"/>
                      <w:sz w:val="24"/>
                      <w:szCs w:val="24"/>
                      <w:highlight w:val="none"/>
                      <w14:textFill>
                        <w14:solidFill>
                          <w14:schemeClr w14:val="tx1"/>
                        </w14:solidFill>
                      </w14:textFill>
                    </w:rPr>
                    <w:br w:type="textWrapping"/>
                  </w:r>
                  <w:r>
                    <w:rPr>
                      <w:rFonts w:hint="eastAsia" w:ascii="仿宋" w:hAnsi="仿宋" w:eastAsia="仿宋" w:cs="仿宋"/>
                      <w:color w:val="000000" w:themeColor="text1"/>
                      <w:kern w:val="0"/>
                      <w:sz w:val="24"/>
                      <w:szCs w:val="24"/>
                      <w:highlight w:val="none"/>
                      <w14:textFill>
                        <w14:solidFill>
                          <w14:schemeClr w14:val="tx1"/>
                        </w14:solidFill>
                      </w14:textFill>
                    </w:rPr>
                    <w:t>2.支持SM2/SM3/SM4国产密码算法和国密安全协议，使用国密算法实现高强度SSL加密连接；</w:t>
                  </w:r>
                  <w:r>
                    <w:rPr>
                      <w:rFonts w:hint="eastAsia" w:ascii="仿宋" w:hAnsi="仿宋" w:eastAsia="仿宋" w:cs="仿宋"/>
                      <w:color w:val="000000" w:themeColor="text1"/>
                      <w:kern w:val="0"/>
                      <w:sz w:val="24"/>
                      <w:szCs w:val="24"/>
                      <w:highlight w:val="none"/>
                      <w14:textFill>
                        <w14:solidFill>
                          <w14:schemeClr w14:val="tx1"/>
                        </w14:solidFill>
                      </w14:textFill>
                    </w:rPr>
                    <w:br w:type="textWrapping"/>
                  </w:r>
                  <w:r>
                    <w:rPr>
                      <w:rFonts w:hint="eastAsia" w:ascii="仿宋" w:hAnsi="仿宋" w:eastAsia="仿宋" w:cs="仿宋"/>
                      <w:color w:val="000000" w:themeColor="text1"/>
                      <w:kern w:val="0"/>
                      <w:sz w:val="24"/>
                      <w:szCs w:val="24"/>
                      <w:highlight w:val="none"/>
                      <w14:textFill>
                        <w14:solidFill>
                          <w14:schemeClr w14:val="tx1"/>
                        </w14:solidFill>
                      </w14:textFill>
                    </w:rPr>
                    <w:t>3.证书签发机构是国家密码管理局认可的电子政务电子认证服务机构。</w:t>
                  </w:r>
                </w:p>
              </w:tc>
              <w:tc>
                <w:tcPr>
                  <w:tcW w:w="609" w:type="dxa"/>
                  <w:vAlign w:val="center"/>
                </w:tcPr>
                <w:p w14:paraId="6C0D9A87">
                  <w:pPr>
                    <w:spacing w:line="276"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1个</w:t>
                  </w:r>
                </w:p>
              </w:tc>
              <w:tc>
                <w:tcPr>
                  <w:tcW w:w="671" w:type="dxa"/>
                  <w:vAlign w:val="center"/>
                </w:tcPr>
                <w:p w14:paraId="2DBEF1DD">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p>
              </w:tc>
            </w:tr>
            <w:tr w14:paraId="00537990">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CellMar>
                  <w:top w:w="0" w:type="dxa"/>
                  <w:left w:w="108" w:type="dxa"/>
                  <w:bottom w:w="0" w:type="dxa"/>
                  <w:right w:w="108" w:type="dxa"/>
                </w:tblCellMar>
              </w:tblPrEx>
              <w:trPr>
                <w:trHeight w:val="773" w:hRule="atLeast"/>
                <w:jc w:val="center"/>
              </w:trPr>
              <w:tc>
                <w:tcPr>
                  <w:tcW w:w="478" w:type="dxa"/>
                  <w:vAlign w:val="center"/>
                </w:tcPr>
                <w:p w14:paraId="6184C8C4">
                  <w:pPr>
                    <w:spacing w:line="276"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9</w:t>
                  </w:r>
                </w:p>
              </w:tc>
              <w:tc>
                <w:tcPr>
                  <w:tcW w:w="740" w:type="dxa"/>
                  <w:vAlign w:val="center"/>
                </w:tcPr>
                <w:p w14:paraId="6CF32588">
                  <w:pPr>
                    <w:spacing w:line="276"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互联网医院系统国密改造</w:t>
                  </w:r>
                </w:p>
              </w:tc>
              <w:tc>
                <w:tcPr>
                  <w:tcW w:w="5152" w:type="dxa"/>
                  <w:vAlign w:val="center"/>
                </w:tcPr>
                <w:p w14:paraId="0AA37D26">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承担</w:t>
                  </w:r>
                  <w:r>
                    <w:rPr>
                      <w:rFonts w:hint="eastAsia" w:ascii="仿宋" w:hAnsi="仿宋" w:eastAsia="仿宋" w:cs="仿宋"/>
                      <w:color w:val="000000" w:themeColor="text1"/>
                      <w:kern w:val="0"/>
                      <w:sz w:val="24"/>
                      <w:szCs w:val="24"/>
                      <w:highlight w:val="none"/>
                      <w14:textFill>
                        <w14:solidFill>
                          <w14:schemeClr w14:val="tx1"/>
                        </w14:solidFill>
                      </w14:textFill>
                    </w:rPr>
                    <w:t>业务系统配套改造</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产生的</w:t>
                  </w:r>
                  <w:r>
                    <w:rPr>
                      <w:rFonts w:hint="eastAsia" w:ascii="仿宋" w:hAnsi="仿宋" w:eastAsia="仿宋" w:cs="仿宋"/>
                      <w:color w:val="000000" w:themeColor="text1"/>
                      <w:kern w:val="0"/>
                      <w:sz w:val="24"/>
                      <w:szCs w:val="24"/>
                      <w:highlight w:val="none"/>
                      <w14:textFill>
                        <w14:solidFill>
                          <w14:schemeClr w14:val="tx1"/>
                        </w14:solidFill>
                      </w14:textFill>
                    </w:rPr>
                    <w:t>开发</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费用</w:t>
                  </w:r>
                  <w:r>
                    <w:rPr>
                      <w:rFonts w:hint="eastAsia" w:ascii="仿宋" w:hAnsi="仿宋" w:eastAsia="仿宋" w:cs="仿宋"/>
                      <w:color w:val="000000" w:themeColor="text1"/>
                      <w:kern w:val="0"/>
                      <w:sz w:val="24"/>
                      <w:szCs w:val="24"/>
                      <w:highlight w:val="none"/>
                      <w14:textFill>
                        <w14:solidFill>
                          <w14:schemeClr w14:val="tx1"/>
                        </w14:solidFill>
                      </w14:textFill>
                    </w:rPr>
                    <w:t>。</w:t>
                  </w:r>
                </w:p>
              </w:tc>
              <w:tc>
                <w:tcPr>
                  <w:tcW w:w="609" w:type="dxa"/>
                  <w:vAlign w:val="center"/>
                </w:tcPr>
                <w:p w14:paraId="063A2A8B">
                  <w:pPr>
                    <w:spacing w:line="276"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1项</w:t>
                  </w:r>
                </w:p>
              </w:tc>
              <w:tc>
                <w:tcPr>
                  <w:tcW w:w="671" w:type="dxa"/>
                  <w:vAlign w:val="center"/>
                </w:tcPr>
                <w:p w14:paraId="09C201A4">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p>
              </w:tc>
            </w:tr>
            <w:tr w14:paraId="0635F654">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CellMar>
                  <w:top w:w="0" w:type="dxa"/>
                  <w:left w:w="108" w:type="dxa"/>
                  <w:bottom w:w="0" w:type="dxa"/>
                  <w:right w:w="108" w:type="dxa"/>
                </w:tblCellMar>
              </w:tblPrEx>
              <w:trPr>
                <w:trHeight w:val="676" w:hRule="atLeast"/>
                <w:jc w:val="center"/>
              </w:trPr>
              <w:tc>
                <w:tcPr>
                  <w:tcW w:w="478" w:type="dxa"/>
                  <w:vAlign w:val="center"/>
                </w:tcPr>
                <w:p w14:paraId="710F0446">
                  <w:pPr>
                    <w:spacing w:line="276"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10</w:t>
                  </w:r>
                </w:p>
              </w:tc>
              <w:tc>
                <w:tcPr>
                  <w:tcW w:w="740" w:type="dxa"/>
                  <w:vAlign w:val="center"/>
                </w:tcPr>
                <w:p w14:paraId="7E84AEA6">
                  <w:pPr>
                    <w:spacing w:line="276"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业务系统接入</w:t>
                  </w:r>
                </w:p>
              </w:tc>
              <w:tc>
                <w:tcPr>
                  <w:tcW w:w="5152" w:type="dxa"/>
                  <w:vAlign w:val="center"/>
                </w:tcPr>
                <w:p w14:paraId="076D323D">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承担</w:t>
                  </w:r>
                  <w:r>
                    <w:rPr>
                      <w:rFonts w:hint="eastAsia" w:ascii="仿宋" w:hAnsi="仿宋" w:eastAsia="仿宋" w:cs="仿宋"/>
                      <w:color w:val="000000" w:themeColor="text1"/>
                      <w:kern w:val="0"/>
                      <w:sz w:val="24"/>
                      <w:szCs w:val="24"/>
                      <w:highlight w:val="none"/>
                      <w14:textFill>
                        <w14:solidFill>
                          <w14:schemeClr w14:val="tx1"/>
                        </w14:solidFill>
                      </w14:textFill>
                    </w:rPr>
                    <w:t>密码服务平台</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与</w:t>
                  </w:r>
                  <w:r>
                    <w:rPr>
                      <w:rFonts w:hint="eastAsia" w:ascii="仿宋" w:hAnsi="仿宋" w:eastAsia="仿宋" w:cs="仿宋"/>
                      <w:color w:val="000000" w:themeColor="text1"/>
                      <w:kern w:val="0"/>
                      <w:sz w:val="24"/>
                      <w:szCs w:val="24"/>
                      <w:highlight w:val="none"/>
                      <w14:textFill>
                        <w14:solidFill>
                          <w14:schemeClr w14:val="tx1"/>
                        </w14:solidFill>
                      </w14:textFill>
                    </w:rPr>
                    <w:t>其他业务系统的密码接入、联调测试、上线</w:t>
                  </w:r>
                  <w:r>
                    <w:rPr>
                      <w:rFonts w:hint="eastAsia" w:ascii="仿宋" w:hAnsi="仿宋" w:eastAsia="仿宋" w:cs="仿宋"/>
                      <w:color w:val="000000" w:themeColor="text1"/>
                      <w:kern w:val="0"/>
                      <w:sz w:val="24"/>
                      <w:szCs w:val="24"/>
                      <w:highlight w:val="none"/>
                      <w:lang w:eastAsia="zh-CN"/>
                      <w14:textFill>
                        <w14:solidFill>
                          <w14:schemeClr w14:val="tx1"/>
                        </w14:solidFill>
                      </w14:textFill>
                    </w:rPr>
                    <w:t>服务</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产生的</w:t>
                  </w:r>
                  <w:r>
                    <w:rPr>
                      <w:rFonts w:hint="eastAsia" w:ascii="仿宋" w:hAnsi="仿宋" w:eastAsia="仿宋" w:cs="仿宋"/>
                      <w:color w:val="000000" w:themeColor="text1"/>
                      <w:kern w:val="0"/>
                      <w:sz w:val="24"/>
                      <w:szCs w:val="24"/>
                      <w:highlight w:val="none"/>
                      <w14:textFill>
                        <w14:solidFill>
                          <w14:schemeClr w14:val="tx1"/>
                        </w14:solidFill>
                      </w14:textFill>
                    </w:rPr>
                    <w:t>开发费用。</w:t>
                  </w:r>
                </w:p>
              </w:tc>
              <w:tc>
                <w:tcPr>
                  <w:tcW w:w="609" w:type="dxa"/>
                  <w:vAlign w:val="center"/>
                </w:tcPr>
                <w:p w14:paraId="185C29A9">
                  <w:pPr>
                    <w:spacing w:line="276"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1项</w:t>
                  </w:r>
                </w:p>
              </w:tc>
              <w:tc>
                <w:tcPr>
                  <w:tcW w:w="671" w:type="dxa"/>
                  <w:vAlign w:val="center"/>
                </w:tcPr>
                <w:p w14:paraId="7A800ACC">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p>
              </w:tc>
            </w:tr>
            <w:tr w14:paraId="1397B040">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CellMar>
                  <w:top w:w="0" w:type="dxa"/>
                  <w:left w:w="108" w:type="dxa"/>
                  <w:bottom w:w="0" w:type="dxa"/>
                  <w:right w:w="108" w:type="dxa"/>
                </w:tblCellMar>
              </w:tblPrEx>
              <w:trPr>
                <w:jc w:val="center"/>
              </w:trPr>
              <w:tc>
                <w:tcPr>
                  <w:tcW w:w="478" w:type="dxa"/>
                  <w:vAlign w:val="center"/>
                </w:tcPr>
                <w:p w14:paraId="2C06C35B">
                  <w:pPr>
                    <w:spacing w:line="276"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11</w:t>
                  </w:r>
                </w:p>
              </w:tc>
              <w:tc>
                <w:tcPr>
                  <w:tcW w:w="740" w:type="dxa"/>
                  <w:vAlign w:val="center"/>
                </w:tcPr>
                <w:p w14:paraId="63A2AA1F">
                  <w:pPr>
                    <w:spacing w:line="276"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协同签名（a</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p</w:t>
                  </w:r>
                  <w:r>
                    <w:rPr>
                      <w:rFonts w:hint="eastAsia" w:ascii="仿宋" w:hAnsi="仿宋" w:eastAsia="仿宋" w:cs="仿宋"/>
                      <w:color w:val="000000" w:themeColor="text1"/>
                      <w:kern w:val="0"/>
                      <w:sz w:val="24"/>
                      <w:szCs w:val="24"/>
                      <w:highlight w:val="none"/>
                      <w14:textFill>
                        <w14:solidFill>
                          <w14:schemeClr w14:val="tx1"/>
                        </w14:solidFill>
                      </w14:textFill>
                    </w:rPr>
                    <w:t>p）改造支持</w:t>
                  </w:r>
                </w:p>
              </w:tc>
              <w:tc>
                <w:tcPr>
                  <w:tcW w:w="5152" w:type="dxa"/>
                  <w:vAlign w:val="center"/>
                </w:tcPr>
                <w:p w14:paraId="25D79320">
                  <w:pPr>
                    <w:spacing w:line="276" w:lineRule="auto"/>
                    <w:jc w:val="left"/>
                    <w:rPr>
                      <w:rFonts w:hint="eastAsia" w:ascii="仿宋" w:hAnsi="仿宋" w:eastAsia="仿宋" w:cs="仿宋"/>
                      <w:color w:val="000000" w:themeColor="text1"/>
                      <w:kern w:val="0"/>
                      <w:sz w:val="24"/>
                      <w:szCs w:val="24"/>
                      <w:highlight w:val="none"/>
                      <w:lang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承担</w:t>
                  </w:r>
                  <w:r>
                    <w:rPr>
                      <w:rFonts w:hint="eastAsia" w:ascii="仿宋" w:hAnsi="仿宋" w:eastAsia="仿宋" w:cs="仿宋"/>
                      <w:color w:val="000000" w:themeColor="text1"/>
                      <w:kern w:val="0"/>
                      <w:sz w:val="24"/>
                      <w:szCs w:val="24"/>
                      <w:highlight w:val="none"/>
                      <w14:textFill>
                        <w14:solidFill>
                          <w14:schemeClr w14:val="tx1"/>
                        </w14:solidFill>
                      </w14:textFill>
                    </w:rPr>
                    <w:t>本次互联网应用改造涉及两款APP与第三方协同签名系统的适配工作</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中产生的开发费用，</w:t>
                  </w:r>
                  <w:r>
                    <w:rPr>
                      <w:rFonts w:hint="eastAsia" w:ascii="仿宋" w:hAnsi="仿宋" w:eastAsia="仿宋" w:cs="仿宋"/>
                      <w:color w:val="000000" w:themeColor="text1"/>
                      <w:kern w:val="0"/>
                      <w:sz w:val="24"/>
                      <w:szCs w:val="24"/>
                      <w:highlight w:val="none"/>
                      <w14:textFill>
                        <w14:solidFill>
                          <w14:schemeClr w14:val="tx1"/>
                        </w14:solidFill>
                      </w14:textFill>
                    </w:rPr>
                    <w:t>提供相关支撑与咨询服务</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p>
              </w:tc>
              <w:tc>
                <w:tcPr>
                  <w:tcW w:w="609" w:type="dxa"/>
                  <w:vAlign w:val="center"/>
                </w:tcPr>
                <w:p w14:paraId="1F9614EF">
                  <w:pPr>
                    <w:spacing w:line="276"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1</w:t>
                  </w:r>
                  <w:bookmarkStart w:id="0" w:name="OLE_LINK2"/>
                  <w:bookmarkStart w:id="1" w:name="OLE_LINK1"/>
                  <w:r>
                    <w:rPr>
                      <w:rFonts w:hint="eastAsia" w:ascii="仿宋" w:hAnsi="仿宋" w:eastAsia="仿宋" w:cs="仿宋"/>
                      <w:color w:val="000000" w:themeColor="text1"/>
                      <w:kern w:val="0"/>
                      <w:sz w:val="24"/>
                      <w:szCs w:val="24"/>
                      <w:highlight w:val="none"/>
                      <w14:textFill>
                        <w14:solidFill>
                          <w14:schemeClr w14:val="tx1"/>
                        </w14:solidFill>
                      </w14:textFill>
                    </w:rPr>
                    <w:t>项</w:t>
                  </w:r>
                  <w:bookmarkEnd w:id="0"/>
                  <w:bookmarkEnd w:id="1"/>
                </w:p>
              </w:tc>
              <w:tc>
                <w:tcPr>
                  <w:tcW w:w="671" w:type="dxa"/>
                  <w:vAlign w:val="center"/>
                </w:tcPr>
                <w:p w14:paraId="2981AE48">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p>
              </w:tc>
            </w:tr>
            <w:tr w14:paraId="1C42C5BC">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CellMar>
                  <w:top w:w="0" w:type="dxa"/>
                  <w:left w:w="108" w:type="dxa"/>
                  <w:bottom w:w="0" w:type="dxa"/>
                  <w:right w:w="108" w:type="dxa"/>
                </w:tblCellMar>
              </w:tblPrEx>
              <w:trPr>
                <w:trHeight w:val="246" w:hRule="atLeast"/>
                <w:jc w:val="center"/>
              </w:trPr>
              <w:tc>
                <w:tcPr>
                  <w:tcW w:w="478" w:type="dxa"/>
                  <w:tcBorders>
                    <w:top w:val="single" w:color="auto" w:sz="4" w:space="0"/>
                  </w:tcBorders>
                  <w:vAlign w:val="center"/>
                </w:tcPr>
                <w:p w14:paraId="5684EAAF">
                  <w:pPr>
                    <w:spacing w:line="276"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12</w:t>
                  </w:r>
                </w:p>
              </w:tc>
              <w:tc>
                <w:tcPr>
                  <w:tcW w:w="740" w:type="dxa"/>
                  <w:tcBorders>
                    <w:top w:val="single" w:color="auto" w:sz="4" w:space="0"/>
                  </w:tcBorders>
                  <w:vAlign w:val="center"/>
                </w:tcPr>
                <w:p w14:paraId="0FD1A5DC">
                  <w:pPr>
                    <w:spacing w:line="276"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集成与实施服务</w:t>
                  </w:r>
                </w:p>
              </w:tc>
              <w:tc>
                <w:tcPr>
                  <w:tcW w:w="5152" w:type="dxa"/>
                  <w:tcBorders>
                    <w:top w:val="single" w:color="auto" w:sz="4" w:space="0"/>
                  </w:tcBorders>
                  <w:vAlign w:val="center"/>
                </w:tcPr>
                <w:p w14:paraId="512A10CE">
                  <w:pPr>
                    <w:spacing w:line="276" w:lineRule="auto"/>
                    <w:jc w:val="left"/>
                    <w:rPr>
                      <w:rFonts w:hint="eastAsia" w:ascii="仿宋" w:hAnsi="仿宋" w:eastAsia="仿宋" w:cs="仿宋"/>
                      <w:color w:val="000000" w:themeColor="text1"/>
                      <w:kern w:val="0"/>
                      <w:sz w:val="24"/>
                      <w:szCs w:val="24"/>
                      <w:highlight w:val="none"/>
                      <w:lang w:eastAsia="zh-CN"/>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密码基础设备部署、互联互通调试、业务系统国密集成适配、配合密码应用方案编制服务、密评咨询服务、配合密评公司完成密码测评工作</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p>
              </w:tc>
              <w:tc>
                <w:tcPr>
                  <w:tcW w:w="609" w:type="dxa"/>
                  <w:tcBorders>
                    <w:top w:val="single" w:color="auto" w:sz="4" w:space="0"/>
                  </w:tcBorders>
                  <w:vAlign w:val="center"/>
                </w:tcPr>
                <w:p w14:paraId="2A5CB703">
                  <w:pPr>
                    <w:spacing w:line="276" w:lineRule="auto"/>
                    <w:jc w:val="center"/>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1项</w:t>
                  </w:r>
                </w:p>
              </w:tc>
              <w:tc>
                <w:tcPr>
                  <w:tcW w:w="671" w:type="dxa"/>
                  <w:tcBorders>
                    <w:top w:val="single" w:color="auto" w:sz="4" w:space="0"/>
                  </w:tcBorders>
                  <w:vAlign w:val="center"/>
                </w:tcPr>
                <w:p w14:paraId="6DE60B24">
                  <w:pPr>
                    <w:spacing w:line="276" w:lineRule="auto"/>
                    <w:jc w:val="left"/>
                    <w:rPr>
                      <w:rFonts w:hint="eastAsia" w:ascii="仿宋" w:hAnsi="仿宋" w:eastAsia="仿宋" w:cs="仿宋"/>
                      <w:color w:val="000000" w:themeColor="text1"/>
                      <w:kern w:val="0"/>
                      <w:sz w:val="24"/>
                      <w:szCs w:val="24"/>
                      <w:highlight w:val="none"/>
                      <w14:textFill>
                        <w14:solidFill>
                          <w14:schemeClr w14:val="tx1"/>
                        </w14:solidFill>
                      </w14:textFill>
                    </w:rPr>
                  </w:pPr>
                </w:p>
              </w:tc>
            </w:tr>
          </w:tbl>
          <w:p w14:paraId="3CAC4CA9">
            <w:pPr>
              <w:numPr>
                <w:ilvl w:val="0"/>
                <w:numId w:val="0"/>
              </w:numPr>
              <w:autoSpaceDE w:val="0"/>
              <w:autoSpaceDN w:val="0"/>
              <w:adjustRightInd w:val="0"/>
              <w:spacing w:line="360" w:lineRule="auto"/>
              <w:ind w:leftChars="0"/>
              <w:rPr>
                <w:rFonts w:hint="eastAsia" w:ascii="仿宋" w:hAnsi="仿宋" w:eastAsia="仿宋" w:cs="仿宋"/>
                <w:b/>
                <w:bCs/>
                <w:color w:val="000000" w:themeColor="text1"/>
                <w:kern w:val="0"/>
                <w:sz w:val="24"/>
                <w:szCs w:val="24"/>
                <w:highlight w:val="none"/>
                <w14:textFill>
                  <w14:solidFill>
                    <w14:schemeClr w14:val="tx1"/>
                  </w14:solidFill>
                </w14:textFill>
              </w:rPr>
            </w:pPr>
            <w:r>
              <w:rPr>
                <w:rFonts w:hint="eastAsia" w:ascii="仿宋" w:hAnsi="仿宋" w:eastAsia="仿宋" w:cs="仿宋"/>
                <w:b/>
                <w:bCs/>
                <w:color w:val="000000" w:themeColor="text1"/>
                <w:kern w:val="0"/>
                <w:sz w:val="24"/>
                <w:szCs w:val="24"/>
                <w:highlight w:val="none"/>
                <w:lang w:val="en-US" w:eastAsia="zh-CN"/>
                <w14:textFill>
                  <w14:solidFill>
                    <w14:schemeClr w14:val="tx1"/>
                  </w14:solidFill>
                </w14:textFill>
              </w:rPr>
              <w:t>四、</w:t>
            </w:r>
            <w:r>
              <w:rPr>
                <w:rFonts w:hint="eastAsia" w:ascii="仿宋" w:hAnsi="仿宋" w:eastAsia="仿宋" w:cs="仿宋"/>
                <w:b/>
                <w:bCs/>
                <w:color w:val="000000" w:themeColor="text1"/>
                <w:kern w:val="0"/>
                <w:sz w:val="24"/>
                <w:szCs w:val="24"/>
                <w:highlight w:val="none"/>
                <w14:textFill>
                  <w14:solidFill>
                    <w14:schemeClr w14:val="tx1"/>
                  </w14:solidFill>
                </w14:textFill>
              </w:rPr>
              <w:t>服务要求</w:t>
            </w:r>
          </w:p>
          <w:p w14:paraId="52118F80">
            <w:pPr>
              <w:numPr>
                <w:ilvl w:val="0"/>
                <w:numId w:val="1"/>
              </w:numPr>
              <w:autoSpaceDE w:val="0"/>
              <w:autoSpaceDN w:val="0"/>
              <w:adjustRightInd w:val="0"/>
              <w:spacing w:line="360" w:lineRule="auto"/>
              <w:ind w:firstLine="480" w:firstLineChars="200"/>
              <w:rPr>
                <w:rFonts w:hint="eastAsia" w:ascii="仿宋" w:hAnsi="仿宋" w:eastAsia="仿宋" w:cs="仿宋"/>
                <w:color w:val="000000" w:themeColor="text1"/>
                <w:kern w:val="0"/>
                <w:sz w:val="24"/>
                <w:szCs w:val="24"/>
                <w:highlight w:val="none"/>
                <w:lang w:eastAsia="zh-CN"/>
                <w14:textFill>
                  <w14:solidFill>
                    <w14:schemeClr w14:val="tx1"/>
                  </w14:solidFill>
                </w14:textFill>
              </w:rPr>
            </w:pPr>
            <w:r>
              <w:rPr>
                <w:rFonts w:hint="eastAsia" w:ascii="仿宋" w:hAnsi="仿宋" w:eastAsia="仿宋" w:cs="仿宋"/>
                <w:color w:val="000000" w:themeColor="text1"/>
                <w:kern w:val="0"/>
                <w:sz w:val="24"/>
                <w:szCs w:val="24"/>
                <w:highlight w:val="none"/>
                <w:lang w:eastAsia="zh-CN"/>
                <w14:textFill>
                  <w14:solidFill>
                    <w14:schemeClr w14:val="tx1"/>
                  </w14:solidFill>
                </w14:textFill>
              </w:rPr>
              <w:t>本项目采购的</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密码设备</w:t>
            </w:r>
            <w:r>
              <w:rPr>
                <w:rFonts w:hint="eastAsia" w:ascii="仿宋" w:hAnsi="仿宋" w:eastAsia="仿宋" w:cs="仿宋"/>
                <w:color w:val="000000" w:themeColor="text1"/>
                <w:kern w:val="0"/>
                <w:sz w:val="24"/>
                <w:szCs w:val="24"/>
                <w:highlight w:val="none"/>
                <w:lang w:eastAsia="zh-CN"/>
                <w14:textFill>
                  <w14:solidFill>
                    <w14:schemeClr w14:val="tx1"/>
                  </w14:solidFill>
                </w14:textFill>
              </w:rPr>
              <w:t>须为国产品牌，产品均须提供有效的《商用密码产品认证证书》。</w:t>
            </w:r>
          </w:p>
          <w:p w14:paraId="4B20F75B">
            <w:pPr>
              <w:numPr>
                <w:ilvl w:val="0"/>
                <w:numId w:val="1"/>
              </w:numPr>
              <w:autoSpaceDE w:val="0"/>
              <w:autoSpaceDN w:val="0"/>
              <w:adjustRightInd w:val="0"/>
              <w:spacing w:line="360" w:lineRule="auto"/>
              <w:ind w:firstLine="480" w:firstLineChars="200"/>
              <w:rPr>
                <w:rFonts w:hint="eastAsia" w:ascii="仿宋" w:hAnsi="仿宋" w:eastAsia="仿宋" w:cs="仿宋"/>
                <w:color w:val="000000" w:themeColor="text1"/>
                <w:kern w:val="0"/>
                <w:sz w:val="24"/>
                <w:szCs w:val="24"/>
                <w:highlight w:val="none"/>
                <w:lang w:eastAsia="zh-CN"/>
                <w14:textFill>
                  <w14:solidFill>
                    <w14:schemeClr w14:val="tx1"/>
                  </w14:solidFill>
                </w14:textFill>
              </w:rPr>
            </w:pPr>
            <w:r>
              <w:rPr>
                <w:rFonts w:hint="eastAsia" w:ascii="仿宋" w:hAnsi="仿宋" w:eastAsia="仿宋" w:cs="仿宋"/>
                <w:color w:val="000000" w:themeColor="text1"/>
                <w:kern w:val="0"/>
                <w:sz w:val="24"/>
                <w:szCs w:val="24"/>
                <w:highlight w:val="none"/>
                <w:lang w:eastAsia="zh-CN"/>
                <w14:textFill>
                  <w14:solidFill>
                    <w14:schemeClr w14:val="tx1"/>
                  </w14:solidFill>
                </w14:textFill>
              </w:rPr>
              <w:t>方案评审：投标人须在合同签订后</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5</w:t>
            </w:r>
            <w:r>
              <w:rPr>
                <w:rFonts w:hint="eastAsia" w:ascii="仿宋" w:hAnsi="仿宋" w:eastAsia="仿宋" w:cs="仿宋"/>
                <w:color w:val="000000" w:themeColor="text1"/>
                <w:kern w:val="0"/>
                <w:sz w:val="24"/>
                <w:szCs w:val="24"/>
                <w:highlight w:val="none"/>
                <w:lang w:eastAsia="zh-CN"/>
                <w14:textFill>
                  <w14:solidFill>
                    <w14:schemeClr w14:val="tx1"/>
                  </w14:solidFill>
                </w14:textFill>
              </w:rPr>
              <w:t>日内提交《商用密码应用建设方案》，并承诺方案能通过专家评审或第三方机构评估。</w:t>
            </w:r>
          </w:p>
          <w:p w14:paraId="38CF7A7C">
            <w:pPr>
              <w:autoSpaceDE w:val="0"/>
              <w:autoSpaceDN w:val="0"/>
              <w:adjustRightInd w:val="0"/>
              <w:spacing w:line="360" w:lineRule="auto"/>
              <w:ind w:firstLine="480" w:firstLineChars="200"/>
              <w:rPr>
                <w:rFonts w:hint="eastAsia" w:ascii="仿宋" w:hAnsi="仿宋" w:eastAsia="仿宋" w:cs="仿宋"/>
                <w:color w:val="000000" w:themeColor="text1"/>
                <w:kern w:val="0"/>
                <w:sz w:val="24"/>
                <w:szCs w:val="24"/>
                <w:highlight w:val="none"/>
                <w:lang w:eastAsia="zh-CN"/>
                <w14:textFill>
                  <w14:solidFill>
                    <w14:schemeClr w14:val="tx1"/>
                  </w14:solidFill>
                </w14:textFill>
              </w:rPr>
            </w:pP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三）</w:t>
            </w:r>
            <w:r>
              <w:rPr>
                <w:rFonts w:hint="eastAsia" w:ascii="仿宋" w:hAnsi="仿宋" w:eastAsia="仿宋" w:cs="仿宋"/>
                <w:color w:val="000000" w:themeColor="text1"/>
                <w:kern w:val="0"/>
                <w:sz w:val="24"/>
                <w:szCs w:val="24"/>
                <w:highlight w:val="none"/>
                <w:lang w:eastAsia="zh-CN"/>
                <w14:textFill>
                  <w14:solidFill>
                    <w14:schemeClr w14:val="tx1"/>
                  </w14:solidFill>
                </w14:textFill>
              </w:rPr>
              <w:t>集成责任：中标人须负责与现行业务系统厂商对接，完成密码服务SDK集成、联调测试，直至系统正常稳定运行，并满足GB/T 39786-2021第三级要求。</w:t>
            </w:r>
          </w:p>
          <w:p w14:paraId="1610BD96">
            <w:pPr>
              <w:autoSpaceDE w:val="0"/>
              <w:autoSpaceDN w:val="0"/>
              <w:adjustRightInd w:val="0"/>
              <w:spacing w:line="360" w:lineRule="auto"/>
              <w:ind w:firstLine="480" w:firstLineChars="200"/>
              <w:rPr>
                <w:rFonts w:hint="eastAsia" w:ascii="仿宋" w:hAnsi="仿宋" w:eastAsia="仿宋" w:cs="仿宋"/>
                <w:color w:val="000000" w:themeColor="text1"/>
                <w:kern w:val="0"/>
                <w:sz w:val="24"/>
                <w:szCs w:val="24"/>
                <w:highlight w:val="none"/>
                <w:lang w:eastAsia="zh-CN"/>
                <w14:textFill>
                  <w14:solidFill>
                    <w14:schemeClr w14:val="tx1"/>
                  </w14:solidFill>
                </w14:textFill>
              </w:rPr>
            </w:pP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四）</w:t>
            </w:r>
            <w:r>
              <w:rPr>
                <w:rFonts w:hint="eastAsia" w:ascii="仿宋" w:hAnsi="仿宋" w:eastAsia="仿宋" w:cs="仿宋"/>
                <w:color w:val="000000" w:themeColor="text1"/>
                <w:kern w:val="0"/>
                <w:sz w:val="24"/>
                <w:szCs w:val="24"/>
                <w:highlight w:val="none"/>
                <w:lang w:eastAsia="zh-CN"/>
                <w14:textFill>
                  <w14:solidFill>
                    <w14:schemeClr w14:val="tx1"/>
                  </w14:solidFill>
                </w14:textFill>
              </w:rPr>
              <w:t>验收标准：项目验收以中标人协助采购人通过商用密码应用安全性评估，并取得符合要求的《商用密码应用安全性评估报告》为准。</w:t>
            </w:r>
          </w:p>
          <w:p w14:paraId="756ABDC7">
            <w:pPr>
              <w:autoSpaceDE w:val="0"/>
              <w:autoSpaceDN w:val="0"/>
              <w:adjustRightInd w:val="0"/>
              <w:spacing w:line="360" w:lineRule="auto"/>
              <w:ind w:firstLine="480" w:firstLineChars="200"/>
              <w:rPr>
                <w:rFonts w:hint="eastAsia" w:ascii="仿宋" w:hAnsi="仿宋" w:eastAsia="仿宋" w:cs="仿宋"/>
                <w:color w:val="000000" w:themeColor="text1"/>
                <w:kern w:val="0"/>
                <w:sz w:val="24"/>
                <w:szCs w:val="24"/>
                <w:highlight w:val="none"/>
                <w:lang w:eastAsia="zh-CN"/>
                <w14:textFill>
                  <w14:solidFill>
                    <w14:schemeClr w14:val="tx1"/>
                  </w14:solidFill>
                </w14:textFill>
              </w:rPr>
            </w:pP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五）</w:t>
            </w:r>
            <w:r>
              <w:rPr>
                <w:rFonts w:hint="eastAsia" w:ascii="仿宋" w:hAnsi="仿宋" w:eastAsia="仿宋" w:cs="仿宋"/>
                <w:color w:val="000000" w:themeColor="text1"/>
                <w:kern w:val="0"/>
                <w:sz w:val="24"/>
                <w:szCs w:val="24"/>
                <w:highlight w:val="none"/>
                <w:lang w:eastAsia="zh-CN"/>
                <w14:textFill>
                  <w14:solidFill>
                    <w14:schemeClr w14:val="tx1"/>
                  </w14:solidFill>
                </w14:textFill>
              </w:rPr>
              <w:t>售后响应：</w:t>
            </w:r>
            <w:r>
              <w:rPr>
                <w:rFonts w:hint="eastAsia" w:ascii="仿宋" w:hAnsi="仿宋" w:eastAsia="仿宋" w:cs="仿宋"/>
                <w:color w:val="000000" w:themeColor="text1"/>
                <w:kern w:val="0"/>
                <w:sz w:val="24"/>
                <w:szCs w:val="24"/>
                <w:highlight w:val="none"/>
                <w14:textFill>
                  <w14:solidFill>
                    <w14:schemeClr w14:val="tx1"/>
                  </w14:solidFill>
                </w14:textFill>
              </w:rPr>
              <w:t>本项目终验验收合格之日起，提供 3 年的免费维护和技术支持，免费运维期内提供产品免费升级，及系统功能的优化服务。运维服务期内，系统问题于 30 分钟内响应，4 小时内解决问题。服务期满，提供 7*24 小时热线电话技术支持，邮件服务和定期现场巡检服务等技术支持。</w:t>
            </w:r>
            <w:r>
              <w:rPr>
                <w:rFonts w:hint="eastAsia" w:ascii="仿宋" w:hAnsi="仿宋" w:eastAsia="仿宋" w:cs="仿宋"/>
                <w:color w:val="000000" w:themeColor="text1"/>
                <w:kern w:val="0"/>
                <w:sz w:val="24"/>
                <w:szCs w:val="24"/>
                <w:highlight w:val="none"/>
                <w:lang w:eastAsia="zh-CN"/>
                <w14:textFill>
                  <w14:solidFill>
                    <w14:schemeClr w14:val="tx1"/>
                  </w14:solidFill>
                </w14:textFill>
              </w:rPr>
              <w:t>设备故障</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无法修复</w:t>
            </w:r>
            <w:r>
              <w:rPr>
                <w:rFonts w:hint="eastAsia" w:ascii="仿宋" w:hAnsi="仿宋" w:eastAsia="仿宋" w:cs="仿宋"/>
                <w:color w:val="000000" w:themeColor="text1"/>
                <w:kern w:val="0"/>
                <w:sz w:val="24"/>
                <w:szCs w:val="24"/>
                <w:highlight w:val="none"/>
                <w:lang w:eastAsia="zh-CN"/>
                <w14:textFill>
                  <w14:solidFill>
                    <w14:schemeClr w14:val="tx1"/>
                  </w14:solidFill>
                </w14:textFill>
              </w:rPr>
              <w:t>需在报修后24小时内提供备机替换。</w:t>
            </w:r>
          </w:p>
          <w:p w14:paraId="1A07D845">
            <w:pPr>
              <w:rPr>
                <w:rFonts w:hint="eastAsia" w:ascii="仿宋" w:hAnsi="仿宋" w:eastAsia="仿宋" w:cs="仿宋"/>
                <w:sz w:val="24"/>
                <w:szCs w:val="24"/>
                <w:lang w:val="en-US" w:eastAsia="zh-CN"/>
              </w:rPr>
            </w:pP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六）</w:t>
            </w:r>
            <w:r>
              <w:rPr>
                <w:rFonts w:hint="eastAsia" w:ascii="仿宋" w:hAnsi="仿宋" w:eastAsia="仿宋" w:cs="仿宋"/>
                <w:color w:val="000000" w:themeColor="text1"/>
                <w:kern w:val="0"/>
                <w:sz w:val="24"/>
                <w:szCs w:val="24"/>
                <w:highlight w:val="none"/>
                <w:lang w:eastAsia="zh-CN"/>
                <w14:textFill>
                  <w14:solidFill>
                    <w14:schemeClr w14:val="tx1"/>
                  </w14:solidFill>
                </w14:textFill>
              </w:rPr>
              <w:t>方案设计应基于GB/T 39786-2021《信息安全技术 信息系统密码应用基本要求》，从物理和环境、网络和通信、设备和计算、应用和数据四个技术层面，以及管理制度、人员管理、建设运行、应急处置四个管理层面进行体系化设计。</w:t>
            </w:r>
          </w:p>
          <w:p w14:paraId="51BDE650">
            <w:pPr>
              <w:numPr>
                <w:ilvl w:val="0"/>
                <w:numId w:val="0"/>
              </w:numPr>
              <w:autoSpaceDE w:val="0"/>
              <w:autoSpaceDN w:val="0"/>
              <w:adjustRightInd w:val="0"/>
              <w:spacing w:line="360" w:lineRule="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lang w:val="en-US" w:eastAsia="zh-CN"/>
              </w:rPr>
              <w:t>五、</w:t>
            </w:r>
            <w:r>
              <w:rPr>
                <w:rFonts w:hint="eastAsia" w:ascii="仿宋" w:hAnsi="仿宋" w:eastAsia="仿宋" w:cs="仿宋"/>
                <w:b/>
                <w:bCs/>
                <w:color w:val="auto"/>
                <w:kern w:val="0"/>
                <w:sz w:val="24"/>
                <w:szCs w:val="24"/>
                <w:highlight w:val="none"/>
              </w:rPr>
              <w:t>商务要求</w:t>
            </w:r>
          </w:p>
          <w:p w14:paraId="021E9DF7">
            <w:pPr>
              <w:numPr>
                <w:ilvl w:val="0"/>
                <w:numId w:val="2"/>
              </w:numPr>
              <w:autoSpaceDE w:val="0"/>
              <w:autoSpaceDN w:val="0"/>
              <w:adjustRightIn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服务期限</w:t>
            </w:r>
            <w:r>
              <w:rPr>
                <w:rFonts w:hint="eastAsia" w:ascii="仿宋" w:hAnsi="仿宋" w:eastAsia="仿宋" w:cs="仿宋"/>
                <w:color w:val="auto"/>
                <w:kern w:val="0"/>
                <w:sz w:val="24"/>
                <w:szCs w:val="24"/>
                <w:highlight w:val="none"/>
                <w:lang w:eastAsia="zh-CN"/>
              </w:rPr>
              <w:t>：</w:t>
            </w:r>
          </w:p>
          <w:p w14:paraId="27421E18">
            <w:pPr>
              <w:numPr>
                <w:ilvl w:val="0"/>
                <w:numId w:val="0"/>
              </w:numPr>
              <w:autoSpaceDE w:val="0"/>
              <w:autoSpaceDN w:val="0"/>
              <w:adjustRightIn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合同签订</w:t>
            </w:r>
            <w:r>
              <w:rPr>
                <w:rFonts w:hint="eastAsia" w:ascii="仿宋" w:hAnsi="仿宋" w:eastAsia="仿宋" w:cs="仿宋"/>
                <w:color w:val="000000" w:themeColor="text1"/>
                <w:kern w:val="0"/>
                <w:sz w:val="24"/>
                <w:szCs w:val="24"/>
                <w:highlight w:val="none"/>
                <w14:textFill>
                  <w14:solidFill>
                    <w14:schemeClr w14:val="tx1"/>
                  </w14:solidFill>
                </w14:textFill>
              </w:rPr>
              <w:t>验收合格之日起，提供 3 年的免费维护和技术支持</w:t>
            </w:r>
            <w:r>
              <w:rPr>
                <w:rFonts w:hint="eastAsia" w:ascii="仿宋" w:hAnsi="仿宋" w:eastAsia="仿宋" w:cs="仿宋"/>
                <w:color w:val="000000" w:themeColor="text1"/>
                <w:kern w:val="0"/>
                <w:sz w:val="24"/>
                <w:szCs w:val="24"/>
                <w:highlight w:val="none"/>
                <w:lang w:eastAsia="zh-CN"/>
                <w14:textFill>
                  <w14:solidFill>
                    <w14:schemeClr w14:val="tx1"/>
                  </w14:solidFill>
                </w14:textFill>
              </w:rPr>
              <w:t>，在</w:t>
            </w:r>
            <w:r>
              <w:rPr>
                <w:rFonts w:hint="eastAsia" w:ascii="仿宋" w:hAnsi="仿宋" w:eastAsia="仿宋" w:cs="仿宋"/>
                <w:color w:val="000000" w:themeColor="text1"/>
                <w:kern w:val="0"/>
                <w:sz w:val="24"/>
                <w:szCs w:val="24"/>
                <w:highlight w:val="none"/>
                <w14:textFill>
                  <w14:solidFill>
                    <w14:schemeClr w14:val="tx1"/>
                  </w14:solidFill>
                </w14:textFill>
              </w:rPr>
              <w:t>免费运维期内提供产品免费升级，及系统功能的优化服务。</w:t>
            </w:r>
          </w:p>
          <w:p w14:paraId="3E8CDBB2">
            <w:pPr>
              <w:numPr>
                <w:ilvl w:val="0"/>
                <w:numId w:val="2"/>
              </w:numPr>
              <w:autoSpaceDE w:val="0"/>
              <w:autoSpaceDN w:val="0"/>
              <w:adjustRightIn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款项结算：</w:t>
            </w:r>
          </w:p>
          <w:p w14:paraId="5877F747">
            <w:pPr>
              <w:numPr>
                <w:ilvl w:val="0"/>
                <w:numId w:val="0"/>
              </w:numPr>
              <w:autoSpaceDE w:val="0"/>
              <w:autoSpaceDN w:val="0"/>
              <w:adjustRightIn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合同签订后，货到验收</w:t>
            </w:r>
            <w:r>
              <w:rPr>
                <w:rFonts w:hint="eastAsia" w:ascii="仿宋" w:hAnsi="仿宋" w:eastAsia="仿宋" w:cs="仿宋"/>
                <w:color w:val="auto"/>
                <w:kern w:val="0"/>
                <w:sz w:val="24"/>
                <w:szCs w:val="24"/>
                <w:highlight w:val="none"/>
                <w:lang w:val="en-US" w:eastAsia="zh-CN"/>
              </w:rPr>
              <w:t>合格</w:t>
            </w:r>
            <w:r>
              <w:rPr>
                <w:rFonts w:hint="eastAsia" w:ascii="仿宋" w:hAnsi="仿宋" w:eastAsia="仿宋" w:cs="仿宋"/>
                <w:color w:val="auto"/>
                <w:kern w:val="0"/>
                <w:sz w:val="24"/>
                <w:szCs w:val="24"/>
                <w:highlight w:val="none"/>
              </w:rPr>
              <w:t>后</w:t>
            </w:r>
            <w:r>
              <w:rPr>
                <w:rFonts w:hint="eastAsia" w:ascii="仿宋" w:hAnsi="仿宋" w:eastAsia="仿宋" w:cs="仿宋"/>
                <w:kern w:val="0"/>
                <w:sz w:val="24"/>
                <w:szCs w:val="24"/>
                <w:lang w:val="en-US" w:eastAsia="zh-CN"/>
              </w:rPr>
              <w:t>30个日历日支付</w:t>
            </w:r>
            <w:r>
              <w:rPr>
                <w:rFonts w:hint="eastAsia" w:ascii="仿宋" w:hAnsi="仿宋" w:eastAsia="仿宋" w:cs="仿宋"/>
                <w:color w:val="auto"/>
                <w:kern w:val="0"/>
                <w:sz w:val="24"/>
                <w:szCs w:val="24"/>
                <w:highlight w:val="none"/>
              </w:rPr>
              <w:t>合同总金额的30%；部署实施完成且正常运行验收</w:t>
            </w:r>
            <w:r>
              <w:rPr>
                <w:rFonts w:hint="eastAsia" w:ascii="仿宋" w:hAnsi="仿宋" w:eastAsia="仿宋" w:cs="仿宋"/>
                <w:color w:val="auto"/>
                <w:kern w:val="0"/>
                <w:sz w:val="24"/>
                <w:szCs w:val="24"/>
                <w:highlight w:val="none"/>
                <w:lang w:val="en-US" w:eastAsia="zh-CN"/>
              </w:rPr>
              <w:t>合格</w:t>
            </w:r>
            <w:r>
              <w:rPr>
                <w:rFonts w:hint="eastAsia" w:ascii="仿宋" w:hAnsi="仿宋" w:eastAsia="仿宋" w:cs="仿宋"/>
                <w:color w:val="auto"/>
                <w:kern w:val="0"/>
                <w:sz w:val="24"/>
                <w:szCs w:val="24"/>
                <w:highlight w:val="none"/>
              </w:rPr>
              <w:t>后</w:t>
            </w:r>
            <w:r>
              <w:rPr>
                <w:rFonts w:hint="eastAsia" w:ascii="仿宋" w:hAnsi="仿宋" w:eastAsia="仿宋" w:cs="仿宋"/>
                <w:kern w:val="0"/>
                <w:sz w:val="24"/>
                <w:szCs w:val="24"/>
                <w:lang w:val="en-US" w:eastAsia="zh-CN"/>
              </w:rPr>
              <w:t>30个日历日支付</w:t>
            </w:r>
            <w:r>
              <w:rPr>
                <w:rFonts w:hint="eastAsia" w:ascii="仿宋" w:hAnsi="仿宋" w:eastAsia="仿宋" w:cs="仿宋"/>
                <w:color w:val="auto"/>
                <w:kern w:val="0"/>
                <w:sz w:val="24"/>
                <w:szCs w:val="24"/>
                <w:highlight w:val="none"/>
              </w:rPr>
              <w:t>合同总金额的65%；</w:t>
            </w:r>
            <w:r>
              <w:rPr>
                <w:rFonts w:hint="eastAsia" w:ascii="仿宋" w:hAnsi="仿宋" w:eastAsia="仿宋" w:cs="仿宋"/>
                <w:color w:val="auto"/>
                <w:kern w:val="0"/>
                <w:sz w:val="24"/>
                <w:szCs w:val="24"/>
                <w:highlight w:val="none"/>
                <w:lang w:val="en-US" w:eastAsia="zh-CN"/>
              </w:rPr>
              <w:t>服务期结束，</w:t>
            </w:r>
            <w:r>
              <w:rPr>
                <w:rFonts w:hint="eastAsia" w:ascii="仿宋" w:hAnsi="仿宋" w:eastAsia="仿宋" w:cs="仿宋"/>
                <w:color w:val="auto"/>
                <w:kern w:val="0"/>
                <w:sz w:val="24"/>
                <w:szCs w:val="24"/>
                <w:highlight w:val="none"/>
              </w:rPr>
              <w:t>经使用科室考核，考核合格后</w:t>
            </w:r>
            <w:r>
              <w:rPr>
                <w:rFonts w:hint="eastAsia" w:ascii="仿宋" w:hAnsi="仿宋" w:eastAsia="仿宋" w:cs="仿宋"/>
                <w:kern w:val="0"/>
                <w:sz w:val="24"/>
                <w:szCs w:val="24"/>
                <w:lang w:val="en-US" w:eastAsia="zh-CN"/>
              </w:rPr>
              <w:t>30个日历日支付</w:t>
            </w:r>
            <w:r>
              <w:rPr>
                <w:rFonts w:hint="eastAsia" w:ascii="仿宋" w:hAnsi="仿宋" w:eastAsia="仿宋" w:cs="仿宋"/>
                <w:color w:val="auto"/>
                <w:kern w:val="0"/>
                <w:sz w:val="24"/>
                <w:szCs w:val="24"/>
                <w:highlight w:val="none"/>
              </w:rPr>
              <w:t>合同总金额的5%。</w:t>
            </w:r>
          </w:p>
          <w:p w14:paraId="5F768C10">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付款方式：银行转账，甲方付款前，乙方应先向甲方提供等额发票及付款申请，否则甲方有权暂不付款，乙方仍应履行合同义务。</w:t>
            </w:r>
          </w:p>
          <w:p w14:paraId="19540978">
            <w:pPr>
              <w:numPr>
                <w:ilvl w:val="0"/>
                <w:numId w:val="0"/>
              </w:numPr>
              <w:autoSpaceDE w:val="0"/>
              <w:autoSpaceDN w:val="0"/>
              <w:adjustRightInd w:val="0"/>
              <w:spacing w:line="360" w:lineRule="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lang w:val="en-US" w:eastAsia="zh-CN" w:bidi="ar-SA"/>
              </w:rPr>
              <w:t>六、</w:t>
            </w:r>
            <w:r>
              <w:rPr>
                <w:rFonts w:hint="eastAsia" w:ascii="仿宋" w:hAnsi="仿宋" w:eastAsia="仿宋" w:cs="仿宋"/>
                <w:b/>
                <w:bCs/>
                <w:color w:val="auto"/>
                <w:kern w:val="0"/>
                <w:sz w:val="24"/>
                <w:szCs w:val="24"/>
                <w:highlight w:val="none"/>
              </w:rPr>
              <w:t>其他</w:t>
            </w:r>
          </w:p>
          <w:p w14:paraId="440AABC0">
            <w:pPr>
              <w:numPr>
                <w:ilvl w:val="0"/>
                <w:numId w:val="0"/>
              </w:numPr>
              <w:autoSpaceDE w:val="0"/>
              <w:autoSpaceDN w:val="0"/>
              <w:adjustRightIn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一）</w:t>
            </w:r>
            <w:r>
              <w:rPr>
                <w:rFonts w:hint="eastAsia" w:ascii="仿宋" w:hAnsi="仿宋" w:eastAsia="仿宋" w:cs="仿宋"/>
                <w:color w:val="auto"/>
                <w:kern w:val="0"/>
                <w:sz w:val="24"/>
                <w:szCs w:val="24"/>
                <w:highlight w:val="none"/>
              </w:rPr>
              <w:t xml:space="preserve">进度要求： </w:t>
            </w:r>
            <w:r>
              <w:rPr>
                <w:rFonts w:hint="eastAsia" w:ascii="仿宋" w:hAnsi="仿宋" w:eastAsia="仿宋" w:cs="仿宋"/>
                <w:color w:val="auto"/>
                <w:kern w:val="0"/>
                <w:sz w:val="24"/>
                <w:szCs w:val="24"/>
                <w:highlight w:val="none"/>
                <w:lang w:val="en-US" w:eastAsia="zh-CN"/>
              </w:rPr>
              <w:t>合同签订后60个日历日完成项目建设。</w:t>
            </w:r>
          </w:p>
          <w:p w14:paraId="20925B54">
            <w:pPr>
              <w:numPr>
                <w:ilvl w:val="0"/>
                <w:numId w:val="0"/>
              </w:numPr>
              <w:autoSpaceDE w:val="0"/>
              <w:autoSpaceDN w:val="0"/>
              <w:adjustRightIn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二）</w:t>
            </w:r>
            <w:r>
              <w:rPr>
                <w:rFonts w:hint="eastAsia" w:ascii="仿宋" w:hAnsi="仿宋" w:eastAsia="仿宋" w:cs="仿宋"/>
                <w:color w:val="auto"/>
                <w:kern w:val="0"/>
                <w:sz w:val="24"/>
                <w:szCs w:val="24"/>
                <w:highlight w:val="none"/>
              </w:rPr>
              <w:t>成果交付要求：</w:t>
            </w:r>
            <w:r>
              <w:rPr>
                <w:rFonts w:hint="eastAsia" w:ascii="仿宋" w:hAnsi="仿宋" w:eastAsia="仿宋" w:cs="仿宋"/>
                <w:color w:val="auto"/>
                <w:kern w:val="0"/>
                <w:sz w:val="24"/>
                <w:szCs w:val="24"/>
                <w:highlight w:val="none"/>
                <w:lang w:val="en-US" w:eastAsia="zh-CN"/>
              </w:rPr>
              <w:t>可以备案的</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000000" w:themeColor="text1"/>
                <w:kern w:val="0"/>
                <w:sz w:val="24"/>
                <w:szCs w:val="24"/>
                <w:highlight w:val="none"/>
                <w:lang w:eastAsia="zh-CN"/>
                <w14:textFill>
                  <w14:solidFill>
                    <w14:schemeClr w14:val="tx1"/>
                  </w14:solidFill>
                </w14:textFill>
              </w:rPr>
              <w:t>商用密码应用建设方案》，符合要求的《商用密码应用安全性评估报告》。</w:t>
            </w:r>
          </w:p>
          <w:p w14:paraId="0262A6B9">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三）</w:t>
            </w:r>
            <w:r>
              <w:rPr>
                <w:rFonts w:hint="eastAsia" w:ascii="仿宋" w:hAnsi="仿宋" w:eastAsia="仿宋" w:cs="仿宋"/>
                <w:color w:val="auto"/>
                <w:kern w:val="0"/>
                <w:sz w:val="24"/>
                <w:szCs w:val="24"/>
                <w:highlight w:val="none"/>
              </w:rPr>
              <w:t>验收标准或规范：</w:t>
            </w:r>
            <w:r>
              <w:rPr>
                <w:rFonts w:hint="eastAsia" w:ascii="仿宋" w:hAnsi="仿宋" w:eastAsia="仿宋" w:cs="仿宋"/>
                <w:color w:val="000000" w:themeColor="text1"/>
                <w:kern w:val="0"/>
                <w:sz w:val="24"/>
                <w:szCs w:val="24"/>
                <w:highlight w:val="none"/>
                <w:lang w:eastAsia="zh-CN"/>
                <w14:textFill>
                  <w14:solidFill>
                    <w14:schemeClr w14:val="tx1"/>
                  </w14:solidFill>
                </w14:textFill>
              </w:rPr>
              <w:t>项目验收以中标人协助采购人通过商用密码应用安全性评估，并取得符合要求的《商用密码应用安全性评估报告》为准。</w:t>
            </w:r>
          </w:p>
        </w:tc>
      </w:tr>
    </w:tbl>
    <w:p w14:paraId="016705BA">
      <w:pPr>
        <w:pStyle w:val="4"/>
        <w:outlineLvl w:val="2"/>
        <w:rPr>
          <w:rFonts w:hint="eastAsia" w:ascii="仿宋" w:hAnsi="仿宋" w:eastAsia="仿宋" w:cs="仿宋"/>
          <w:sz w:val="24"/>
          <w:szCs w:val="24"/>
        </w:rPr>
      </w:pPr>
      <w:r>
        <w:rPr>
          <w:rFonts w:hint="eastAsia" w:ascii="仿宋" w:hAnsi="仿宋" w:eastAsia="仿宋" w:cs="仿宋"/>
          <w:b/>
          <w:sz w:val="24"/>
          <w:szCs w:val="24"/>
        </w:rPr>
        <w:t>3.2.3人员配置要求</w:t>
      </w:r>
    </w:p>
    <w:p w14:paraId="57E65228">
      <w:pPr>
        <w:pStyle w:val="4"/>
        <w:rPr>
          <w:rFonts w:hint="eastAsia" w:ascii="仿宋" w:hAnsi="仿宋" w:eastAsia="仿宋" w:cs="仿宋"/>
          <w:sz w:val="24"/>
          <w:szCs w:val="24"/>
        </w:rPr>
      </w:pPr>
      <w:r>
        <w:rPr>
          <w:rFonts w:hint="eastAsia" w:ascii="仿宋" w:hAnsi="仿宋" w:eastAsia="仿宋" w:cs="仿宋"/>
          <w:sz w:val="24"/>
          <w:szCs w:val="24"/>
        </w:rPr>
        <w:t>采购包1：</w:t>
      </w:r>
    </w:p>
    <w:p w14:paraId="7B9A7C92">
      <w:pPr>
        <w:pStyle w:val="4"/>
        <w:rPr>
          <w:rFonts w:hint="eastAsia" w:ascii="仿宋" w:hAnsi="仿宋" w:eastAsia="仿宋" w:cs="仿宋"/>
          <w:sz w:val="24"/>
          <w:szCs w:val="24"/>
        </w:rPr>
      </w:pPr>
      <w:r>
        <w:rPr>
          <w:rFonts w:hint="eastAsia" w:ascii="仿宋" w:hAnsi="仿宋" w:eastAsia="仿宋" w:cs="仿宋"/>
          <w:sz w:val="24"/>
          <w:szCs w:val="24"/>
        </w:rPr>
        <w:t>达到服务要求所必须的人员，详见服务要求。</w:t>
      </w:r>
    </w:p>
    <w:p w14:paraId="28893EA2">
      <w:pPr>
        <w:pStyle w:val="4"/>
        <w:outlineLvl w:val="2"/>
        <w:rPr>
          <w:rFonts w:hint="eastAsia" w:ascii="仿宋" w:hAnsi="仿宋" w:eastAsia="仿宋" w:cs="仿宋"/>
          <w:sz w:val="24"/>
          <w:szCs w:val="24"/>
        </w:rPr>
      </w:pPr>
      <w:r>
        <w:rPr>
          <w:rFonts w:hint="eastAsia" w:ascii="仿宋" w:hAnsi="仿宋" w:eastAsia="仿宋" w:cs="仿宋"/>
          <w:b/>
          <w:sz w:val="24"/>
          <w:szCs w:val="24"/>
        </w:rPr>
        <w:t>3.2.4设施设备要求</w:t>
      </w:r>
    </w:p>
    <w:p w14:paraId="01E28CF9">
      <w:pPr>
        <w:pStyle w:val="4"/>
        <w:rPr>
          <w:rFonts w:hint="eastAsia" w:ascii="仿宋" w:hAnsi="仿宋" w:eastAsia="仿宋" w:cs="仿宋"/>
          <w:sz w:val="24"/>
          <w:szCs w:val="24"/>
        </w:rPr>
      </w:pPr>
      <w:r>
        <w:rPr>
          <w:rFonts w:hint="eastAsia" w:ascii="仿宋" w:hAnsi="仿宋" w:eastAsia="仿宋" w:cs="仿宋"/>
          <w:sz w:val="24"/>
          <w:szCs w:val="24"/>
        </w:rPr>
        <w:t>采购包1：</w:t>
      </w:r>
    </w:p>
    <w:p w14:paraId="06C34AF6">
      <w:pPr>
        <w:pStyle w:val="4"/>
        <w:rPr>
          <w:rFonts w:hint="eastAsia" w:ascii="仿宋" w:hAnsi="仿宋" w:eastAsia="仿宋" w:cs="仿宋"/>
          <w:sz w:val="24"/>
          <w:szCs w:val="24"/>
        </w:rPr>
      </w:pPr>
      <w:r>
        <w:rPr>
          <w:rFonts w:hint="eastAsia" w:ascii="仿宋" w:hAnsi="仿宋" w:eastAsia="仿宋" w:cs="仿宋"/>
          <w:sz w:val="24"/>
          <w:szCs w:val="24"/>
        </w:rPr>
        <w:t>满足采购文件要求</w:t>
      </w:r>
    </w:p>
    <w:p w14:paraId="43B91E38">
      <w:pPr>
        <w:pStyle w:val="4"/>
        <w:outlineLvl w:val="2"/>
        <w:rPr>
          <w:rFonts w:hint="eastAsia" w:ascii="仿宋" w:hAnsi="仿宋" w:eastAsia="仿宋" w:cs="仿宋"/>
          <w:sz w:val="24"/>
          <w:szCs w:val="24"/>
        </w:rPr>
      </w:pPr>
      <w:r>
        <w:rPr>
          <w:rFonts w:hint="eastAsia" w:ascii="仿宋" w:hAnsi="仿宋" w:eastAsia="仿宋" w:cs="仿宋"/>
          <w:b/>
          <w:sz w:val="24"/>
          <w:szCs w:val="24"/>
        </w:rPr>
        <w:t>3.2.5其他要求</w:t>
      </w:r>
    </w:p>
    <w:p w14:paraId="745425A0">
      <w:pPr>
        <w:pStyle w:val="4"/>
        <w:rPr>
          <w:rFonts w:hint="eastAsia" w:ascii="仿宋" w:hAnsi="仿宋" w:eastAsia="仿宋" w:cs="仿宋"/>
          <w:sz w:val="24"/>
          <w:szCs w:val="24"/>
        </w:rPr>
      </w:pPr>
      <w:r>
        <w:rPr>
          <w:rFonts w:hint="eastAsia" w:ascii="仿宋" w:hAnsi="仿宋" w:eastAsia="仿宋" w:cs="仿宋"/>
          <w:sz w:val="24"/>
          <w:szCs w:val="24"/>
        </w:rPr>
        <w:t>采购包1：</w:t>
      </w:r>
    </w:p>
    <w:p w14:paraId="0F3E1E6B">
      <w:pPr>
        <w:pStyle w:val="4"/>
        <w:rPr>
          <w:rFonts w:hint="eastAsia" w:ascii="仿宋" w:hAnsi="仿宋" w:eastAsia="仿宋" w:cs="仿宋"/>
          <w:sz w:val="24"/>
          <w:szCs w:val="24"/>
        </w:rPr>
      </w:pPr>
      <w:r>
        <w:rPr>
          <w:rFonts w:hint="eastAsia" w:ascii="仿宋" w:hAnsi="仿宋" w:eastAsia="仿宋" w:cs="仿宋"/>
          <w:sz w:val="24"/>
          <w:szCs w:val="24"/>
        </w:rPr>
        <w:t>无</w:t>
      </w:r>
    </w:p>
    <w:p w14:paraId="788465CC">
      <w:pPr>
        <w:pStyle w:val="4"/>
        <w:outlineLvl w:val="2"/>
        <w:rPr>
          <w:rFonts w:hint="eastAsia" w:ascii="仿宋" w:hAnsi="仿宋" w:eastAsia="仿宋" w:cs="仿宋"/>
          <w:sz w:val="24"/>
          <w:szCs w:val="24"/>
        </w:rPr>
      </w:pPr>
      <w:r>
        <w:rPr>
          <w:rFonts w:hint="eastAsia" w:ascii="仿宋" w:hAnsi="仿宋" w:eastAsia="仿宋" w:cs="仿宋"/>
          <w:b/>
          <w:sz w:val="24"/>
          <w:szCs w:val="24"/>
        </w:rPr>
        <w:t>3.3商务要求</w:t>
      </w:r>
    </w:p>
    <w:p w14:paraId="0A7F6CDE">
      <w:pPr>
        <w:pStyle w:val="4"/>
        <w:outlineLvl w:val="3"/>
        <w:rPr>
          <w:rFonts w:hint="eastAsia" w:ascii="仿宋" w:hAnsi="仿宋" w:eastAsia="仿宋" w:cs="仿宋"/>
          <w:sz w:val="24"/>
          <w:szCs w:val="24"/>
        </w:rPr>
      </w:pPr>
      <w:r>
        <w:rPr>
          <w:rFonts w:hint="eastAsia" w:ascii="仿宋" w:hAnsi="仿宋" w:eastAsia="仿宋" w:cs="仿宋"/>
          <w:b/>
          <w:sz w:val="24"/>
          <w:szCs w:val="24"/>
        </w:rPr>
        <w:t>3.3.1服务期限</w:t>
      </w:r>
    </w:p>
    <w:p w14:paraId="5D56EA83">
      <w:pPr>
        <w:pStyle w:val="4"/>
        <w:rPr>
          <w:rFonts w:hint="eastAsia" w:ascii="仿宋" w:hAnsi="仿宋" w:eastAsia="仿宋" w:cs="仿宋"/>
          <w:sz w:val="24"/>
          <w:szCs w:val="24"/>
        </w:rPr>
      </w:pPr>
      <w:r>
        <w:rPr>
          <w:rFonts w:hint="eastAsia" w:ascii="仿宋" w:hAnsi="仿宋" w:eastAsia="仿宋" w:cs="仿宋"/>
          <w:sz w:val="24"/>
          <w:szCs w:val="24"/>
        </w:rPr>
        <w:t>采购包1：</w:t>
      </w:r>
    </w:p>
    <w:p w14:paraId="6AB0F04A">
      <w:pPr>
        <w:pStyle w:val="4"/>
        <w:rPr>
          <w:rFonts w:hint="eastAsia" w:ascii="仿宋" w:hAnsi="仿宋" w:eastAsia="仿宋" w:cs="仿宋"/>
          <w:sz w:val="24"/>
          <w:szCs w:val="24"/>
        </w:rPr>
      </w:pPr>
      <w:r>
        <w:rPr>
          <w:rFonts w:hint="eastAsia" w:ascii="仿宋" w:hAnsi="仿宋" w:eastAsia="仿宋" w:cs="仿宋"/>
          <w:sz w:val="24"/>
          <w:szCs w:val="24"/>
          <w:lang w:val="en-US" w:eastAsia="zh-CN"/>
        </w:rPr>
        <w:t>合同签订</w:t>
      </w:r>
      <w:r>
        <w:rPr>
          <w:rFonts w:hint="eastAsia" w:ascii="仿宋" w:hAnsi="仿宋" w:eastAsia="仿宋" w:cs="仿宋"/>
          <w:sz w:val="24"/>
          <w:szCs w:val="24"/>
        </w:rPr>
        <w:t>验收合格之日起，提供</w:t>
      </w:r>
      <w:r>
        <w:rPr>
          <w:rFonts w:hint="eastAsia" w:ascii="仿宋" w:hAnsi="仿宋" w:eastAsia="仿宋" w:cs="仿宋"/>
          <w:sz w:val="24"/>
          <w:szCs w:val="24"/>
          <w:lang w:val="en-US" w:eastAsia="zh-CN"/>
        </w:rPr>
        <w:t>3</w:t>
      </w:r>
      <w:r>
        <w:rPr>
          <w:rFonts w:hint="eastAsia" w:ascii="仿宋" w:hAnsi="仿宋" w:eastAsia="仿宋" w:cs="仿宋"/>
          <w:sz w:val="24"/>
          <w:szCs w:val="24"/>
        </w:rPr>
        <w:t>年的免费维护和技术支持</w:t>
      </w:r>
      <w:r>
        <w:rPr>
          <w:rFonts w:hint="eastAsia" w:ascii="仿宋" w:hAnsi="仿宋" w:eastAsia="仿宋" w:cs="仿宋"/>
          <w:sz w:val="24"/>
          <w:szCs w:val="24"/>
          <w:lang w:eastAsia="zh-CN"/>
        </w:rPr>
        <w:t>，在</w:t>
      </w:r>
      <w:r>
        <w:rPr>
          <w:rFonts w:hint="eastAsia" w:ascii="仿宋" w:hAnsi="仿宋" w:eastAsia="仿宋" w:cs="仿宋"/>
          <w:sz w:val="24"/>
          <w:szCs w:val="24"/>
        </w:rPr>
        <w:t>免费运维期内提供产品免费升级，及系统功能的优化服务。</w:t>
      </w:r>
    </w:p>
    <w:p w14:paraId="7FECA87F">
      <w:pPr>
        <w:pStyle w:val="4"/>
        <w:outlineLvl w:val="3"/>
        <w:rPr>
          <w:rFonts w:hint="eastAsia" w:ascii="仿宋" w:hAnsi="仿宋" w:eastAsia="仿宋" w:cs="仿宋"/>
          <w:sz w:val="24"/>
          <w:szCs w:val="24"/>
        </w:rPr>
      </w:pPr>
      <w:r>
        <w:rPr>
          <w:rFonts w:hint="eastAsia" w:ascii="仿宋" w:hAnsi="仿宋" w:eastAsia="仿宋" w:cs="仿宋"/>
          <w:b/>
          <w:sz w:val="24"/>
          <w:szCs w:val="24"/>
        </w:rPr>
        <w:t>3.3.2服务地点</w:t>
      </w:r>
    </w:p>
    <w:p w14:paraId="3F743C8B">
      <w:pPr>
        <w:pStyle w:val="4"/>
        <w:rPr>
          <w:rFonts w:hint="eastAsia" w:ascii="仿宋" w:hAnsi="仿宋" w:eastAsia="仿宋" w:cs="仿宋"/>
          <w:sz w:val="24"/>
          <w:szCs w:val="24"/>
        </w:rPr>
      </w:pPr>
      <w:r>
        <w:rPr>
          <w:rFonts w:hint="eastAsia" w:ascii="仿宋" w:hAnsi="仿宋" w:eastAsia="仿宋" w:cs="仿宋"/>
          <w:sz w:val="24"/>
          <w:szCs w:val="24"/>
        </w:rPr>
        <w:t>采购包1：</w:t>
      </w:r>
    </w:p>
    <w:p w14:paraId="0B4261BD">
      <w:pPr>
        <w:pStyle w:val="4"/>
        <w:rPr>
          <w:rFonts w:hint="eastAsia" w:ascii="仿宋" w:hAnsi="仿宋" w:eastAsia="仿宋" w:cs="仿宋"/>
          <w:sz w:val="24"/>
          <w:szCs w:val="24"/>
        </w:rPr>
      </w:pPr>
      <w:r>
        <w:rPr>
          <w:rFonts w:hint="eastAsia" w:ascii="仿宋" w:hAnsi="仿宋" w:eastAsia="仿宋" w:cs="仿宋"/>
          <w:sz w:val="24"/>
          <w:szCs w:val="24"/>
        </w:rPr>
        <w:t>西安市儿童医院</w:t>
      </w:r>
    </w:p>
    <w:p w14:paraId="743E268F">
      <w:pPr>
        <w:pStyle w:val="4"/>
        <w:outlineLvl w:val="3"/>
        <w:rPr>
          <w:rFonts w:hint="eastAsia" w:ascii="仿宋" w:hAnsi="仿宋" w:eastAsia="仿宋" w:cs="仿宋"/>
          <w:sz w:val="24"/>
          <w:szCs w:val="24"/>
        </w:rPr>
      </w:pPr>
      <w:r>
        <w:rPr>
          <w:rFonts w:hint="eastAsia" w:ascii="仿宋" w:hAnsi="仿宋" w:eastAsia="仿宋" w:cs="仿宋"/>
          <w:b/>
          <w:sz w:val="24"/>
          <w:szCs w:val="24"/>
        </w:rPr>
        <w:t>3.3.3考核（验收）标准和方法</w:t>
      </w:r>
    </w:p>
    <w:p w14:paraId="5C1BCA45">
      <w:pPr>
        <w:pStyle w:val="4"/>
        <w:rPr>
          <w:rFonts w:hint="eastAsia" w:ascii="仿宋" w:hAnsi="仿宋" w:eastAsia="仿宋" w:cs="仿宋"/>
          <w:sz w:val="24"/>
          <w:szCs w:val="24"/>
        </w:rPr>
      </w:pPr>
      <w:r>
        <w:rPr>
          <w:rFonts w:hint="eastAsia" w:ascii="仿宋" w:hAnsi="仿宋" w:eastAsia="仿宋" w:cs="仿宋"/>
          <w:sz w:val="24"/>
          <w:szCs w:val="24"/>
        </w:rPr>
        <w:t>采购包1：</w:t>
      </w:r>
    </w:p>
    <w:p w14:paraId="58247EC5">
      <w:pPr>
        <w:pStyle w:val="4"/>
        <w:rPr>
          <w:rFonts w:hint="eastAsia" w:ascii="仿宋" w:hAnsi="仿宋" w:eastAsia="仿宋" w:cs="仿宋"/>
          <w:sz w:val="24"/>
          <w:szCs w:val="24"/>
        </w:rPr>
      </w:pPr>
      <w:r>
        <w:rPr>
          <w:rFonts w:hint="eastAsia" w:ascii="仿宋" w:hAnsi="仿宋" w:eastAsia="仿宋" w:cs="仿宋"/>
          <w:sz w:val="24"/>
          <w:szCs w:val="24"/>
          <w:lang w:val="en-US" w:eastAsia="zh-CN"/>
        </w:rPr>
        <w:t>项</w:t>
      </w:r>
      <w:r>
        <w:rPr>
          <w:rFonts w:hint="eastAsia" w:ascii="仿宋" w:hAnsi="仿宋" w:eastAsia="仿宋" w:cs="仿宋"/>
          <w:sz w:val="24"/>
          <w:szCs w:val="24"/>
          <w:lang w:eastAsia="zh-CN"/>
        </w:rPr>
        <w:t>目验收以中标人协助采购人通过商用密码应用安全性评估，并取得符合要求的《商用密码应用安全性评估报告》为准</w:t>
      </w:r>
      <w:r>
        <w:rPr>
          <w:rFonts w:hint="eastAsia" w:ascii="仿宋" w:hAnsi="仿宋" w:eastAsia="仿宋" w:cs="仿宋"/>
          <w:sz w:val="24"/>
          <w:szCs w:val="24"/>
        </w:rPr>
        <w:t>。</w:t>
      </w:r>
    </w:p>
    <w:p w14:paraId="2F7751AB">
      <w:pPr>
        <w:pStyle w:val="4"/>
        <w:outlineLvl w:val="3"/>
        <w:rPr>
          <w:rFonts w:hint="eastAsia" w:ascii="仿宋" w:hAnsi="仿宋" w:eastAsia="仿宋" w:cs="仿宋"/>
          <w:sz w:val="24"/>
          <w:szCs w:val="24"/>
        </w:rPr>
      </w:pPr>
      <w:r>
        <w:rPr>
          <w:rFonts w:hint="eastAsia" w:ascii="仿宋" w:hAnsi="仿宋" w:eastAsia="仿宋" w:cs="仿宋"/>
          <w:b/>
          <w:sz w:val="24"/>
          <w:szCs w:val="24"/>
        </w:rPr>
        <w:t>3.3.4支付方式</w:t>
      </w:r>
    </w:p>
    <w:p w14:paraId="6F74814C">
      <w:pPr>
        <w:pStyle w:val="4"/>
        <w:rPr>
          <w:rFonts w:hint="eastAsia" w:ascii="仿宋" w:hAnsi="仿宋" w:eastAsia="仿宋" w:cs="仿宋"/>
          <w:sz w:val="24"/>
          <w:szCs w:val="24"/>
        </w:rPr>
      </w:pPr>
      <w:r>
        <w:rPr>
          <w:rFonts w:hint="eastAsia" w:ascii="仿宋" w:hAnsi="仿宋" w:eastAsia="仿宋" w:cs="仿宋"/>
          <w:sz w:val="24"/>
          <w:szCs w:val="24"/>
        </w:rPr>
        <w:t>采购包1：</w:t>
      </w:r>
    </w:p>
    <w:p w14:paraId="349BEC9A">
      <w:pPr>
        <w:pStyle w:val="4"/>
        <w:rPr>
          <w:rFonts w:hint="eastAsia" w:ascii="仿宋" w:hAnsi="仿宋" w:eastAsia="仿宋" w:cs="仿宋"/>
          <w:sz w:val="24"/>
          <w:szCs w:val="24"/>
        </w:rPr>
      </w:pPr>
      <w:r>
        <w:rPr>
          <w:rFonts w:hint="eastAsia" w:ascii="仿宋" w:hAnsi="仿宋" w:eastAsia="仿宋" w:cs="仿宋"/>
          <w:sz w:val="24"/>
          <w:szCs w:val="24"/>
        </w:rPr>
        <w:t>分期付款</w:t>
      </w:r>
    </w:p>
    <w:p w14:paraId="15B177C6">
      <w:pPr>
        <w:pStyle w:val="4"/>
        <w:outlineLvl w:val="3"/>
        <w:rPr>
          <w:rFonts w:hint="eastAsia" w:ascii="仿宋" w:hAnsi="仿宋" w:eastAsia="仿宋" w:cs="仿宋"/>
          <w:sz w:val="24"/>
          <w:szCs w:val="24"/>
        </w:rPr>
      </w:pPr>
      <w:r>
        <w:rPr>
          <w:rFonts w:hint="eastAsia" w:ascii="仿宋" w:hAnsi="仿宋" w:eastAsia="仿宋" w:cs="仿宋"/>
          <w:b/>
          <w:sz w:val="24"/>
          <w:szCs w:val="24"/>
        </w:rPr>
        <w:t>3.3.5支付约定</w:t>
      </w:r>
    </w:p>
    <w:p w14:paraId="6B7B67A3">
      <w:pPr>
        <w:pStyle w:val="4"/>
        <w:rPr>
          <w:rFonts w:hint="eastAsia" w:ascii="仿宋" w:hAnsi="仿宋" w:eastAsia="仿宋" w:cs="仿宋"/>
          <w:sz w:val="24"/>
          <w:szCs w:val="24"/>
        </w:rPr>
      </w:pPr>
      <w:r>
        <w:rPr>
          <w:rFonts w:hint="eastAsia" w:ascii="仿宋" w:hAnsi="仿宋" w:eastAsia="仿宋" w:cs="仿宋"/>
          <w:sz w:val="24"/>
          <w:szCs w:val="24"/>
        </w:rPr>
        <w:t>采购包1：合同签订后，货到验收</w:t>
      </w:r>
      <w:r>
        <w:rPr>
          <w:rFonts w:hint="eastAsia" w:ascii="仿宋" w:hAnsi="仿宋" w:eastAsia="仿宋" w:cs="仿宋"/>
          <w:sz w:val="24"/>
          <w:szCs w:val="24"/>
          <w:lang w:val="en-US" w:eastAsia="zh-CN"/>
        </w:rPr>
        <w:t>合格</w:t>
      </w:r>
      <w:r>
        <w:rPr>
          <w:rFonts w:hint="eastAsia" w:ascii="仿宋" w:hAnsi="仿宋" w:eastAsia="仿宋" w:cs="仿宋"/>
          <w:sz w:val="24"/>
          <w:szCs w:val="24"/>
        </w:rPr>
        <w:t>后</w:t>
      </w:r>
      <w:r>
        <w:rPr>
          <w:rFonts w:hint="eastAsia" w:ascii="仿宋" w:hAnsi="仿宋" w:eastAsia="仿宋" w:cs="仿宋"/>
          <w:sz w:val="24"/>
          <w:szCs w:val="24"/>
          <w:lang w:val="en-US" w:eastAsia="zh-CN"/>
        </w:rPr>
        <w:t>30个日历日支付</w:t>
      </w:r>
      <w:r>
        <w:rPr>
          <w:rFonts w:hint="eastAsia" w:ascii="仿宋" w:hAnsi="仿宋" w:eastAsia="仿宋" w:cs="仿宋"/>
          <w:sz w:val="24"/>
          <w:szCs w:val="24"/>
        </w:rPr>
        <w:t>合同总金额的30%；部署实施完成且正常运行验收</w:t>
      </w:r>
      <w:r>
        <w:rPr>
          <w:rFonts w:hint="eastAsia" w:ascii="仿宋" w:hAnsi="仿宋" w:eastAsia="仿宋" w:cs="仿宋"/>
          <w:sz w:val="24"/>
          <w:szCs w:val="24"/>
          <w:lang w:val="en-US" w:eastAsia="zh-CN"/>
        </w:rPr>
        <w:t>合格</w:t>
      </w:r>
      <w:r>
        <w:rPr>
          <w:rFonts w:hint="eastAsia" w:ascii="仿宋" w:hAnsi="仿宋" w:eastAsia="仿宋" w:cs="仿宋"/>
          <w:sz w:val="24"/>
          <w:szCs w:val="24"/>
        </w:rPr>
        <w:t>后</w:t>
      </w:r>
      <w:r>
        <w:rPr>
          <w:rFonts w:hint="eastAsia" w:ascii="仿宋" w:hAnsi="仿宋" w:eastAsia="仿宋" w:cs="仿宋"/>
          <w:sz w:val="24"/>
          <w:szCs w:val="24"/>
          <w:lang w:val="en-US" w:eastAsia="zh-CN"/>
        </w:rPr>
        <w:t>30个日历日支付</w:t>
      </w:r>
      <w:r>
        <w:rPr>
          <w:rFonts w:hint="eastAsia" w:ascii="仿宋" w:hAnsi="仿宋" w:eastAsia="仿宋" w:cs="仿宋"/>
          <w:sz w:val="24"/>
          <w:szCs w:val="24"/>
        </w:rPr>
        <w:t>合同总金额的65%；</w:t>
      </w:r>
      <w:r>
        <w:rPr>
          <w:rFonts w:hint="eastAsia" w:ascii="仿宋" w:hAnsi="仿宋" w:eastAsia="仿宋" w:cs="仿宋"/>
          <w:sz w:val="24"/>
          <w:szCs w:val="24"/>
          <w:lang w:val="en-US" w:eastAsia="zh-CN"/>
        </w:rPr>
        <w:t>服务期结束，</w:t>
      </w:r>
      <w:r>
        <w:rPr>
          <w:rFonts w:hint="eastAsia" w:ascii="仿宋" w:hAnsi="仿宋" w:eastAsia="仿宋" w:cs="仿宋"/>
          <w:sz w:val="24"/>
          <w:szCs w:val="24"/>
        </w:rPr>
        <w:t>经使用科室考核，考核合格后</w:t>
      </w:r>
      <w:r>
        <w:rPr>
          <w:rFonts w:hint="eastAsia" w:ascii="仿宋" w:hAnsi="仿宋" w:eastAsia="仿宋" w:cs="仿宋"/>
          <w:sz w:val="24"/>
          <w:szCs w:val="24"/>
          <w:lang w:val="en-US" w:eastAsia="zh-CN"/>
        </w:rPr>
        <w:t>30个日历日支付</w:t>
      </w:r>
      <w:r>
        <w:rPr>
          <w:rFonts w:hint="eastAsia" w:ascii="仿宋" w:hAnsi="仿宋" w:eastAsia="仿宋" w:cs="仿宋"/>
          <w:sz w:val="24"/>
          <w:szCs w:val="24"/>
        </w:rPr>
        <w:t>合同总金额的5%。</w:t>
      </w:r>
    </w:p>
    <w:p w14:paraId="1DC4DA04">
      <w:pPr>
        <w:pStyle w:val="4"/>
        <w:numPr>
          <w:ilvl w:val="0"/>
          <w:numId w:val="0"/>
        </w:numPr>
        <w:outlineLvl w:val="3"/>
        <w:rPr>
          <w:rFonts w:hint="eastAsia" w:ascii="仿宋" w:hAnsi="仿宋" w:eastAsia="仿宋" w:cs="仿宋"/>
          <w:sz w:val="24"/>
          <w:szCs w:val="24"/>
        </w:rPr>
      </w:pPr>
      <w:r>
        <w:rPr>
          <w:rFonts w:hint="eastAsia" w:ascii="仿宋" w:hAnsi="仿宋" w:eastAsia="仿宋" w:cs="仿宋"/>
          <w:b/>
          <w:sz w:val="24"/>
          <w:szCs w:val="24"/>
        </w:rPr>
        <w:t>3.3.6违约责任及解决争议的方法</w:t>
      </w:r>
    </w:p>
    <w:p w14:paraId="64402651">
      <w:pPr>
        <w:pStyle w:val="4"/>
        <w:rPr>
          <w:rFonts w:hint="eastAsia" w:ascii="仿宋" w:hAnsi="仿宋" w:eastAsia="仿宋" w:cs="仿宋"/>
          <w:sz w:val="24"/>
          <w:szCs w:val="24"/>
        </w:rPr>
      </w:pPr>
      <w:r>
        <w:rPr>
          <w:rFonts w:hint="eastAsia" w:ascii="仿宋" w:hAnsi="仿宋" w:eastAsia="仿宋" w:cs="仿宋"/>
          <w:sz w:val="24"/>
          <w:szCs w:val="24"/>
        </w:rPr>
        <w:t>采购包1：</w:t>
      </w:r>
    </w:p>
    <w:p w14:paraId="0CFCC52F">
      <w:pPr>
        <w:pStyle w:val="4"/>
        <w:rPr>
          <w:rFonts w:hint="eastAsia" w:ascii="仿宋" w:hAnsi="仿宋" w:eastAsia="仿宋" w:cs="仿宋"/>
          <w:sz w:val="24"/>
          <w:szCs w:val="24"/>
        </w:rPr>
      </w:pPr>
      <w:r>
        <w:rPr>
          <w:rFonts w:hint="eastAsia" w:ascii="仿宋" w:hAnsi="仿宋" w:eastAsia="仿宋" w:cs="仿宋"/>
          <w:sz w:val="24"/>
          <w:szCs w:val="24"/>
        </w:rPr>
        <w:t>双方在执行合同中所发生的一切争议，应通过协商解决。如协商不成，可向甲方所在地人民法院起诉。</w:t>
      </w:r>
    </w:p>
    <w:p w14:paraId="72B5DF54">
      <w:pPr>
        <w:pStyle w:val="4"/>
        <w:outlineLvl w:val="2"/>
        <w:rPr>
          <w:rFonts w:hint="eastAsia" w:ascii="仿宋" w:hAnsi="仿宋" w:eastAsia="仿宋" w:cs="仿宋"/>
          <w:sz w:val="24"/>
          <w:szCs w:val="24"/>
        </w:rPr>
      </w:pPr>
      <w:r>
        <w:rPr>
          <w:rFonts w:hint="eastAsia" w:ascii="仿宋" w:hAnsi="仿宋" w:eastAsia="仿宋" w:cs="仿宋"/>
          <w:b/>
          <w:sz w:val="24"/>
          <w:szCs w:val="24"/>
        </w:rPr>
        <w:t>3.4其他要求</w:t>
      </w:r>
    </w:p>
    <w:p w14:paraId="23C3CDB0">
      <w:pPr>
        <w:pStyle w:val="4"/>
        <w:rPr>
          <w:rFonts w:hint="eastAsia" w:ascii="仿宋" w:hAnsi="仿宋" w:eastAsia="仿宋" w:cs="仿宋"/>
          <w:sz w:val="24"/>
          <w:szCs w:val="24"/>
        </w:rPr>
      </w:pPr>
      <w:r>
        <w:rPr>
          <w:rFonts w:hint="eastAsia" w:ascii="仿宋" w:hAnsi="仿宋" w:eastAsia="仿宋" w:cs="仿宋"/>
          <w:sz w:val="24"/>
          <w:szCs w:val="24"/>
        </w:rPr>
        <w:t>1.各供应商应根据“陕西省财政厅 陕财办采函[2023]14号文”陕西省财政厅关于省级预算单位全面推行政府采购项目电子化交易的通知”、《政府采购项目电子化交易规则》等文件的要求，做好人员配备、设施设备、系统操作的相应准备，熟悉并正确实施相关操作流程，承担由于操作或其他因素造成的不利后果；2.供应商需要在线提交所有通过电子化交易平台实施的政府采购项目的响应文件，同时，线下提交纸质响应文件正本壹份、副本贰份、电子版壹份（U盘壹份），纸质响文件应与电子化交易平台提交的电子响应文件一致，若电子响应文件与纸质响应文件不一致的，以电子响应文件为准。纸质响应文件正副本须分袋密封，电子版响应文件一份（U盘）密封在响应文件正本封袋中递交；3.线下纸质文件递交截止时间：同在线递交电子响应文件截止时间一致；线下纸质文件递交地点：西安市航天基地雁塔南路391号正衡金融广场A座18楼会议室。4.供应商参与投标时可携带笔记本电脑。</w:t>
      </w:r>
    </w:p>
    <w:p w14:paraId="51F7463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607E696"/>
    <w:multiLevelType w:val="singleLevel"/>
    <w:tmpl w:val="F607E696"/>
    <w:lvl w:ilvl="0" w:tentative="0">
      <w:start w:val="1"/>
      <w:numFmt w:val="chineseCounting"/>
      <w:suff w:val="nothing"/>
      <w:lvlText w:val="（%1）"/>
      <w:lvlJc w:val="left"/>
      <w:rPr>
        <w:rFonts w:hint="eastAsia"/>
      </w:rPr>
    </w:lvl>
  </w:abstractNum>
  <w:abstractNum w:abstractNumId="1">
    <w:nsid w:val="0F4075B2"/>
    <w:multiLevelType w:val="singleLevel"/>
    <w:tmpl w:val="0F4075B2"/>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C22269"/>
    <w:rsid w:val="1CC222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0</TotalTime>
  <ScaleCrop>false</ScaleCrop>
  <LinksUpToDate>false</LinksUpToDate>
  <CharactersWithSpaces>0</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2026-08-13T03:01:00Z</dcterms:created>
  <dc:creator>花干干</dc:creator>
  <cp:lastModifiedBy>花干干</cp:lastModifiedBy>
  <dcterms:modified xsi:type="dcterms:W3CDTF">2026-08-13T03:02:34Z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4F2687883CC6428F8C32B6D2A9ED0DC8_11</vt:lpwstr>
  </property>
  <property fmtid="{D5CDD505-2E9C-101B-9397-08002B2CF9AE}" pid="4" name="KSOTemplateDocerSaveRecord">
    <vt:lpwstr>eyJoZGlkIjoiZmI5MzhkNmVhYTU2M2VlZThhYTNkMDIxZjc4MTlkMGQiLCJ1c2VySWQiOiI1NTMxNTQ2NjcifQ==</vt:lpwstr>
  </property>
</Properties>
</file>