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质量保障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28C92A15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A2510EA">
      <w:pPr>
        <w:bidi w:val="0"/>
        <w:jc w:val="center"/>
        <w:rPr>
          <w:rFonts w:hint="eastAsia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  <w:lang w:val="en-US" w:eastAsia="zh-CN"/>
        </w:rPr>
        <w:t>“各投标人根据项目情况结合评标办法提供质量保障”</w:t>
      </w:r>
    </w:p>
    <w:p w14:paraId="5EDE83CD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质量保障1</w:t>
      </w:r>
    </w:p>
    <w:p w14:paraId="7ED4FE59">
      <w:pPr>
        <w:bidi w:val="0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26AF4C6">
      <w:pPr>
        <w:bidi w:val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质量保障2</w:t>
      </w:r>
    </w:p>
    <w:p w14:paraId="013246AD">
      <w:pPr>
        <w:bidi w:val="0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8525517">
      <w:pPr>
        <w:bidi w:val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质量保障3</w:t>
      </w:r>
    </w:p>
    <w:p w14:paraId="2E170DF7">
      <w:pPr>
        <w:bidi w:val="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17882C8F"/>
    <w:rsid w:val="729A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</Words>
  <Characters>29</Characters>
  <Lines>0</Lines>
  <Paragraphs>0</Paragraphs>
  <TotalTime>0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2026-05-26T05:10:18Z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