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版本号：DLZCZB2026-320260707001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农村公路空地无人巡查检测设备及软件项目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DLZCZB2026-3</w:t>
      </w:r>
      <w:r>
        <w:br/>
      </w:r>
      <w:r>
        <w:br/>
      </w:r>
      <w:r>
        <w:br/>
      </w:r>
    </w:p>
    <w:p>
      <w:pPr>
        <w:pStyle w:val="null3"/>
        <w:jc w:val="center"/>
        <w:outlineLvl w:val="2"/>
      </w:pPr>
      <w:r>
        <w:rPr>
          <w:rFonts w:ascii="仿宋_GB2312" w:hAnsi="仿宋_GB2312" w:cs="仿宋_GB2312" w:eastAsia="仿宋_GB2312"/>
          <w:sz w:val="28"/>
          <w:b/>
        </w:rPr>
        <w:t>大荔县农村公路服务中心</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大荔县农村公路服务中心</w:t>
      </w:r>
      <w:r>
        <w:rPr>
          <w:rFonts w:ascii="仿宋_GB2312" w:hAnsi="仿宋_GB2312" w:cs="仿宋_GB2312" w:eastAsia="仿宋_GB2312"/>
        </w:rPr>
        <w:t>委托，拟对</w:t>
      </w:r>
      <w:r>
        <w:rPr>
          <w:rFonts w:ascii="仿宋_GB2312" w:hAnsi="仿宋_GB2312" w:cs="仿宋_GB2312" w:eastAsia="仿宋_GB2312"/>
        </w:rPr>
        <w:t>农村公路空地无人巡查检测设备及软件项目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DLZCZB2026-3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农村公路空地无人巡查检测设备及软件项目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农村公路空地无人巡查检测设备及软件项目,1项，具体内容详见磋商文件第三章。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1、主体资格：在中华人民共和国境内注册、具有独立民事责任能力的法人、其他组织或自然人，具备从事本采购项目的经营范围和能力，提供合法有效的企业营业执照、法人证书或登记证书。</w:t>
      </w:r>
    </w:p>
    <w:p>
      <w:pPr>
        <w:pStyle w:val="null3"/>
      </w:pPr>
      <w:r>
        <w:rPr>
          <w:rFonts w:ascii="仿宋_GB2312" w:hAnsi="仿宋_GB2312" w:cs="仿宋_GB2312" w:eastAsia="仿宋_GB2312"/>
        </w:rPr>
        <w:t>2、授权委托：提供法定代表人授权书（附法定代表人有效身份证复印件和被授权人有效身份证复印件，法定代表人直接参加只须提供法定代表人有效身份证复印件）。</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信用记录及声明：供应商不得为“信用中国”网站（www.creditchina.gov.cn）中列入失信被执行人和重大税收违法失信主体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大荔县农村公路服务中心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陕西省大荔县西环路万华大酒店院内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大荔县农村公路服务中心经办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13571506311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大荔县农村公路服务中心</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大荔县农村公路服务中心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大荔县农村公路服务中心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各项指标满足采购需求。调试培训结束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大荔县农村公路服务中心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地址：大荔县洛滨大道西段财政局（709室）</w:t>
      </w:r>
    </w:p>
    <w:p>
      <w:pPr>
        <w:pStyle w:val="null3"/>
      </w:pPr>
      <w:r>
        <w:rPr>
          <w:rFonts w:ascii="仿宋_GB2312" w:hAnsi="仿宋_GB2312" w:cs="仿宋_GB2312" w:eastAsia="仿宋_GB2312"/>
        </w:rPr>
        <w:t>邮编：715100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联系人：农村公路服务中心经办</w:t>
      </w:r>
    </w:p>
    <w:p>
      <w:pPr>
        <w:pStyle w:val="null3"/>
      </w:pPr>
      <w:r>
        <w:rPr>
          <w:rFonts w:ascii="仿宋_GB2312" w:hAnsi="仿宋_GB2312" w:cs="仿宋_GB2312" w:eastAsia="仿宋_GB2312"/>
        </w:rPr>
        <w:t>联系电话：13571506311</w:t>
      </w:r>
    </w:p>
    <w:p>
      <w:pPr>
        <w:pStyle w:val="null3"/>
      </w:pPr>
      <w:r>
        <w:rPr>
          <w:rFonts w:ascii="仿宋_GB2312" w:hAnsi="仿宋_GB2312" w:cs="仿宋_GB2312" w:eastAsia="仿宋_GB2312"/>
        </w:rPr>
        <w:t>地址：陕西省大荔县西环路万华大酒店院内</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部署农村公路空地一体化无人巡查检测系统，整合无人车、无人机及配套智能巡检系统，实现无人模式下巡检路线规划与任务自动下发。系统一方面可自动识别日常巡检中的道路裂缝、龟裂、坑槽、抛洒物等常见病害，完成病害自动派单、养护处治分析的全过程管理；另一方面融合道路巡查算法，搭载路面损坏检测系统、路面平整度检测系统、路面车辙检测系统、路面构造深度检测系统、路面跳车检测系统，系统精度满足国家标准规范要求，可依据行业规范自动计算路面损坏状况 PCI、路面行驶质量 RQI、路面使用性能指数 PQI。同时实现无人机、无人车与无人巡检系统的集成应用，保障无人巡检数据与市、县农村公路管理平台互联互通，全面推动农村公路日常巡检向无人化、数字化、智能化转型升级。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农村公路空地无人巡查检测设备及软件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标的名称：农村公路空地无人巡查检测设备及软件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32"/>
                <w:b/>
                <w:color w:val="000000"/>
              </w:rPr>
              <w:t>采购</w:t>
            </w:r>
            <w:r>
              <w:rPr>
                <w:rFonts w:ascii="仿宋_GB2312" w:hAnsi="仿宋_GB2312" w:cs="仿宋_GB2312" w:eastAsia="仿宋_GB2312"/>
                <w:sz w:val="32"/>
                <w:b/>
                <w:color w:val="000000"/>
              </w:rPr>
              <w:t>清单及技术要求</w:t>
            </w:r>
          </w:p>
          <w:tbl>
            <w:tblPr>
              <w:tblBorders>
                <w:top w:val="none" w:color="000000" w:sz="4"/>
                <w:left w:val="none" w:color="000000" w:sz="4"/>
                <w:bottom w:val="none" w:color="000000" w:sz="4"/>
                <w:right w:val="none" w:color="000000" w:sz="4"/>
                <w:insideH w:val="none"/>
                <w:insideV w:val="none"/>
              </w:tblBorders>
            </w:tblPr>
            <w:tblGrid>
              <w:gridCol w:w="243"/>
              <w:gridCol w:w="2077"/>
              <w:gridCol w:w="228"/>
            </w:tblGrid>
            <w:tr>
              <w:tc>
                <w:tcPr>
                  <w:tcW w:type="dxa" w:w="2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项目</w:t>
                  </w:r>
                </w:p>
              </w:tc>
              <w:tc>
                <w:tcPr>
                  <w:tcW w:type="dxa" w:w="20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规格及型号</w:t>
                  </w:r>
                </w:p>
              </w:tc>
              <w:tc>
                <w:tcPr>
                  <w:tcW w:type="dxa" w:w="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数量</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系统功能及软件要求</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pPr>
                  <w:r>
                    <w:rPr>
                      <w:rFonts w:ascii="仿宋_GB2312" w:hAnsi="仿宋_GB2312" w:cs="仿宋_GB2312" w:eastAsia="仿宋_GB2312"/>
                      <w:sz w:val="21"/>
                      <w:color w:val="000000"/>
                    </w:rPr>
                    <w:t>系统功能要求：</w:t>
                  </w:r>
                </w:p>
                <w:p>
                  <w:pPr>
                    <w:pStyle w:val="null3"/>
                  </w:pPr>
                  <w:r>
                    <w:rPr>
                      <w:rFonts w:ascii="仿宋_GB2312" w:hAnsi="仿宋_GB2312" w:cs="仿宋_GB2312" w:eastAsia="仿宋_GB2312"/>
                      <w:sz w:val="21"/>
                      <w:color w:val="000000"/>
                    </w:rPr>
                    <w:t>农村公路空地一体化无人巡查检测系统主要用于日常道路病害巡查及时发现道路异常情况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可应用于道路</w:t>
                  </w:r>
                  <w:r>
                    <w:rPr>
                      <w:rFonts w:ascii="仿宋_GB2312" w:hAnsi="仿宋_GB2312" w:cs="仿宋_GB2312" w:eastAsia="仿宋_GB2312"/>
                      <w:sz w:val="21"/>
                      <w:color w:val="000000"/>
                    </w:rPr>
                    <w:t>的日常养护巡查与管理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系统应具备</w:t>
                  </w:r>
                  <w:r>
                    <w:rPr>
                      <w:rFonts w:ascii="仿宋_GB2312" w:hAnsi="仿宋_GB2312" w:cs="仿宋_GB2312" w:eastAsia="仿宋_GB2312"/>
                      <w:sz w:val="21"/>
                      <w:color w:val="000000"/>
                    </w:rPr>
                    <w:t>路面损坏检测</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路面平整度检测</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路面车辙检测</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沿线设施及路面巡查</w:t>
                  </w:r>
                  <w:r>
                    <w:rPr>
                      <w:rFonts w:ascii="仿宋_GB2312" w:hAnsi="仿宋_GB2312" w:cs="仿宋_GB2312" w:eastAsia="仿宋_GB2312"/>
                      <w:sz w:val="21"/>
                      <w:color w:val="000000"/>
                    </w:rPr>
                    <w:t>采集</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路面构造深度检测</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路面跳车检测</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G</w:t>
                  </w:r>
                  <w:r>
                    <w:rPr>
                      <w:rFonts w:ascii="仿宋_GB2312" w:hAnsi="仿宋_GB2312" w:cs="仿宋_GB2312" w:eastAsia="仿宋_GB2312"/>
                      <w:sz w:val="21"/>
                      <w:color w:val="000000"/>
                    </w:rPr>
                    <w:t>NS</w:t>
                  </w:r>
                  <w:r>
                    <w:rPr>
                      <w:rFonts w:ascii="仿宋_GB2312" w:hAnsi="仿宋_GB2312" w:cs="仿宋_GB2312" w:eastAsia="仿宋_GB2312"/>
                      <w:sz w:val="21"/>
                      <w:color w:val="000000"/>
                    </w:rPr>
                    <w:t>S地理位置信息</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距离定位系统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无人机巡查系统</w:t>
                  </w:r>
                  <w:r>
                    <w:rPr>
                      <w:rFonts w:ascii="仿宋_GB2312" w:hAnsi="仿宋_GB2312" w:cs="仿宋_GB2312" w:eastAsia="仿宋_GB2312"/>
                      <w:sz w:val="21"/>
                      <w:color w:val="000000"/>
                    </w:rPr>
                    <w:t>基本指标功能</w:t>
                  </w:r>
                  <w:r>
                    <w:rPr>
                      <w:rFonts w:ascii="仿宋_GB2312" w:hAnsi="仿宋_GB2312" w:cs="仿宋_GB2312" w:eastAsia="仿宋_GB2312"/>
                      <w:sz w:val="21"/>
                      <w:color w:val="000000"/>
                    </w:rPr>
                    <w:t>。</w:t>
                  </w:r>
                </w:p>
                <w:p>
                  <w:pPr>
                    <w:pStyle w:val="null3"/>
                    <w:numPr>
                      <w:ilvl w:val="0"/>
                      <w:numId w:val="2"/>
                    </w:numPr>
                  </w:pPr>
                  <w:r>
                    <w:rPr>
                      <w:rFonts w:ascii="仿宋_GB2312" w:hAnsi="仿宋_GB2312" w:cs="仿宋_GB2312" w:eastAsia="仿宋_GB2312"/>
                      <w:sz w:val="21"/>
                      <w:color w:val="000000"/>
                    </w:rPr>
                    <w:t>系统校准要求：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提供由国家权威计量机构出具的无人检测车路面破损、车辙、平整度、构造深度、跳车检测指标的校准证书。（投标人须提供厂家或者厂家授权的已出具的校准证书扫描件作为能力证明，且校准证书须体现是无人式检测设备的校准证书，否则证明材料无效）</w:t>
                  </w:r>
                </w:p>
                <w:p>
                  <w:pPr>
                    <w:pStyle w:val="null3"/>
                    <w:numPr>
                      <w:ilvl w:val="0"/>
                      <w:numId w:val="2"/>
                    </w:numPr>
                  </w:pPr>
                  <w:r>
                    <w:rPr>
                      <w:rFonts w:ascii="仿宋_GB2312" w:hAnsi="仿宋_GB2312" w:cs="仿宋_GB2312" w:eastAsia="仿宋_GB2312"/>
                      <w:sz w:val="21"/>
                      <w:color w:val="000000"/>
                    </w:rPr>
                    <w:t>系统软件要求：</w:t>
                  </w:r>
                </w:p>
                <w:p>
                  <w:pPr>
                    <w:pStyle w:val="null3"/>
                  </w:pPr>
                  <w:r>
                    <w:rPr>
                      <w:rFonts w:ascii="仿宋_GB2312" w:hAnsi="仿宋_GB2312" w:cs="仿宋_GB2312" w:eastAsia="仿宋_GB2312"/>
                      <w:sz w:val="21"/>
                      <w:color w:val="000000"/>
                    </w:rPr>
                    <w:t>计算输出符合交通运输部</w:t>
                  </w:r>
                  <w:r>
                    <w:rPr>
                      <w:rFonts w:ascii="仿宋_GB2312" w:hAnsi="仿宋_GB2312" w:cs="仿宋_GB2312" w:eastAsia="仿宋_GB2312"/>
                      <w:sz w:val="21"/>
                      <w:color w:val="000000"/>
                    </w:rPr>
                    <w:t>JTG 5210-2018《公路技术状况评定标准》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JTG 5211-2024</w:t>
                  </w:r>
                  <w:r>
                    <w:rPr>
                      <w:rFonts w:ascii="仿宋_GB2312" w:hAnsi="仿宋_GB2312" w:cs="仿宋_GB2312" w:eastAsia="仿宋_GB2312"/>
                      <w:sz w:val="21"/>
                      <w:color w:val="000000"/>
                    </w:rPr>
                    <w:t>《</w:t>
                  </w:r>
                  <w:r>
                    <w:rPr>
                      <w:rFonts w:ascii="仿宋_GB2312" w:hAnsi="仿宋_GB2312" w:cs="仿宋_GB2312" w:eastAsia="仿宋_GB2312"/>
                      <w:sz w:val="21"/>
                      <w:color w:val="000000"/>
                    </w:rPr>
                    <w:t>农村公路技术状况评定标准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JTG 3450-2019《公路路基路面现场测试规程》</w:t>
                  </w:r>
                  <w:r>
                    <w:rPr>
                      <w:rFonts w:ascii="仿宋_GB2312" w:hAnsi="仿宋_GB2312" w:cs="仿宋_GB2312" w:eastAsia="仿宋_GB2312"/>
                      <w:sz w:val="21"/>
                      <w:color w:val="000000"/>
                    </w:rPr>
                    <w:t>要求的路面破损</w:t>
                  </w:r>
                  <w:r>
                    <w:rPr>
                      <w:rFonts w:ascii="仿宋_GB2312" w:hAnsi="仿宋_GB2312" w:cs="仿宋_GB2312" w:eastAsia="仿宋_GB2312"/>
                      <w:sz w:val="21"/>
                      <w:color w:val="000000"/>
                    </w:rPr>
                    <w:t>、</w:t>
                  </w:r>
                  <w:r>
                    <w:rPr>
                      <w:rFonts w:ascii="仿宋_GB2312" w:hAnsi="仿宋_GB2312" w:cs="仿宋_GB2312" w:eastAsia="仿宋_GB2312"/>
                      <w:sz w:val="21"/>
                      <w:color w:val="000000"/>
                    </w:rPr>
                    <w:t>平整度、</w:t>
                  </w:r>
                  <w:r>
                    <w:rPr>
                      <w:rFonts w:ascii="仿宋_GB2312" w:hAnsi="仿宋_GB2312" w:cs="仿宋_GB2312" w:eastAsia="仿宋_GB2312"/>
                      <w:sz w:val="21"/>
                      <w:color w:val="000000"/>
                    </w:rPr>
                    <w:t>车辙</w:t>
                  </w:r>
                  <w:r>
                    <w:rPr>
                      <w:rFonts w:ascii="仿宋_GB2312" w:hAnsi="仿宋_GB2312" w:cs="仿宋_GB2312" w:eastAsia="仿宋_GB2312"/>
                      <w:sz w:val="21"/>
                      <w:color w:val="000000"/>
                    </w:rPr>
                    <w:t>、</w:t>
                  </w:r>
                  <w:r>
                    <w:rPr>
                      <w:rFonts w:ascii="仿宋_GB2312" w:hAnsi="仿宋_GB2312" w:cs="仿宋_GB2312" w:eastAsia="仿宋_GB2312"/>
                      <w:sz w:val="21"/>
                      <w:color w:val="000000"/>
                    </w:rPr>
                    <w:t>构造深度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跳车</w:t>
                  </w:r>
                  <w:r>
                    <w:rPr>
                      <w:rFonts w:ascii="仿宋_GB2312" w:hAnsi="仿宋_GB2312" w:cs="仿宋_GB2312" w:eastAsia="仿宋_GB2312"/>
                      <w:sz w:val="21"/>
                      <w:color w:val="000000"/>
                    </w:rPr>
                    <w:t>、</w:t>
                  </w:r>
                  <w:r>
                    <w:rPr>
                      <w:rFonts w:ascii="仿宋_GB2312" w:hAnsi="仿宋_GB2312" w:cs="仿宋_GB2312" w:eastAsia="仿宋_GB2312"/>
                      <w:sz w:val="21"/>
                      <w:color w:val="000000"/>
                    </w:rPr>
                    <w:t>沿线资产</w:t>
                  </w:r>
                  <w:r>
                    <w:rPr>
                      <w:rFonts w:ascii="仿宋_GB2312" w:hAnsi="仿宋_GB2312" w:cs="仿宋_GB2312" w:eastAsia="仿宋_GB2312"/>
                      <w:sz w:val="21"/>
                      <w:color w:val="000000"/>
                    </w:rPr>
                    <w:t>等</w:t>
                  </w:r>
                  <w:r>
                    <w:rPr>
                      <w:rFonts w:ascii="仿宋_GB2312" w:hAnsi="仿宋_GB2312" w:cs="仿宋_GB2312" w:eastAsia="仿宋_GB2312"/>
                      <w:sz w:val="21"/>
                      <w:color w:val="000000"/>
                    </w:rPr>
                    <w:t>道路</w:t>
                  </w:r>
                  <w:r>
                    <w:rPr>
                      <w:rFonts w:ascii="仿宋_GB2312" w:hAnsi="仿宋_GB2312" w:cs="仿宋_GB2312" w:eastAsia="仿宋_GB2312"/>
                      <w:sz w:val="21"/>
                      <w:color w:val="000000"/>
                    </w:rPr>
                    <w:t>技术</w:t>
                  </w:r>
                  <w:r>
                    <w:rPr>
                      <w:rFonts w:ascii="仿宋_GB2312" w:hAnsi="仿宋_GB2312" w:cs="仿宋_GB2312" w:eastAsia="仿宋_GB2312"/>
                      <w:sz w:val="21"/>
                      <w:color w:val="000000"/>
                    </w:rPr>
                    <w:t>状况</w:t>
                  </w:r>
                  <w:r>
                    <w:rPr>
                      <w:rFonts w:ascii="仿宋_GB2312" w:hAnsi="仿宋_GB2312" w:cs="仿宋_GB2312" w:eastAsia="仿宋_GB2312"/>
                      <w:sz w:val="21"/>
                      <w:color w:val="000000"/>
                    </w:rPr>
                    <w:t>评定基础数据。</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载车硬件要求</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无人车</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自动驾驶级别：</w:t>
                  </w:r>
                  <w:r>
                    <w:rPr>
                      <w:rFonts w:ascii="仿宋_GB2312" w:hAnsi="仿宋_GB2312" w:cs="仿宋_GB2312" w:eastAsia="仿宋_GB2312"/>
                      <w:sz w:val="21"/>
                      <w:color w:val="000000"/>
                    </w:rPr>
                    <w:t>L4级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车辆尺寸：车身长度</w:t>
                  </w:r>
                  <w:r>
                    <w:rPr>
                      <w:rFonts w:ascii="仿宋_GB2312" w:hAnsi="仿宋_GB2312" w:cs="仿宋_GB2312" w:eastAsia="仿宋_GB2312"/>
                      <w:sz w:val="21"/>
                      <w:color w:val="000000"/>
                    </w:rPr>
                    <w:t>≥3</w:t>
                  </w:r>
                  <w:r>
                    <w:rPr>
                      <w:rFonts w:ascii="仿宋_GB2312" w:hAnsi="仿宋_GB2312" w:cs="仿宋_GB2312" w:eastAsia="仿宋_GB2312"/>
                      <w:sz w:val="21"/>
                      <w:color w:val="000000"/>
                    </w:rPr>
                    <w:t>5</w:t>
                  </w:r>
                  <w:r>
                    <w:rPr>
                      <w:rFonts w:ascii="仿宋_GB2312" w:hAnsi="仿宋_GB2312" w:cs="仿宋_GB2312" w:eastAsia="仿宋_GB2312"/>
                      <w:sz w:val="21"/>
                      <w:color w:val="000000"/>
                    </w:rPr>
                    <w:t>00mm，车身宽度≥1</w:t>
                  </w:r>
                  <w:r>
                    <w:rPr>
                      <w:rFonts w:ascii="仿宋_GB2312" w:hAnsi="仿宋_GB2312" w:cs="仿宋_GB2312" w:eastAsia="仿宋_GB2312"/>
                      <w:sz w:val="21"/>
                      <w:color w:val="000000"/>
                    </w:rPr>
                    <w:t>3</w:t>
                  </w:r>
                  <w:r>
                    <w:rPr>
                      <w:rFonts w:ascii="仿宋_GB2312" w:hAnsi="仿宋_GB2312" w:cs="仿宋_GB2312" w:eastAsia="仿宋_GB2312"/>
                      <w:sz w:val="21"/>
                      <w:color w:val="000000"/>
                    </w:rPr>
                    <w:t>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车身高度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车辆轴距</w:t>
                  </w: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最小离地间隙</w:t>
                  </w:r>
                  <w:r>
                    <w:rPr>
                      <w:rFonts w:ascii="仿宋_GB2312" w:hAnsi="仿宋_GB2312" w:cs="仿宋_GB2312" w:eastAsia="仿宋_GB2312"/>
                      <w:sz w:val="21"/>
                      <w:color w:val="000000"/>
                    </w:rPr>
                    <w:t>≥150mm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6）最大涉水深度≥200mm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最大爬坡度</w:t>
                  </w:r>
                  <w:r>
                    <w:rPr>
                      <w:rFonts w:ascii="仿宋_GB2312" w:hAnsi="仿宋_GB2312" w:cs="仿宋_GB2312" w:eastAsia="仿宋_GB2312"/>
                      <w:sz w:val="21"/>
                      <w:color w:val="000000"/>
                    </w:rPr>
                    <w:t>≥20%（对应角度11.3°）</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运行时速</w:t>
                  </w:r>
                  <w:r>
                    <w:rPr>
                      <w:rFonts w:ascii="仿宋_GB2312" w:hAnsi="仿宋_GB2312" w:cs="仿宋_GB2312" w:eastAsia="仿宋_GB2312"/>
                      <w:sz w:val="21"/>
                      <w:color w:val="000000"/>
                    </w:rPr>
                    <w:t>≥36</w:t>
                  </w:r>
                  <w:r>
                    <w:rPr>
                      <w:rFonts w:ascii="仿宋_GB2312" w:hAnsi="仿宋_GB2312" w:cs="仿宋_GB2312" w:eastAsia="仿宋_GB2312"/>
                      <w:sz w:val="21"/>
                      <w:color w:val="000000"/>
                    </w:rPr>
                    <w:t>k</w:t>
                  </w:r>
                  <w:r>
                    <w:rPr>
                      <w:rFonts w:ascii="仿宋_GB2312" w:hAnsi="仿宋_GB2312" w:cs="仿宋_GB2312" w:eastAsia="仿宋_GB2312"/>
                      <w:sz w:val="21"/>
                      <w:color w:val="000000"/>
                    </w:rPr>
                    <w:t>m/h。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电池类型：</w:t>
                  </w:r>
                  <w:r>
                    <w:rPr>
                      <w:rFonts w:ascii="仿宋_GB2312" w:hAnsi="仿宋_GB2312" w:cs="仿宋_GB2312" w:eastAsia="仿宋_GB2312"/>
                      <w:sz w:val="21"/>
                      <w:color w:val="000000"/>
                    </w:rPr>
                    <w:t>高温稳定，安全阻燃电池</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空载续航</w:t>
                  </w:r>
                  <w:r>
                    <w:rPr>
                      <w:rFonts w:ascii="仿宋_GB2312" w:hAnsi="仿宋_GB2312" w:cs="仿宋_GB2312" w:eastAsia="仿宋_GB2312"/>
                      <w:sz w:val="21"/>
                      <w:color w:val="000000"/>
                    </w:rPr>
                    <w:t>≥200</w:t>
                  </w:r>
                  <w:r>
                    <w:rPr>
                      <w:rFonts w:ascii="仿宋_GB2312" w:hAnsi="仿宋_GB2312" w:cs="仿宋_GB2312" w:eastAsia="仿宋_GB2312"/>
                      <w:sz w:val="21"/>
                      <w:color w:val="000000"/>
                    </w:rPr>
                    <w:t>k</w:t>
                  </w:r>
                  <w:r>
                    <w:rPr>
                      <w:rFonts w:ascii="仿宋_GB2312" w:hAnsi="仿宋_GB2312" w:cs="仿宋_GB2312" w:eastAsia="仿宋_GB2312"/>
                      <w:sz w:val="21"/>
                      <w:color w:val="000000"/>
                    </w:rPr>
                    <w:t>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-20℃~50℃</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最小转弯半径：</w:t>
                  </w:r>
                  <w:r>
                    <w:rPr>
                      <w:rFonts w:ascii="仿宋_GB2312" w:hAnsi="仿宋_GB2312" w:cs="仿宋_GB2312" w:eastAsia="仿宋_GB2312"/>
                      <w:sz w:val="21"/>
                      <w:color w:val="000000"/>
                    </w:rPr>
                    <w:t>5.2m</w:t>
                  </w:r>
                </w:p>
                <w:p>
                  <w:pPr>
                    <w:pStyle w:val="null3"/>
                    <w:jc w:val="both"/>
                  </w:pPr>
                  <w:r>
                    <w:rPr>
                      <w:rFonts w:ascii="仿宋_GB2312" w:hAnsi="仿宋_GB2312" w:cs="仿宋_GB2312" w:eastAsia="仿宋_GB2312"/>
                      <w:sz w:val="21"/>
                      <w:color w:val="000000"/>
                    </w:rPr>
                    <w:t xml:space="preserve"> (13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电池点量</w:t>
                  </w:r>
                  <w:r>
                    <w:rPr>
                      <w:rFonts w:ascii="仿宋_GB2312" w:hAnsi="仿宋_GB2312" w:cs="仿宋_GB2312" w:eastAsia="仿宋_GB2312"/>
                      <w:sz w:val="21"/>
                      <w:color w:val="000000"/>
                    </w:rPr>
                    <w:t>≥3</w:t>
                  </w:r>
                  <w:r>
                    <w:rPr>
                      <w:rFonts w:ascii="仿宋_GB2312" w:hAnsi="仿宋_GB2312" w:cs="仿宋_GB2312" w:eastAsia="仿宋_GB2312"/>
                      <w:sz w:val="21"/>
                      <w:color w:val="000000"/>
                    </w:rPr>
                    <w:t>5kwh</w:t>
                  </w:r>
                </w:p>
                <w:p>
                  <w:pPr>
                    <w:pStyle w:val="null3"/>
                    <w:jc w:val="both"/>
                  </w:pPr>
                  <w:r>
                    <w:rPr>
                      <w:rFonts w:ascii="仿宋_GB2312" w:hAnsi="仿宋_GB2312" w:cs="仿宋_GB2312" w:eastAsia="仿宋_GB2312"/>
                      <w:sz w:val="19"/>
                    </w:rPr>
                    <w:t>（14）</w:t>
                  </w:r>
                  <w:r>
                    <w:rPr>
                      <w:rFonts w:ascii="仿宋_GB2312" w:hAnsi="仿宋_GB2312" w:cs="仿宋_GB2312" w:eastAsia="仿宋_GB2312"/>
                      <w:sz w:val="21"/>
                      <w:color w:val="000000"/>
                    </w:rPr>
                    <w:t>具有空调装置</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载车服务要求</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提供路线规划、地图采集及制作专项服务，保障无人巡查路线精准性与覆盖完整性。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配备专业后台安全监管人员，实现车辆实时监控，对车辆报警信息及时留存相关数据并快速响应处理。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车辆软件支持远程升级功能，可及时迭代更新至最新版本，保障系统性能与功能优化。</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提供车辆常规保养服务，确保服务期内车辆始终保持良好运行状态。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配置全面车辆保险，包含公众责任险及财产险，覆盖运行过程中可能产生的风险。</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路面损坏检测</w:t>
                  </w:r>
                  <w:r>
                    <w:rPr>
                      <w:rFonts w:ascii="仿宋_GB2312" w:hAnsi="仿宋_GB2312" w:cs="仿宋_GB2312" w:eastAsia="仿宋_GB2312"/>
                      <w:sz w:val="21"/>
                      <w:color w:val="000000"/>
                    </w:rPr>
                    <w:t>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1）检测装置配备的相机</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1台，相机横向分辨率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3840</w:t>
                  </w:r>
                  <w:r>
                    <w:rPr>
                      <w:rFonts w:ascii="仿宋_GB2312" w:hAnsi="仿宋_GB2312" w:cs="仿宋_GB2312" w:eastAsia="仿宋_GB2312"/>
                      <w:sz w:val="21"/>
                      <w:color w:val="000000"/>
                    </w:rPr>
                    <w:t>像素；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2）检测装置配备</w:t>
                  </w:r>
                  <w:r>
                    <w:rPr>
                      <w:rFonts w:ascii="仿宋_GB2312" w:hAnsi="仿宋_GB2312" w:cs="仿宋_GB2312" w:eastAsia="仿宋_GB2312"/>
                      <w:sz w:val="21"/>
                      <w:color w:val="000000"/>
                    </w:rPr>
                    <w:t>照明补光系统</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路面</w:t>
                  </w:r>
                  <w:r>
                    <w:rPr>
                      <w:rFonts w:ascii="仿宋_GB2312" w:hAnsi="仿宋_GB2312" w:cs="仿宋_GB2312" w:eastAsia="仿宋_GB2312"/>
                      <w:sz w:val="21"/>
                      <w:color w:val="000000"/>
                    </w:rPr>
                    <w:t>有效检测宽度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2.7</w:t>
                  </w:r>
                  <w:r>
                    <w:rPr>
                      <w:rFonts w:ascii="仿宋_GB2312" w:hAnsi="仿宋_GB2312" w:cs="仿宋_GB2312" w:eastAsia="仿宋_GB2312"/>
                      <w:sz w:val="21"/>
                      <w:color w:val="000000"/>
                    </w:rPr>
                    <w:t>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路面成像分辨力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1mm；</w:t>
                  </w:r>
                  <w:r>
                    <w:rPr>
                      <w:rFonts w:ascii="仿宋_GB2312" w:hAnsi="仿宋_GB2312" w:cs="仿宋_GB2312" w:eastAsia="仿宋_GB2312"/>
                      <w:sz w:val="21"/>
                      <w:color w:val="000000"/>
                    </w:rPr>
                    <w:t>（</w:t>
                  </w:r>
                  <w:r>
                    <w:rPr>
                      <w:rFonts w:ascii="仿宋_GB2312" w:hAnsi="仿宋_GB2312" w:cs="仿宋_GB2312" w:eastAsia="仿宋_GB2312"/>
                      <w:sz w:val="21"/>
                      <w:color w:val="000000"/>
                    </w:rPr>
                    <w:t>须提供厂家或者厂家授权的</w:t>
                  </w:r>
                  <w:r>
                    <w:rPr>
                      <w:rFonts w:ascii="仿宋_GB2312" w:hAnsi="仿宋_GB2312" w:cs="仿宋_GB2312" w:eastAsia="仿宋_GB2312"/>
                      <w:sz w:val="21"/>
                      <w:color w:val="000000"/>
                    </w:rPr>
                    <w:t>的证明材料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）横纵向长度测量误差</w:t>
                  </w:r>
                  <w:r>
                    <w:rPr>
                      <w:rFonts w:ascii="仿宋_GB2312" w:hAnsi="仿宋_GB2312" w:cs="仿宋_GB2312" w:eastAsia="仿宋_GB2312"/>
                      <w:sz w:val="21"/>
                      <w:color w:val="000000"/>
                    </w:rPr>
                    <w:t>≤5%；</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）适用路面：沥青混凝土路面、水泥混凝土路面；</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）能实现图像</w:t>
                  </w:r>
                  <w:r>
                    <w:rPr>
                      <w:rFonts w:ascii="仿宋_GB2312" w:hAnsi="仿宋_GB2312" w:cs="仿宋_GB2312" w:eastAsia="仿宋_GB2312"/>
                      <w:sz w:val="21"/>
                      <w:color w:val="000000"/>
                    </w:rPr>
                    <w:t>数据</w:t>
                  </w:r>
                  <w:r>
                    <w:rPr>
                      <w:rFonts w:ascii="仿宋_GB2312" w:hAnsi="仿宋_GB2312" w:cs="仿宋_GB2312" w:eastAsia="仿宋_GB2312"/>
                      <w:sz w:val="21"/>
                      <w:color w:val="000000"/>
                    </w:rPr>
                    <w:t>、数据储存</w:t>
                  </w:r>
                  <w:r>
                    <w:rPr>
                      <w:rFonts w:ascii="仿宋_GB2312" w:hAnsi="仿宋_GB2312" w:cs="仿宋_GB2312" w:eastAsia="仿宋_GB2312"/>
                      <w:sz w:val="21"/>
                      <w:color w:val="000000"/>
                    </w:rPr>
                    <w:t>、数据计算分析等</w:t>
                  </w:r>
                  <w:r>
                    <w:rPr>
                      <w:rFonts w:ascii="仿宋_GB2312" w:hAnsi="仿宋_GB2312" w:cs="仿宋_GB2312" w:eastAsia="仿宋_GB2312"/>
                      <w:sz w:val="21"/>
                      <w:color w:val="000000"/>
                    </w:rPr>
                    <w:t>的</w:t>
                  </w:r>
                  <w:r>
                    <w:rPr>
                      <w:rFonts w:ascii="仿宋_GB2312" w:hAnsi="仿宋_GB2312" w:cs="仿宋_GB2312" w:eastAsia="仿宋_GB2312"/>
                      <w:sz w:val="21"/>
                      <w:color w:val="000000"/>
                    </w:rPr>
                    <w:t>采集功能。</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路面车辙检测系统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1"/>
                      <w:color w:val="000000"/>
                    </w:rPr>
                    <w:t>可采用多点共梁式车辙检测装置或线结构光车辙检测装置。</w:t>
                  </w:r>
                </w:p>
                <w:p>
                  <w:pPr>
                    <w:pStyle w:val="null3"/>
                    <w:numPr>
                      <w:ilvl w:val="0"/>
                      <w:numId w:val="2"/>
                    </w:numPr>
                    <w:jc w:val="left"/>
                  </w:pPr>
                  <w:r>
                    <w:rPr>
                      <w:rFonts w:ascii="仿宋_GB2312" w:hAnsi="仿宋_GB2312" w:cs="仿宋_GB2312" w:eastAsia="仿宋_GB2312"/>
                      <w:sz w:val="21"/>
                      <w:color w:val="000000"/>
                    </w:rPr>
                    <w:t>采用线结构光车辙检测装置配备相机</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1台，线结构激光器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1台（传感器可以与其他系统共用）；若采用多点共梁式车辙检测装置，需配备</w:t>
                  </w:r>
                  <w:r>
                    <w:rPr>
                      <w:rFonts w:ascii="仿宋_GB2312" w:hAnsi="仿宋_GB2312" w:cs="仿宋_GB2312" w:eastAsia="仿宋_GB2312"/>
                      <w:sz w:val="21"/>
                      <w:color w:val="000000"/>
                    </w:rPr>
                    <w:t>激光测距传感器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13台；（传感器可以与其他系统共用）</w:t>
                  </w:r>
                </w:p>
                <w:p>
                  <w:pPr>
                    <w:pStyle w:val="null3"/>
                    <w:numPr>
                      <w:ilvl w:val="0"/>
                      <w:numId w:val="2"/>
                    </w:numPr>
                    <w:jc w:val="left"/>
                  </w:pPr>
                  <w:r>
                    <w:rPr>
                      <w:rFonts w:ascii="仿宋_GB2312" w:hAnsi="仿宋_GB2312" w:cs="仿宋_GB2312" w:eastAsia="仿宋_GB2312"/>
                      <w:sz w:val="21"/>
                      <w:color w:val="000000"/>
                    </w:rPr>
                    <w:t>采用线结构光车辙检测装置相机分辨率</w:t>
                  </w:r>
                  <w:r>
                    <w:rPr>
                      <w:rFonts w:ascii="仿宋_GB2312" w:hAnsi="仿宋_GB2312" w:cs="仿宋_GB2312" w:eastAsia="仿宋_GB2312"/>
                      <w:sz w:val="21"/>
                      <w:color w:val="000000"/>
                    </w:rPr>
                    <w:t>≥2000*1000，横向采样点应≥2000个；若采用多点共梁式车辙检测装置横向采样点应≥13个；</w:t>
                  </w:r>
                </w:p>
                <w:p>
                  <w:pPr>
                    <w:pStyle w:val="null3"/>
                    <w:numPr>
                      <w:ilvl w:val="0"/>
                      <w:numId w:val="2"/>
                    </w:numPr>
                    <w:jc w:val="left"/>
                  </w:pPr>
                  <w:r>
                    <w:rPr>
                      <w:rFonts w:ascii="仿宋_GB2312" w:hAnsi="仿宋_GB2312" w:cs="仿宋_GB2312" w:eastAsia="仿宋_GB2312"/>
                      <w:sz w:val="21"/>
                      <w:color w:val="000000"/>
                    </w:rPr>
                    <w:t>▲横断面有效检测宽度≥3.2m；</w:t>
                  </w:r>
                  <w:r>
                    <w:rPr>
                      <w:rFonts w:ascii="仿宋_GB2312" w:hAnsi="仿宋_GB2312" w:cs="仿宋_GB2312" w:eastAsia="仿宋_GB2312"/>
                      <w:sz w:val="21"/>
                      <w:color w:val="000000"/>
                    </w:rPr>
                    <w:t>（</w:t>
                  </w:r>
                  <w:r>
                    <w:rPr>
                      <w:rFonts w:ascii="仿宋_GB2312" w:hAnsi="仿宋_GB2312" w:cs="仿宋_GB2312" w:eastAsia="仿宋_GB2312"/>
                      <w:sz w:val="21"/>
                      <w:color w:val="000000"/>
                    </w:rPr>
                    <w:t>须提供厂家或者厂家授权的</w:t>
                  </w:r>
                  <w:r>
                    <w:rPr>
                      <w:rFonts w:ascii="仿宋_GB2312" w:hAnsi="仿宋_GB2312" w:cs="仿宋_GB2312" w:eastAsia="仿宋_GB2312"/>
                      <w:sz w:val="21"/>
                      <w:color w:val="000000"/>
                    </w:rPr>
                    <w:t>的证明材料</w:t>
                  </w:r>
                  <w:r>
                    <w:rPr>
                      <w:rFonts w:ascii="仿宋_GB2312" w:hAnsi="仿宋_GB2312" w:cs="仿宋_GB2312" w:eastAsia="仿宋_GB2312"/>
                      <w:sz w:val="21"/>
                      <w:color w:val="000000"/>
                    </w:rPr>
                    <w:t>）</w:t>
                  </w:r>
                </w:p>
                <w:p>
                  <w:pPr>
                    <w:pStyle w:val="null3"/>
                    <w:numPr>
                      <w:ilvl w:val="0"/>
                      <w:numId w:val="2"/>
                    </w:numPr>
                    <w:jc w:val="left"/>
                  </w:pPr>
                  <w:r>
                    <w:rPr>
                      <w:rFonts w:ascii="仿宋_GB2312" w:hAnsi="仿宋_GB2312" w:cs="仿宋_GB2312" w:eastAsia="仿宋_GB2312"/>
                      <w:sz w:val="21"/>
                      <w:color w:val="000000"/>
                    </w:rPr>
                    <w:t>纵向平均采样间距</w:t>
                  </w:r>
                  <w:r>
                    <w:rPr>
                      <w:rFonts w:ascii="仿宋_GB2312" w:hAnsi="仿宋_GB2312" w:cs="仿宋_GB2312" w:eastAsia="仿宋_GB2312"/>
                      <w:sz w:val="21"/>
                      <w:color w:val="000000"/>
                    </w:rPr>
                    <w:t>≤200mm；</w:t>
                  </w:r>
                </w:p>
                <w:p>
                  <w:pPr>
                    <w:pStyle w:val="null3"/>
                    <w:numPr>
                      <w:ilvl w:val="0"/>
                      <w:numId w:val="2"/>
                    </w:numPr>
                    <w:jc w:val="left"/>
                  </w:pPr>
                  <w:r>
                    <w:rPr>
                      <w:rFonts w:ascii="仿宋_GB2312" w:hAnsi="仿宋_GB2312" w:cs="仿宋_GB2312" w:eastAsia="仿宋_GB2312"/>
                      <w:sz w:val="21"/>
                      <w:color w:val="000000"/>
                    </w:rPr>
                    <w:t>可实时显示车辙计算结果，并保存路面横断面车辙原始检测数据。</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路面平整度检测</w:t>
                  </w:r>
                  <w:r>
                    <w:rPr>
                      <w:rFonts w:ascii="仿宋_GB2312" w:hAnsi="仿宋_GB2312" w:cs="仿宋_GB2312" w:eastAsia="仿宋_GB2312"/>
                      <w:sz w:val="21"/>
                      <w:color w:val="000000"/>
                    </w:rPr>
                    <w:t>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1"/>
                      <w:color w:val="000000"/>
                    </w:rPr>
                    <w:t>激光测距传感器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加速度传感器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1台；（传感器可以与其他系统共用）</w:t>
                  </w:r>
                </w:p>
                <w:p>
                  <w:pPr>
                    <w:pStyle w:val="null3"/>
                    <w:numPr>
                      <w:ilvl w:val="0"/>
                      <w:numId w:val="2"/>
                    </w:numPr>
                    <w:jc w:val="left"/>
                  </w:pPr>
                  <w:r>
                    <w:rPr>
                      <w:rFonts w:ascii="仿宋_GB2312" w:hAnsi="仿宋_GB2312" w:cs="仿宋_GB2312" w:eastAsia="仿宋_GB2312"/>
                      <w:sz w:val="21"/>
                      <w:color w:val="000000"/>
                    </w:rPr>
                    <w:t>垂直测距示值误差</w:t>
                  </w:r>
                  <w:r>
                    <w:rPr>
                      <w:rFonts w:ascii="仿宋_GB2312" w:hAnsi="仿宋_GB2312" w:cs="仿宋_GB2312" w:eastAsia="仿宋_GB2312"/>
                      <w:sz w:val="21"/>
                      <w:color w:val="000000"/>
                    </w:rPr>
                    <w:t>≤±1mm；</w:t>
                  </w:r>
                </w:p>
                <w:p>
                  <w:pPr>
                    <w:pStyle w:val="null3"/>
                    <w:numPr>
                      <w:ilvl w:val="0"/>
                      <w:numId w:val="2"/>
                    </w:numPr>
                    <w:jc w:val="left"/>
                  </w:pPr>
                  <w:r>
                    <w:rPr>
                      <w:rFonts w:ascii="仿宋_GB2312" w:hAnsi="仿宋_GB2312" w:cs="仿宋_GB2312" w:eastAsia="仿宋_GB2312"/>
                      <w:sz w:val="21"/>
                      <w:color w:val="000000"/>
                    </w:rPr>
                    <w:t>纵向采样间隔</w:t>
                  </w:r>
                  <w:r>
                    <w:rPr>
                      <w:rFonts w:ascii="仿宋_GB2312" w:hAnsi="仿宋_GB2312" w:cs="仿宋_GB2312" w:eastAsia="仿宋_GB2312"/>
                      <w:sz w:val="21"/>
                      <w:color w:val="000000"/>
                    </w:rPr>
                    <w:t>≤0.01m；</w:t>
                  </w:r>
                </w:p>
                <w:p>
                  <w:pPr>
                    <w:pStyle w:val="null3"/>
                    <w:numPr>
                      <w:ilvl w:val="0"/>
                      <w:numId w:val="2"/>
                    </w:numPr>
                    <w:jc w:val="left"/>
                  </w:pPr>
                  <w:r>
                    <w:rPr>
                      <w:rFonts w:ascii="仿宋_GB2312" w:hAnsi="仿宋_GB2312" w:cs="仿宋_GB2312" w:eastAsia="仿宋_GB2312"/>
                      <w:sz w:val="21"/>
                      <w:color w:val="000000"/>
                    </w:rPr>
                    <w:t>加速度传感器测量范围</w:t>
                  </w:r>
                  <w:r>
                    <w:rPr>
                      <w:rFonts w:ascii="仿宋_GB2312" w:hAnsi="仿宋_GB2312" w:cs="仿宋_GB2312" w:eastAsia="仿宋_GB2312"/>
                      <w:sz w:val="21"/>
                      <w:color w:val="000000"/>
                    </w:rPr>
                    <w:t>≥±5g；</w:t>
                  </w:r>
                </w:p>
                <w:p>
                  <w:pPr>
                    <w:pStyle w:val="null3"/>
                    <w:numPr>
                      <w:ilvl w:val="0"/>
                      <w:numId w:val="2"/>
                    </w:numPr>
                    <w:jc w:val="left"/>
                  </w:pPr>
                  <w:r>
                    <w:rPr>
                      <w:rFonts w:ascii="仿宋_GB2312" w:hAnsi="仿宋_GB2312" w:cs="仿宋_GB2312" w:eastAsia="仿宋_GB2312"/>
                      <w:sz w:val="21"/>
                      <w:color w:val="000000"/>
                    </w:rPr>
                    <w:t>最大检测能力</w:t>
                  </w:r>
                  <w:r>
                    <w:rPr>
                      <w:rFonts w:ascii="仿宋_GB2312" w:hAnsi="仿宋_GB2312" w:cs="仿宋_GB2312" w:eastAsia="仿宋_GB2312"/>
                      <w:sz w:val="21"/>
                      <w:color w:val="000000"/>
                    </w:rPr>
                    <w:t>≥10m/km；</w:t>
                  </w:r>
                </w:p>
                <w:p>
                  <w:pPr>
                    <w:pStyle w:val="null3"/>
                    <w:numPr>
                      <w:ilvl w:val="0"/>
                      <w:numId w:val="2"/>
                    </w:numPr>
                    <w:jc w:val="left"/>
                  </w:pPr>
                  <w:r>
                    <w:rPr>
                      <w:rFonts w:ascii="仿宋_GB2312" w:hAnsi="仿宋_GB2312" w:cs="仿宋_GB2312" w:eastAsia="仿宋_GB2312"/>
                      <w:sz w:val="21"/>
                      <w:color w:val="000000"/>
                    </w:rPr>
                    <w:t>检测速度影响误差</w:t>
                  </w:r>
                  <w:r>
                    <w:rPr>
                      <w:rFonts w:ascii="仿宋_GB2312" w:hAnsi="仿宋_GB2312" w:cs="仿宋_GB2312" w:eastAsia="仿宋_GB2312"/>
                      <w:sz w:val="21"/>
                      <w:color w:val="000000"/>
                    </w:rPr>
                    <w:t>≤5%；</w:t>
                  </w:r>
                </w:p>
                <w:p>
                  <w:pPr>
                    <w:pStyle w:val="null3"/>
                    <w:numPr>
                      <w:ilvl w:val="0"/>
                      <w:numId w:val="2"/>
                    </w:numPr>
                    <w:jc w:val="left"/>
                  </w:pPr>
                  <w:r>
                    <w:rPr>
                      <w:rFonts w:ascii="仿宋_GB2312" w:hAnsi="仿宋_GB2312" w:cs="仿宋_GB2312" w:eastAsia="仿宋_GB2312"/>
                      <w:sz w:val="21"/>
                      <w:color w:val="000000"/>
                    </w:rPr>
                    <w:t>重复性（</w:t>
                  </w:r>
                  <w:r>
                    <w:rPr>
                      <w:rFonts w:ascii="仿宋_GB2312" w:hAnsi="仿宋_GB2312" w:cs="仿宋_GB2312" w:eastAsia="仿宋_GB2312"/>
                      <w:sz w:val="21"/>
                      <w:color w:val="000000"/>
                    </w:rPr>
                    <w:t>Cv）≤5%；</w:t>
                  </w:r>
                </w:p>
                <w:p>
                  <w:pPr>
                    <w:pStyle w:val="null3"/>
                    <w:numPr>
                      <w:ilvl w:val="0"/>
                      <w:numId w:val="2"/>
                    </w:numPr>
                    <w:jc w:val="left"/>
                  </w:pPr>
                  <w:r>
                    <w:rPr>
                      <w:rFonts w:ascii="仿宋_GB2312" w:hAnsi="仿宋_GB2312" w:cs="仿宋_GB2312" w:eastAsia="仿宋_GB2312"/>
                      <w:sz w:val="21"/>
                      <w:color w:val="000000"/>
                    </w:rPr>
                    <w:t>可实时显示平整度计算结果，并保存路面纵断面高程等原始检测数据。</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路面</w:t>
                  </w:r>
                  <w:r>
                    <w:rPr>
                      <w:rFonts w:ascii="仿宋_GB2312" w:hAnsi="仿宋_GB2312" w:cs="仿宋_GB2312" w:eastAsia="仿宋_GB2312"/>
                      <w:sz w:val="21"/>
                      <w:color w:val="000000"/>
                    </w:rPr>
                    <w:t>构造深度检测系统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both"/>
                  </w:pPr>
                  <w:r>
                    <w:rPr>
                      <w:rFonts w:ascii="仿宋_GB2312" w:hAnsi="仿宋_GB2312" w:cs="仿宋_GB2312" w:eastAsia="仿宋_GB2312"/>
                      <w:sz w:val="21"/>
                      <w:color w:val="000000"/>
                    </w:rPr>
                    <w:t>激光测距传感器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加速度传感器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1台；（传感器可以与其他系统共用）</w:t>
                  </w:r>
                </w:p>
                <w:p>
                  <w:pPr>
                    <w:pStyle w:val="null3"/>
                    <w:numPr>
                      <w:ilvl w:val="0"/>
                      <w:numId w:val="2"/>
                    </w:numPr>
                    <w:jc w:val="both"/>
                  </w:pPr>
                  <w:r>
                    <w:rPr>
                      <w:rFonts w:ascii="仿宋_GB2312" w:hAnsi="仿宋_GB2312" w:cs="仿宋_GB2312" w:eastAsia="仿宋_GB2312"/>
                      <w:sz w:val="21"/>
                      <w:color w:val="000000"/>
                    </w:rPr>
                    <w:t>垂直测距示值误差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0.5</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p>
                <w:p>
                  <w:pPr>
                    <w:pStyle w:val="null3"/>
                    <w:numPr>
                      <w:ilvl w:val="0"/>
                      <w:numId w:val="2"/>
                    </w:numPr>
                    <w:jc w:val="both"/>
                  </w:pPr>
                  <w:r>
                    <w:rPr>
                      <w:rFonts w:ascii="仿宋_GB2312" w:hAnsi="仿宋_GB2312" w:cs="仿宋_GB2312" w:eastAsia="仿宋_GB2312"/>
                      <w:sz w:val="21"/>
                      <w:color w:val="000000"/>
                    </w:rPr>
                    <w:t>纵向采样间隔</w:t>
                  </w:r>
                  <w:r>
                    <w:rPr>
                      <w:rFonts w:ascii="仿宋_GB2312" w:hAnsi="仿宋_GB2312" w:cs="仿宋_GB2312" w:eastAsia="仿宋_GB2312"/>
                      <w:sz w:val="21"/>
                      <w:color w:val="000000"/>
                    </w:rPr>
                    <w:t>≤2mm；</w:t>
                  </w:r>
                </w:p>
                <w:p>
                  <w:pPr>
                    <w:pStyle w:val="null3"/>
                    <w:numPr>
                      <w:ilvl w:val="0"/>
                      <w:numId w:val="2"/>
                    </w:numPr>
                    <w:jc w:val="both"/>
                  </w:pPr>
                  <w:r>
                    <w:rPr>
                      <w:rFonts w:ascii="仿宋_GB2312" w:hAnsi="仿宋_GB2312" w:cs="仿宋_GB2312" w:eastAsia="仿宋_GB2312"/>
                      <w:sz w:val="21"/>
                      <w:color w:val="000000"/>
                    </w:rPr>
                    <w:t>重复性试验变异系数：</w:t>
                  </w:r>
                  <w:r>
                    <w:rPr>
                      <w:rFonts w:ascii="仿宋_GB2312" w:hAnsi="仿宋_GB2312" w:cs="仿宋_GB2312" w:eastAsia="仿宋_GB2312"/>
                      <w:sz w:val="21"/>
                      <w:color w:val="000000"/>
                    </w:rPr>
                    <w:t>≤10%；</w:t>
                  </w:r>
                </w:p>
                <w:p>
                  <w:pPr>
                    <w:pStyle w:val="null3"/>
                    <w:numPr>
                      <w:ilvl w:val="0"/>
                      <w:numId w:val="2"/>
                    </w:numPr>
                    <w:jc w:val="both"/>
                  </w:pPr>
                  <w:r>
                    <w:rPr>
                      <w:rFonts w:ascii="仿宋_GB2312" w:hAnsi="仿宋_GB2312" w:cs="仿宋_GB2312" w:eastAsia="仿宋_GB2312"/>
                      <w:sz w:val="21"/>
                      <w:color w:val="000000"/>
                    </w:rPr>
                    <w:t>能实时保存路面纹理断面高程信息。</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路面跳车检测系统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both"/>
                  </w:pPr>
                  <w:r>
                    <w:rPr>
                      <w:rFonts w:ascii="仿宋_GB2312" w:hAnsi="仿宋_GB2312" w:cs="仿宋_GB2312" w:eastAsia="仿宋_GB2312"/>
                      <w:sz w:val="21"/>
                      <w:color w:val="000000"/>
                    </w:rPr>
                    <w:t>激光测距传感器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加速度传感器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1台；（传感器可以与其他系统共用）</w:t>
                  </w:r>
                </w:p>
                <w:p>
                  <w:pPr>
                    <w:pStyle w:val="null3"/>
                    <w:numPr>
                      <w:ilvl w:val="0"/>
                      <w:numId w:val="2"/>
                    </w:numPr>
                    <w:jc w:val="both"/>
                  </w:pPr>
                  <w:r>
                    <w:rPr>
                      <w:rFonts w:ascii="仿宋_GB2312" w:hAnsi="仿宋_GB2312" w:cs="仿宋_GB2312" w:eastAsia="仿宋_GB2312"/>
                      <w:sz w:val="21"/>
                      <w:color w:val="000000"/>
                    </w:rPr>
                    <w:t>垂直测距示值误差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mm；</w:t>
                  </w:r>
                </w:p>
                <w:p>
                  <w:pPr>
                    <w:pStyle w:val="null3"/>
                    <w:numPr>
                      <w:ilvl w:val="0"/>
                      <w:numId w:val="2"/>
                    </w:numPr>
                    <w:jc w:val="both"/>
                  </w:pPr>
                  <w:r>
                    <w:rPr>
                      <w:rFonts w:ascii="仿宋_GB2312" w:hAnsi="仿宋_GB2312" w:cs="仿宋_GB2312" w:eastAsia="仿宋_GB2312"/>
                      <w:sz w:val="21"/>
                      <w:color w:val="000000"/>
                    </w:rPr>
                    <w:t>纵向采样间隔</w:t>
                  </w:r>
                  <w:r>
                    <w:rPr>
                      <w:rFonts w:ascii="仿宋_GB2312" w:hAnsi="仿宋_GB2312" w:cs="仿宋_GB2312" w:eastAsia="仿宋_GB2312"/>
                      <w:sz w:val="21"/>
                      <w:color w:val="000000"/>
                    </w:rPr>
                    <w:t>≤0.01m；</w:t>
                  </w:r>
                </w:p>
                <w:p>
                  <w:pPr>
                    <w:pStyle w:val="null3"/>
                    <w:numPr>
                      <w:ilvl w:val="0"/>
                      <w:numId w:val="2"/>
                    </w:numPr>
                    <w:jc w:val="both"/>
                  </w:pPr>
                  <w:r>
                    <w:rPr>
                      <w:rFonts w:ascii="仿宋_GB2312" w:hAnsi="仿宋_GB2312" w:cs="仿宋_GB2312" w:eastAsia="仿宋_GB2312"/>
                      <w:sz w:val="21"/>
                      <w:color w:val="000000"/>
                    </w:rPr>
                    <w:t>重复性（</w:t>
                  </w:r>
                  <w:r>
                    <w:rPr>
                      <w:rFonts w:ascii="仿宋_GB2312" w:hAnsi="仿宋_GB2312" w:cs="仿宋_GB2312" w:eastAsia="仿宋_GB2312"/>
                      <w:sz w:val="21"/>
                      <w:color w:val="000000"/>
                    </w:rPr>
                    <w:t>Cv）≤5%；</w:t>
                  </w:r>
                </w:p>
                <w:p>
                  <w:pPr>
                    <w:pStyle w:val="null3"/>
                    <w:numPr>
                      <w:ilvl w:val="0"/>
                      <w:numId w:val="2"/>
                    </w:numPr>
                    <w:jc w:val="both"/>
                  </w:pPr>
                  <w:r>
                    <w:rPr>
                      <w:rFonts w:ascii="仿宋_GB2312" w:hAnsi="仿宋_GB2312" w:cs="仿宋_GB2312" w:eastAsia="仿宋_GB2312"/>
                      <w:sz w:val="21"/>
                      <w:color w:val="000000"/>
                    </w:rPr>
                    <w:t>测量示值相对误差</w:t>
                  </w:r>
                  <w:r>
                    <w:rPr>
                      <w:rFonts w:ascii="仿宋_GB2312" w:hAnsi="仿宋_GB2312" w:cs="仿宋_GB2312" w:eastAsia="仿宋_GB2312"/>
                      <w:sz w:val="21"/>
                      <w:color w:val="000000"/>
                    </w:rPr>
                    <w:t>≤15%；</w:t>
                  </w:r>
                </w:p>
                <w:p>
                  <w:pPr>
                    <w:pStyle w:val="null3"/>
                    <w:numPr>
                      <w:ilvl w:val="0"/>
                      <w:numId w:val="2"/>
                    </w:numPr>
                    <w:jc w:val="both"/>
                  </w:pPr>
                  <w:r>
                    <w:rPr>
                      <w:rFonts w:ascii="仿宋_GB2312" w:hAnsi="仿宋_GB2312" w:cs="仿宋_GB2312" w:eastAsia="仿宋_GB2312"/>
                      <w:sz w:val="21"/>
                      <w:color w:val="000000"/>
                    </w:rPr>
                    <w:t>实时保存路面纵断面高程等原始检测数据，输出路面跳车实时计算结果。</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沿线设施及路面巡查</w:t>
                  </w:r>
                  <w:r>
                    <w:rPr>
                      <w:rFonts w:ascii="仿宋_GB2312" w:hAnsi="仿宋_GB2312" w:cs="仿宋_GB2312" w:eastAsia="仿宋_GB2312"/>
                      <w:sz w:val="21"/>
                      <w:color w:val="000000"/>
                    </w:rPr>
                    <w:t>采集</w:t>
                  </w:r>
                  <w:r>
                    <w:rPr>
                      <w:rFonts w:ascii="仿宋_GB2312" w:hAnsi="仿宋_GB2312" w:cs="仿宋_GB2312" w:eastAsia="仿宋_GB2312"/>
                      <w:sz w:val="21"/>
                      <w:color w:val="000000"/>
                    </w:rPr>
                    <w:t>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检测装置配备相机</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检测装置：高分辨率</w:t>
                  </w:r>
                  <w:r>
                    <w:rPr>
                      <w:rFonts w:ascii="仿宋_GB2312" w:hAnsi="仿宋_GB2312" w:cs="仿宋_GB2312" w:eastAsia="仿宋_GB2312"/>
                      <w:sz w:val="21"/>
                      <w:color w:val="000000"/>
                    </w:rPr>
                    <w:t>彩色</w:t>
                  </w:r>
                  <w:r>
                    <w:rPr>
                      <w:rFonts w:ascii="仿宋_GB2312" w:hAnsi="仿宋_GB2312" w:cs="仿宋_GB2312" w:eastAsia="仿宋_GB2312"/>
                      <w:sz w:val="21"/>
                      <w:color w:val="000000"/>
                    </w:rPr>
                    <w:t>工业相机</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支持自动调节曝光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像素分辨率：</w:t>
                  </w:r>
                  <w:r>
                    <w:rPr>
                      <w:rFonts w:ascii="仿宋_GB2312" w:hAnsi="仿宋_GB2312" w:cs="仿宋_GB2312" w:eastAsia="仿宋_GB2312"/>
                      <w:sz w:val="21"/>
                      <w:color w:val="000000"/>
                    </w:rPr>
                    <w:t>≥1000万像素；</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检测频率：每千米不小于</w:t>
                  </w:r>
                  <w:r>
                    <w:rPr>
                      <w:rFonts w:ascii="仿宋_GB2312" w:hAnsi="仿宋_GB2312" w:cs="仿宋_GB2312" w:eastAsia="仿宋_GB2312"/>
                      <w:sz w:val="21"/>
                      <w:color w:val="000000"/>
                    </w:rPr>
                    <w:t>100帧；</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输出格式：影像或图片格式。</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无人机巡查系统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1、无人机平台1套</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）最大运行海拔高度</w:t>
                  </w:r>
                  <w:r>
                    <w:rPr>
                      <w:rFonts w:ascii="仿宋_GB2312" w:hAnsi="仿宋_GB2312" w:cs="仿宋_GB2312" w:eastAsia="仿宋_GB2312"/>
                      <w:sz w:val="21"/>
                      <w:color w:val="000000"/>
                    </w:rPr>
                    <w:t>≥30</w:t>
                  </w:r>
                  <w:r>
                    <w:rPr>
                      <w:rFonts w:ascii="仿宋_GB2312" w:hAnsi="仿宋_GB2312" w:cs="仿宋_GB2312" w:eastAsia="仿宋_GB2312"/>
                      <w:sz w:val="21"/>
                      <w:color w:val="000000"/>
                    </w:rPr>
                    <w:t>00米；</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无人机平台具有空调装置；</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充电时间≤</w:t>
                  </w:r>
                  <w:r>
                    <w:rPr>
                      <w:rFonts w:ascii="仿宋_GB2312" w:hAnsi="仿宋_GB2312" w:cs="仿宋_GB2312" w:eastAsia="仿宋_GB2312"/>
                      <w:sz w:val="21"/>
                      <w:color w:val="000000"/>
                    </w:rPr>
                    <w:t>35分钟(15%-95%)；</w:t>
                  </w:r>
                </w:p>
                <w:p>
                  <w:pPr>
                    <w:pStyle w:val="null3"/>
                  </w:pPr>
                  <w:r>
                    <w:rPr>
                      <w:rFonts w:ascii="仿宋_GB2312" w:hAnsi="仿宋_GB2312" w:cs="仿宋_GB2312" w:eastAsia="仿宋_GB2312"/>
                      <w:sz w:val="21"/>
                      <w:color w:val="000000"/>
                    </w:rPr>
                    <w:t>2、无人机1台</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最大抗风速度</w:t>
                  </w:r>
                  <w:r>
                    <w:rPr>
                      <w:rFonts w:ascii="仿宋_GB2312" w:hAnsi="仿宋_GB2312" w:cs="仿宋_GB2312" w:eastAsia="仿宋_GB2312"/>
                      <w:sz w:val="21"/>
                      <w:color w:val="000000"/>
                    </w:rPr>
                    <w:t>:作业阶段:12米/秒，起降阶段:12米/秒；</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最大起飞海拔高度</w:t>
                  </w:r>
                  <w:r>
                    <w:rPr>
                      <w:rFonts w:ascii="仿宋_GB2312" w:hAnsi="仿宋_GB2312" w:cs="仿宋_GB2312" w:eastAsia="仿宋_GB2312"/>
                      <w:sz w:val="21"/>
                      <w:color w:val="000000"/>
                    </w:rPr>
                    <w:t>≥5000米；</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最长飞行时间</w:t>
                  </w:r>
                  <w:r>
                    <w:rPr>
                      <w:rFonts w:ascii="仿宋_GB2312" w:hAnsi="仿宋_GB2312" w:cs="仿宋_GB2312" w:eastAsia="仿宋_GB2312"/>
                      <w:sz w:val="21"/>
                      <w:color w:val="000000"/>
                    </w:rPr>
                    <w:t>≥40分钟；</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最长悬停时间</w:t>
                  </w:r>
                  <w:r>
                    <w:rPr>
                      <w:rFonts w:ascii="仿宋_GB2312" w:hAnsi="仿宋_GB2312" w:cs="仿宋_GB2312" w:eastAsia="仿宋_GB2312"/>
                      <w:sz w:val="21"/>
                      <w:color w:val="000000"/>
                    </w:rPr>
                    <w:t>≥30分钟；</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图传最大信号有效距离</w:t>
                  </w:r>
                  <w:r>
                    <w:rPr>
                      <w:rFonts w:ascii="仿宋_GB2312" w:hAnsi="仿宋_GB2312" w:cs="仿宋_GB2312" w:eastAsia="仿宋_GB2312"/>
                      <w:sz w:val="21"/>
                      <w:color w:val="000000"/>
                    </w:rPr>
                    <w:t>(无干扰、无遮挡)FCC:</w:t>
                  </w:r>
                  <w:r>
                    <w:rPr>
                      <w:rFonts w:ascii="仿宋_GB2312" w:hAnsi="仿宋_GB2312" w:cs="仿宋_GB2312" w:eastAsia="仿宋_GB2312"/>
                      <w:sz w:val="21"/>
                      <w:color w:val="000000"/>
                    </w:rPr>
                    <w:t>≥</w:t>
                  </w:r>
                  <w:r>
                    <w:rPr>
                      <w:rFonts w:ascii="仿宋_GB2312" w:hAnsi="仿宋_GB2312" w:cs="仿宋_GB2312" w:eastAsia="仿宋_GB2312"/>
                      <w:sz w:val="21"/>
                      <w:color w:val="000000"/>
                    </w:rPr>
                    <w:t>20 公里：CE≥10公里 SRRC:</w:t>
                  </w:r>
                  <w:r>
                    <w:rPr>
                      <w:rFonts w:ascii="仿宋_GB2312" w:hAnsi="仿宋_GB2312" w:cs="仿宋_GB2312" w:eastAsia="仿宋_GB2312"/>
                      <w:sz w:val="21"/>
                      <w:color w:val="000000"/>
                    </w:rPr>
                    <w:t>≥10</w:t>
                  </w:r>
                  <w:r>
                    <w:rPr>
                      <w:rFonts w:ascii="仿宋_GB2312" w:hAnsi="仿宋_GB2312" w:cs="仿宋_GB2312" w:eastAsia="仿宋_GB2312"/>
                      <w:sz w:val="21"/>
                      <w:color w:val="000000"/>
                    </w:rPr>
                    <w:t>公里MIC:≥10公里；</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地理位置信息检测</w:t>
                  </w:r>
                  <w:r>
                    <w:rPr>
                      <w:rFonts w:ascii="仿宋_GB2312" w:hAnsi="仿宋_GB2312" w:cs="仿宋_GB2312" w:eastAsia="仿宋_GB2312"/>
                      <w:sz w:val="21"/>
                      <w:color w:val="000000"/>
                    </w:rPr>
                    <w:t>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pPr>
                  <w:r>
                    <w:rPr>
                      <w:rFonts w:ascii="仿宋_GB2312" w:hAnsi="仿宋_GB2312" w:cs="仿宋_GB2312" w:eastAsia="仿宋_GB2312"/>
                      <w:sz w:val="21"/>
                      <w:color w:val="000000"/>
                    </w:rPr>
                    <w:t>空间定位装置</w:t>
                  </w:r>
                  <w:r>
                    <w:rPr>
                      <w:rFonts w:ascii="仿宋_GB2312" w:hAnsi="仿宋_GB2312" w:cs="仿宋_GB2312" w:eastAsia="仿宋_GB2312"/>
                      <w:sz w:val="21"/>
                      <w:color w:val="000000"/>
                    </w:rPr>
                    <w:t>1套</w:t>
                  </w:r>
                  <w:r>
                    <w:rPr>
                      <w:rFonts w:ascii="仿宋_GB2312" w:hAnsi="仿宋_GB2312" w:cs="仿宋_GB2312" w:eastAsia="仿宋_GB2312"/>
                      <w:sz w:val="21"/>
                      <w:color w:val="000000"/>
                    </w:rPr>
                    <w:t>：单点定位误差：信号覆盖率</w:t>
                  </w:r>
                  <w:r>
                    <w:rPr>
                      <w:rFonts w:ascii="仿宋_GB2312" w:hAnsi="仿宋_GB2312" w:cs="仿宋_GB2312" w:eastAsia="仿宋_GB2312"/>
                      <w:sz w:val="21"/>
                      <w:color w:val="000000"/>
                    </w:rPr>
                    <w:t>≥70%时，95%的测点误差≤2.5m；</w:t>
                  </w:r>
                </w:p>
                <w:p>
                  <w:pPr>
                    <w:pStyle w:val="null3"/>
                    <w:numPr>
                      <w:ilvl w:val="0"/>
                      <w:numId w:val="2"/>
                    </w:numPr>
                  </w:pPr>
                  <w:r>
                    <w:rPr>
                      <w:rFonts w:ascii="仿宋_GB2312" w:hAnsi="仿宋_GB2312" w:cs="仿宋_GB2312" w:eastAsia="仿宋_GB2312"/>
                      <w:sz w:val="21"/>
                      <w:color w:val="000000"/>
                    </w:rPr>
                    <w:t>光学增量旋转编码器</w:t>
                  </w:r>
                  <w:r>
                    <w:rPr>
                      <w:rFonts w:ascii="仿宋_GB2312" w:hAnsi="仿宋_GB2312" w:cs="仿宋_GB2312" w:eastAsia="仿宋_GB2312"/>
                      <w:sz w:val="21"/>
                      <w:color w:val="000000"/>
                    </w:rPr>
                    <w:t>1套</w:t>
                  </w:r>
                  <w:r>
                    <w:rPr>
                      <w:rFonts w:ascii="仿宋_GB2312" w:hAnsi="仿宋_GB2312" w:cs="仿宋_GB2312" w:eastAsia="仿宋_GB2312"/>
                      <w:sz w:val="21"/>
                      <w:color w:val="000000"/>
                    </w:rPr>
                    <w:t>：距离测量误差：</w:t>
                  </w:r>
                  <w:r>
                    <w:rPr>
                      <w:rFonts w:ascii="仿宋_GB2312" w:hAnsi="仿宋_GB2312" w:cs="仿宋_GB2312" w:eastAsia="仿宋_GB2312"/>
                      <w:sz w:val="21"/>
                      <w:color w:val="000000"/>
                    </w:rPr>
                    <w:t>≤0.05%，可调脉冲数：≥</w:t>
                  </w:r>
                  <w:r>
                    <w:rPr>
                      <w:rFonts w:ascii="仿宋_GB2312" w:hAnsi="仿宋_GB2312" w:cs="仿宋_GB2312" w:eastAsia="仿宋_GB2312"/>
                      <w:sz w:val="21"/>
                      <w:color w:val="000000"/>
                    </w:rPr>
                    <w:t>20</w:t>
                  </w:r>
                  <w:r>
                    <w:rPr>
                      <w:rFonts w:ascii="仿宋_GB2312" w:hAnsi="仿宋_GB2312" w:cs="仿宋_GB2312" w:eastAsia="仿宋_GB2312"/>
                      <w:sz w:val="21"/>
                      <w:color w:val="000000"/>
                    </w:rPr>
                    <w:t>00，防护级别：IP65及以上；</w:t>
                  </w:r>
                </w:p>
                <w:p>
                  <w:pPr>
                    <w:pStyle w:val="null3"/>
                    <w:numPr>
                      <w:ilvl w:val="0"/>
                      <w:numId w:val="2"/>
                    </w:numPr>
                  </w:pPr>
                  <w:r>
                    <w:rPr>
                      <w:rFonts w:ascii="仿宋_GB2312" w:hAnsi="仿宋_GB2312" w:cs="仿宋_GB2312" w:eastAsia="仿宋_GB2312"/>
                      <w:sz w:val="21"/>
                      <w:color w:val="000000"/>
                    </w:rPr>
                    <w:t>地理位置坐标和距离（桩号系统）可以相互对应，能实现测量过程所有数据的时空基准的统一。</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配套软件</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根据设定任务路线及采集技术指标，自动</w:t>
                  </w:r>
                  <w:r>
                    <w:rPr>
                      <w:rFonts w:ascii="仿宋_GB2312" w:hAnsi="仿宋_GB2312" w:cs="仿宋_GB2312" w:eastAsia="仿宋_GB2312"/>
                      <w:sz w:val="21"/>
                      <w:color w:val="000000"/>
                    </w:rPr>
                    <w:t>设置检测</w:t>
                  </w:r>
                  <w:r>
                    <w:rPr>
                      <w:rFonts w:ascii="仿宋_GB2312" w:hAnsi="仿宋_GB2312" w:cs="仿宋_GB2312" w:eastAsia="仿宋_GB2312"/>
                      <w:sz w:val="21"/>
                      <w:color w:val="000000"/>
                    </w:rPr>
                    <w:t>任务</w:t>
                  </w:r>
                  <w:r>
                    <w:rPr>
                      <w:rFonts w:ascii="仿宋_GB2312" w:hAnsi="仿宋_GB2312" w:cs="仿宋_GB2312" w:eastAsia="仿宋_GB2312"/>
                      <w:sz w:val="21"/>
                      <w:color w:val="000000"/>
                    </w:rPr>
                    <w:t>路线</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实现沿线设施及路面巡查、路面破损、</w:t>
                  </w:r>
                  <w:r>
                    <w:rPr>
                      <w:rFonts w:ascii="仿宋_GB2312" w:hAnsi="仿宋_GB2312" w:cs="仿宋_GB2312" w:eastAsia="仿宋_GB2312"/>
                      <w:sz w:val="21"/>
                      <w:color w:val="000000"/>
                    </w:rPr>
                    <w:t>平整度</w:t>
                  </w:r>
                  <w:r>
                    <w:rPr>
                      <w:rFonts w:ascii="仿宋_GB2312" w:hAnsi="仿宋_GB2312" w:cs="仿宋_GB2312" w:eastAsia="仿宋_GB2312"/>
                      <w:sz w:val="21"/>
                      <w:color w:val="000000"/>
                    </w:rPr>
                    <w:t>、</w:t>
                  </w:r>
                  <w:r>
                    <w:rPr>
                      <w:rFonts w:ascii="仿宋_GB2312" w:hAnsi="仿宋_GB2312" w:cs="仿宋_GB2312" w:eastAsia="仿宋_GB2312"/>
                      <w:sz w:val="21"/>
                      <w:color w:val="000000"/>
                    </w:rPr>
                    <w:t>构造深度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跳车及</w:t>
                  </w:r>
                  <w:r>
                    <w:rPr>
                      <w:rFonts w:ascii="仿宋_GB2312" w:hAnsi="仿宋_GB2312" w:cs="仿宋_GB2312" w:eastAsia="仿宋_GB2312"/>
                      <w:sz w:val="21"/>
                      <w:color w:val="000000"/>
                    </w:rPr>
                    <w:t>车辙系统同步采集；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路面巡查</w:t>
                  </w:r>
                  <w:r>
                    <w:rPr>
                      <w:rFonts w:ascii="仿宋_GB2312" w:hAnsi="仿宋_GB2312" w:cs="仿宋_GB2312" w:eastAsia="仿宋_GB2312"/>
                      <w:sz w:val="21"/>
                      <w:color w:val="000000"/>
                    </w:rPr>
                    <w:t>系统在采集数据的同时，采集到数据能够通过移动网络自动上传至后台并能实现实时监控采集状态；</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具备完整路面巡查监管平台知识产权，可提供自有软件著作权或提供原厂完整授权，原厂技术兼容承诺函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3）系统</w:t>
                  </w:r>
                  <w:r>
                    <w:rPr>
                      <w:rFonts w:ascii="仿宋_GB2312" w:hAnsi="仿宋_GB2312" w:cs="仿宋_GB2312" w:eastAsia="仿宋_GB2312"/>
                      <w:sz w:val="21"/>
                      <w:color w:val="000000"/>
                    </w:rPr>
                    <w:t>可对巡检</w:t>
                  </w:r>
                  <w:r>
                    <w:rPr>
                      <w:rFonts w:ascii="仿宋_GB2312" w:hAnsi="仿宋_GB2312" w:cs="仿宋_GB2312" w:eastAsia="仿宋_GB2312"/>
                      <w:sz w:val="21"/>
                      <w:color w:val="000000"/>
                    </w:rPr>
                    <w:t>工作全流程自动化管理，支持对巡检人员一键派发巡检任务，并对巡检过程进行全程轨迹监控，实现影像的实时回传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系统采用</w:t>
                  </w:r>
                  <w:r>
                    <w:rPr>
                      <w:rFonts w:ascii="仿宋_GB2312" w:hAnsi="仿宋_GB2312" w:cs="仿宋_GB2312" w:eastAsia="仿宋_GB2312"/>
                      <w:sz w:val="21"/>
                      <w:color w:val="000000"/>
                    </w:rPr>
                    <w:t>AI自动识别，能够实时识别日常巡检中的道路裂缝、龟裂、坑槽、抛洒物等常见病害；</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AI自动识别平台知识产权，可提供自有软件著作权或提供原厂完整授权，原厂技术兼容承诺函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5）软件支持标注、修改、删除路面病害及交安设施；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6）可依照《公路技术状况评定标准》JTG 5210-2018、《农村公路技术状况评定标准》JTG 5211-2024等行业规范自动计算评价指标，可按行业标准及规范输出病害明细及评价报表。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7）与大荔县农村公路信息化管养平台与应急指挥中心完成平台互联对接。</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大荔县农村公路服务中心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进度款，货物交付并验收合格后，达到付款条件起15个工作日内，支付合同总金额的70.0%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立验收小组：由采购人代表、中标单位、使用部门代表等组成，人数为3人以上单数。职责分工：采购人代表负责组织协调；中标单位联合验收；使用部门代表负责货物使用功能验收。验收内容（1）货物数量：核对实际到货数量与合同约定数量是否一致。 （2）货物规格型号：检查货物的规格、型号、配置等是否与合同及招标文件要求相符。 （3）货物质量：依据国家相关标准、行业规范及合同约定的质量标准，对货物的外观、性能、安全性、可靠性等进行检验，可要求供应商提供出厂检测报告、质量合格证等证明材料。 （4）技术指标：对货物的技术参数、功能特性等进行测试和验证，确保符合合同规定。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整体设备保修12个月，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违约方支付违约金，双方协商处理。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符合国家现行相关标准及行业标准，如下： 《多功能路况快速检测设备》GB/T 26764-2024； 《公路技术状况评定标准》JTG 5210-2018； 《农村公路技术状况评定标准》JTG 5211-2024； 《公路路面技术状况自动化检测规程》JTG E61-2014； 《公路路基路面现场测试规程》JTG 3450-2019；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2025年度完整审计报告，成立时间至提交投标文件截止时间不足1年的提供开标前一个月内基本存款账户开户银行出具的资信证明。2.提供已缴纳的2026年1月以来至少1个月的纳税证明或完税证明（任意税种），依法免税的供应商应提供相关证明材料。3.提供2026年1月以来至少1个月的社会保障资金缴存单据或社保机构开具的社会保险参保缴费情况证明，依法不需要缴纳社会保障资金的供应商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在中华人民共和国境内注册、具有独立民事责任能力的法人、其他组织或自然人，具备从事本采购项目的经营范围和能力，提供合法有效的企业营业执照、法人证书或登记证书。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提供法定代表人授权书（附法定代表人有效身份证复印件和被授权人有效身份证复印件，法定代表人直接参加只须提供法定代表人有效身份证复印件）。</w:t>
            </w:r>
          </w:p>
        </w:tc>
        <w:tc>
          <w:tcPr>
            <w:tcW w:type="dxa" w:w="1661"/>
          </w:tcPr>
          <w:p>
            <w:pPr>
              <w:pStyle w:val="null3"/>
            </w:pPr>
            <w:r>
              <w:rPr>
                <w:rFonts w:ascii="仿宋_GB2312" w:hAnsi="仿宋_GB2312" w:cs="仿宋_GB2312" w:eastAsia="仿宋_GB2312"/>
              </w:rPr>
              <w:t>法定代表人证明书及法定代表人授权书.docx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投标人应提交的相关资格证明材料 相关承诺书.docx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信用记录及声明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提供无违法失信查询结果并加盖公章）同时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 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 中小企业声明函 残疾人福利性单位声明函 投标文件封面 法定代表人证明书及法定代表人授权书.docx 供应商认为有必要说明的事宜.docx 监狱企业的证明文件 投标人应提交的相关资格证明材料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（1）只能有一个有效报价，不接受选择性报价； （2）第一次磋商报价表填写符合要求； （3）计量单位、报价货币均符合磋商文件要求； （4）第一次磋商报价未超出采购预算或磋商文件规定的最高限价； （5）第一次磋商报价没有与市场价偏差较大、低于成本、可能影响货物质量或不能诚信履约。</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开标一览表 产品技术参数表 商务应答表 投标文件封面 节能环保、环境标志产品明细表.docx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有完全理解并接受磋商文件合同草案条款要求的描述。</w:t>
            </w:r>
          </w:p>
        </w:tc>
        <w:tc>
          <w:tcPr>
            <w:tcW w:type="dxa" w:w="1661"/>
          </w:tcPr>
          <w:p>
            <w:pPr>
              <w:pStyle w:val="null3"/>
            </w:pPr>
            <w:r>
              <w:rPr>
                <w:rFonts w:ascii="仿宋_GB2312" w:hAnsi="仿宋_GB2312" w:cs="仿宋_GB2312" w:eastAsia="仿宋_GB2312"/>
              </w:rPr>
              <w:t>投标文件封面 供应商认为有必要说明的事宜.docx 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投标文件封面 供应商认为有必要说明的事宜.docx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标注“▲”为重要技术参数，未标注参数为一般技术参数，总分35分: 1.技术参数中标注“▲”的技术参数共5条，每负偏离一条扣2分，总分10分，扣完为止。 2.一般技术参数，每负偏离一条扣1分，总分25分，扣完为止。 注:根据采购需求提供标注“▲”技术参数的证明材料，包括但不限于:提供该产品制造商出具的技术说明书或产品彩页或制造商公开发布的资料或第三方检测机构出具的检测报告等，以证明其响应的有效性。</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根据投标人提供培训服务方案（包括培训人员配备方案、现场培训组织计划及技术培训资料清单等）进行综合评分。方案合理、可行性强2分；方案基本合理、可行性一般1分；方案合理性、可行性差0分。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p>
            <w:pPr>
              <w:pStyle w:val="null3"/>
            </w:pPr>
            <w:r>
              <w:rPr>
                <w:rFonts w:ascii="仿宋_GB2312" w:hAnsi="仿宋_GB2312" w:cs="仿宋_GB2312" w:eastAsia="仿宋_GB2312"/>
              </w:rPr>
              <w:t>组成人员简历表.docx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投标人提供符合项目需求的供货方案及承诺进行评审，工作思路清晰明确，技术路线合理可行的6-8（含）分；工作思路基本清晰明确，技术路线基本合理可行的3-5（含）分；整体方案不完整，不能有效执行的0-2（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p>
            <w:pPr>
              <w:pStyle w:val="null3"/>
            </w:pPr>
            <w:r>
              <w:rPr>
                <w:rFonts w:ascii="仿宋_GB2312" w:hAnsi="仿宋_GB2312" w:cs="仿宋_GB2312" w:eastAsia="仿宋_GB2312"/>
              </w:rPr>
              <w:t>组成人员简历表.docx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售后服务方案（包括售后服务内容，故障响应时间，修复时间，应急反应措施，服务质量保证措施，免费质保期结束后的维修费用、优惠折扣等）进行综合评分。方案合理、可行性强6-8（含）分；方案基本合理、可行性一般3-5（含）分；方案合理性、可行性差0-2（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根据投标人对本招标项目的合理化建议是否切实可行进行评分。 方案完整、合理、先进的得2分；方案能指导项目建设，但理解有偏差，不影响项目实施，得1分；方案有明显缺漏项，不能有效指导项目建设，需改动较大的，得0分。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投标人提供2023年7月1日至今类似路况检测项目所投产品业绩，每提供1份得1分，最高得5分。（可提供厂家或者厂家授权的业绩证明材料，投标文件内提供合同复印件并加盖单位公章，以合同签订时间为准）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价格分采用低价优先法计算，即满足招标文件要求且投标报价最低的投标报价为基准价，其价格分为满分。其他供应商的价格分统一按照下列公式计算：报价得分=（基准价/有效报价）×权重（30%）×100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详见附件：响应实施方案.docx</w:t>
      </w:r>
    </w:p>
    <w:p>
      <w:pPr>
        <w:pStyle w:val="null3"/>
        <w:ind w:firstLine="960"/>
      </w:pPr>
      <w:r>
        <w:rPr>
          <w:rFonts w:ascii="仿宋_GB2312" w:hAnsi="仿宋_GB2312" w:cs="仿宋_GB2312" w:eastAsia="仿宋_GB2312"/>
        </w:rPr>
        <w:t>详见附件：组成人员简历表.docx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详见附件：节能环保、环境标志产品明细表.docx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