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版本号：CW2026-ZCDY-0220260601002</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诉前调解中心及西一路法庭场地租赁</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CW2026-ZCDY-02</w:t>
      </w:r>
      <w:r>
        <w:br/>
      </w:r>
      <w:r>
        <w:br/>
      </w:r>
      <w:r>
        <w:br/>
      </w:r>
    </w:p>
    <w:p>
      <w:pPr>
        <w:pStyle w:val="null3"/>
        <w:jc w:val="center"/>
        <w:outlineLvl w:val="5"/>
      </w:pPr>
      <w:r>
        <w:rPr>
          <w:rFonts w:ascii="仿宋_GB2312" w:hAnsi="仿宋_GB2312" w:cs="仿宋_GB2312" w:eastAsia="仿宋_GB2312"/>
          <w:sz w:val="15"/>
          <w:b/>
        </w:rPr>
        <w:t>西安市新城区人民法院[153]</w:t>
      </w:r>
    </w:p>
    <w:p>
      <w:pPr>
        <w:pStyle w:val="null3"/>
        <w:jc w:val="center"/>
        <w:outlineLvl w:val="5"/>
      </w:pPr>
      <w:r>
        <w:rPr>
          <w:rFonts w:ascii="仿宋_GB2312" w:hAnsi="仿宋_GB2312" w:cs="仿宋_GB2312" w:eastAsia="仿宋_GB2312"/>
          <w:sz w:val="15"/>
          <w:b/>
        </w:rPr>
        <w:t>陕西池文项目管理有限公司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陕西池文项目管理有限公司</w:t>
      </w:r>
      <w:r>
        <w:rPr>
          <w:rFonts w:ascii="仿宋_GB2312" w:hAnsi="仿宋_GB2312" w:cs="仿宋_GB2312" w:eastAsia="仿宋_GB2312"/>
        </w:rPr>
        <w:t>（以下简称“代理机构”）受</w:t>
      </w:r>
      <w:r>
        <w:rPr>
          <w:rFonts w:ascii="仿宋_GB2312" w:hAnsi="仿宋_GB2312" w:cs="仿宋_GB2312" w:eastAsia="仿宋_GB2312"/>
        </w:rPr>
        <w:t>西安市新城区人民法院[153]</w:t>
      </w:r>
      <w:r>
        <w:rPr>
          <w:rFonts w:ascii="仿宋_GB2312" w:hAnsi="仿宋_GB2312" w:cs="仿宋_GB2312" w:eastAsia="仿宋_GB2312"/>
        </w:rPr>
        <w:t>委托，拟对</w:t>
      </w:r>
      <w:r>
        <w:rPr>
          <w:rFonts w:ascii="仿宋_GB2312" w:hAnsi="仿宋_GB2312" w:cs="仿宋_GB2312" w:eastAsia="仿宋_GB2312"/>
        </w:rPr>
        <w:t>诉前调解中心及西一路法庭场地租赁</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CW2026-ZCDY-02</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诉前调解中心及西一路法庭场地租赁</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诉前调解中心及西一路法庭场地租赁，具体详见单一来源采购文件。</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采购包1（诉前调解中心及西一路法庭场地租赁）：属于专门面向中小企业采购。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财务状况报告：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协商担保函（以上三种形式的资料提供任何一种即可）；</w:t>
      </w:r>
    </w:p>
    <w:p>
      <w:pPr>
        <w:pStyle w:val="null3"/>
      </w:pPr>
      <w:r>
        <w:rPr>
          <w:rFonts w:ascii="仿宋_GB2312" w:hAnsi="仿宋_GB2312" w:cs="仿宋_GB2312" w:eastAsia="仿宋_GB2312"/>
        </w:rPr>
        <w:t>3、税收缴纳证明：提供递交响应文件截止之日前六个月内任意一个月的依法缴纳税收的相关凭据，凭据应有税务机关或代收机关的公章或业务专用章。依法免税或无须缴纳税收的供应商，应提供相应证明文件；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存证明：提供递交响应文件截止之日前六个月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6、无重大违纪声明：参加本次政府采购活动前3年内在经营活动中没有重大违纪，以及未被列入失信被执行人、重大税收违法失信主体、政府采购严重违法失信行为记录名单的书面声明；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7、法定代表人授权书：法定代表人直接参加协商的，须出具法定代表人身份证明书及身份证；授权代表参加协商的，须出具法定代表人授权书及授权代表身份证；</w:t>
      </w:r>
    </w:p>
    <w:p>
      <w:pPr>
        <w:pStyle w:val="null3"/>
      </w:pPr>
      <w:r>
        <w:rPr>
          <w:rFonts w:ascii="仿宋_GB2312" w:hAnsi="仿宋_GB2312" w:cs="仿宋_GB2312" w:eastAsia="仿宋_GB2312"/>
        </w:rPr>
        <w:t>8、信用中国：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9、非联合体协商：本项目不接受联合体协商。</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西安市新城区人民法院[153]</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西安市新城区含元路105号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029-82556675</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陕西池文项目管理有限公司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西安市经济技术开发区凤城3路3号巍然大厦1号楼B座6楼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邱程、醋转转</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13709225739</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采购包1：2,630,000.00元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采购包1：2,630,000.00元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代理服务费收费标准：本项目招标代理服务费实行市场调节价，采用差额定率累进法计费，以成交金额为计费基数，由成交人在领取成交通知书前一次性支付。 具体费率如下： 100万元以下，按照1.5%计取；100万元-500万元以下，按照0.8%计取； 开户名称：陕西池文项目管理有限公司 开户银行：宁夏银行西安经济技术开发区支行 银行账号：1200001113163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西安市新城区人民法院[153]</w:t>
      </w:r>
      <w:r>
        <w:rPr>
          <w:rFonts w:ascii="仿宋_GB2312" w:hAnsi="仿宋_GB2312" w:cs="仿宋_GB2312" w:eastAsia="仿宋_GB2312"/>
        </w:rPr>
        <w:t>和</w:t>
      </w:r>
      <w:r>
        <w:rPr>
          <w:rFonts w:ascii="仿宋_GB2312" w:hAnsi="仿宋_GB2312" w:cs="仿宋_GB2312" w:eastAsia="仿宋_GB2312"/>
        </w:rPr>
        <w:t>陕西池文项目管理有限公司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陕西池文项目管理有限公司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西安市新城区人民法院[153]</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陕西池文项目管理有限公司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陕西池文项目管理有限公司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陕西池文项目管理有限公司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陕西池文项目管理有限公司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诉前调解中心及西一路法庭场地租赁，具体详见单一来源采购文件。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2,630,000.00</w:t>
      </w:r>
    </w:p>
    <w:p>
      <w:pPr>
        <w:pStyle w:val="null3"/>
      </w:pPr>
      <w:r>
        <w:rPr>
          <w:rFonts w:ascii="仿宋_GB2312" w:hAnsi="仿宋_GB2312" w:cs="仿宋_GB2312" w:eastAsia="仿宋_GB2312"/>
        </w:rPr>
        <w:t>采购包最高限价（元）: 2,630,000.00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诉前调解中心及西一路法庭场地租赁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标的名称：诉前调解中心及西一路法庭场地租赁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20"/>
              <w:ind w:firstLine="480"/>
              <w:jc w:val="both"/>
            </w:pPr>
            <w:r>
              <w:rPr>
                <w:rFonts w:ascii="仿宋_GB2312" w:hAnsi="仿宋_GB2312" w:cs="仿宋_GB2312" w:eastAsia="仿宋_GB2312"/>
              </w:rPr>
              <w:t>本次拟租赁房产坐落于西安市新城广场南侧明秦王府城墙，为独栋三层建筑，总建筑面积2750平方米，作为西安市医疗纠纷调解中心和西一路法庭临时技术业务用房。房源区位优势明显，地处城区核心区域，交通便捷，辐射服务范围广，能够有效匹配医疗纠纷调解、基层法庭审判、便民接待、业务存档、技术保障等核心工作需求。房屋整体结构规整、空间布局合理，可按需划分办公业务区、调解接待区、庭审功能区、设备技术区、资料存档区及配套辅助区域，完全适配司法调解、基层审判类技术业务用房使用标准，满足两个单位常态化、规范化办公办案需求。作为西安市医疗纠纷调解中心和西一路法庭临时技术业务用房。</w:t>
            </w:r>
          </w:p>
          <w:p>
            <w:pPr>
              <w:pStyle w:val="null3"/>
            </w:pPr>
            <w:r>
              <w:rPr>
                <w:rFonts w:ascii="仿宋_GB2312" w:hAnsi="仿宋_GB2312" w:cs="仿宋_GB2312" w:eastAsia="仿宋_GB2312"/>
              </w:rPr>
              <w:t>办公用房须严格执行《党政机关办公用房管理办法》、《西安市市级党政机关办公（业务）用房租用管理暂行规定》的相关规定。</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满足采购需求的人员配置。</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满足采购需求的设施设备。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合同期限为3年。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其他，合同一签3年，按年支付租金，达到付款条件起30个工作日内，支付合同总金额的100.0%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遵循司法办公专用标准、安全保密达标、功能分区齐全、设施完好可用、区位合规、物业服务到位原则，按合同约定、法庭建设规范、消防安全、综治安防及政务办公用房要求逐项验收。</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顺利推进本项目政府采购工作，供应商须在陕西省政府采购电子化交易平台上传电子版响应文件并完成签章、加密，同时，线下递交纸质版响应文件正本一份。若电子版响应文件与纸质版响应文件不一致的，以陕西省政府采购电子化交易平台上传的电子版响应文件为准。纸质版响应文件递交截止时间同开标截止时间，递交地点为西安市经济技术开发区凤城3路3号巍然大厦1号楼B座6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协商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无重大违纪声明</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法定代表人直接参加协商的，须出具法定代表人身份证明书及身份证；授权代表参加协商的，须出具法定代表人授权书及授权代表身份证；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非联合体协商</w:t>
            </w:r>
          </w:p>
        </w:tc>
        <w:tc>
          <w:tcPr>
            <w:tcW w:type="dxa" w:w="3322"/>
          </w:tcPr>
          <w:p>
            <w:pPr>
              <w:pStyle w:val="null3"/>
            </w:pPr>
            <w:r>
              <w:rPr>
                <w:rFonts w:ascii="仿宋_GB2312" w:hAnsi="仿宋_GB2312" w:cs="仿宋_GB2312" w:eastAsia="仿宋_GB2312"/>
              </w:rPr>
              <w:t>本项目不接受联合体协商。</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协商小组根据“财库〔2026〕2号”文件认为供应商的报价明显低于其他实质性响应的供应商报价，有可能影响产品质量或者不能诚信履约的，协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协商小组要求的时间内通过项目电子化交易系统进行提交，否则提交的相关证明材料无效。供应商不能证明其报价合理性的，协商小组应当将其响应文件作为无效处理。</w:t>
            </w:r>
          </w:p>
        </w:tc>
        <w:tc>
          <w:tcPr>
            <w:tcW w:type="dxa" w:w="1661"/>
          </w:tcPr>
          <w:p>
            <w:pPr>
              <w:pStyle w:val="null3"/>
            </w:pPr>
            <w:r>
              <w:rPr>
                <w:rFonts w:ascii="仿宋_GB2312" w:hAnsi="仿宋_GB2312" w:cs="仿宋_GB2312" w:eastAsia="仿宋_GB2312"/>
              </w:rPr>
              <w:t>报价一览表.docx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响应文件封面 报价一览表.docx 中小企业声明函 残疾人福利性单位声明函 标的清单 报价表 响应函 商务偏离表.docx 服务偏离表.docx 资格证明文件.docx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协商报价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报价一览表.docx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自开标之日起不少于90个日历日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响应文件封面 报价一览表.docx 中小企业声明函 残疾人福利性单位声明函 标的清单 报价表 响应函 商务偏离表.docx 服务偏离表.docx 资格证明文件.docx 服务方案.docx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采购文件商务条款</w:t>
            </w:r>
          </w:p>
        </w:tc>
        <w:tc>
          <w:tcPr>
            <w:tcW w:type="dxa" w:w="3322"/>
          </w:tcPr>
          <w:p>
            <w:pPr>
              <w:pStyle w:val="null3"/>
            </w:pPr>
            <w:r>
              <w:rPr>
                <w:rFonts w:ascii="仿宋_GB2312" w:hAnsi="仿宋_GB2312" w:cs="仿宋_GB2312" w:eastAsia="仿宋_GB2312"/>
              </w:rPr>
              <w:t>响应采购文件商务条款，无重大保留或偏差</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服务要求</w:t>
            </w:r>
          </w:p>
        </w:tc>
        <w:tc>
          <w:tcPr>
            <w:tcW w:type="dxa" w:w="3322"/>
          </w:tcPr>
          <w:p>
            <w:pPr>
              <w:pStyle w:val="null3"/>
            </w:pPr>
            <w:r>
              <w:rPr>
                <w:rFonts w:ascii="仿宋_GB2312" w:hAnsi="仿宋_GB2312" w:cs="仿宋_GB2312" w:eastAsia="仿宋_GB2312"/>
              </w:rPr>
              <w:t>供应商服务须完全满足采购文件要求，否则其响应文件作为无效处理</w:t>
            </w:r>
          </w:p>
        </w:tc>
        <w:tc>
          <w:tcPr>
            <w:tcW w:type="dxa" w:w="1661"/>
          </w:tcPr>
          <w:p>
            <w:pPr>
              <w:pStyle w:val="null3"/>
            </w:pPr>
            <w:r>
              <w:rPr>
                <w:rFonts w:ascii="仿宋_GB2312" w:hAnsi="仿宋_GB2312" w:cs="仿宋_GB2312" w:eastAsia="仿宋_GB2312"/>
              </w:rPr>
              <w:t>响应文件封面 报价一览表.docx 中小企业声明函 残疾人福利性单位声明函 标的清单 报价表 响应函 商务偏离表.docx 服务偏离表.docx 资格证明文件.docx 服务方案.docx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无不符合法律法规或采购文件规定的投标无效条款</w:t>
            </w:r>
          </w:p>
        </w:tc>
        <w:tc>
          <w:tcPr>
            <w:tcW w:type="dxa" w:w="1661"/>
          </w:tcPr>
          <w:p>
            <w:pPr>
              <w:pStyle w:val="null3"/>
            </w:pPr>
            <w:r>
              <w:rPr>
                <w:rFonts w:ascii="仿宋_GB2312" w:hAnsi="仿宋_GB2312" w:cs="仿宋_GB2312" w:eastAsia="仿宋_GB2312"/>
              </w:rPr>
              <w:t>响应文件封面 报价一览表.docx 中小企业声明函 残疾人福利性单位声明函 标的清单 报价表 响应函 商务偏离表.docx 服务偏离表.docx 资格证明文件.docx 服务方案.docx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详见附件：服务偏离表.docx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