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版本号：ZMZB2026XBFY--81.1B120260604001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智算基础平台项目(二次)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ZMZB2026XBFY--81.1B1</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智算基础平台项目(二次)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ZMZB2026XBFY--81.1B1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智算基础平台项目(二次)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智算基础平台项目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提供2025年1月（含1月）以后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寇老师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89550667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代理服务费收费标准：参照国家计委颁发的《招标代理服务收费管理暂行办法》（计价格[2002]1980号）和《关于招标代理服务收费有关问题的通知》（发改办价格[2003]857号）的标准下浮20%计算。 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踏勘时间：2026-06-12 09:30:00</w:t>
            </w:r>
          </w:p>
          <w:p>
            <w:pPr>
              <w:pStyle w:val="null3"/>
              <w:ind w:firstLine="975"/>
            </w:pPr>
            <w:r>
              <w:rPr>
                <w:rFonts w:ascii="仿宋_GB2312" w:hAnsi="仿宋_GB2312" w:cs="仿宋_GB2312" w:eastAsia="仿宋_GB2312"/>
              </w:rPr>
              <w:t>踏勘地点：西北妇女儿童医院曲江院区门诊四楼远程会诊中心信息科机房</w:t>
            </w:r>
          </w:p>
          <w:p>
            <w:pPr>
              <w:pStyle w:val="null3"/>
              <w:ind w:firstLine="975"/>
            </w:pPr>
            <w:r>
              <w:rPr>
                <w:rFonts w:ascii="仿宋_GB2312" w:hAnsi="仿宋_GB2312" w:cs="仿宋_GB2312" w:eastAsia="仿宋_GB2312"/>
              </w:rPr>
              <w:t>联系人：董菊莉 吴敉</w:t>
            </w:r>
          </w:p>
          <w:p>
            <w:pPr>
              <w:pStyle w:val="null3"/>
              <w:ind w:firstLine="975"/>
            </w:pPr>
            <w:r>
              <w:rPr>
                <w:rFonts w:ascii="仿宋_GB2312" w:hAnsi="仿宋_GB2312" w:cs="仿宋_GB2312" w:eastAsia="仿宋_GB2312"/>
              </w:rPr>
              <w:t>联系电话号码：17778966062</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联系电话：029-81875979</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本次采购为智算基础平台建设交钥匙工程，采购标的清单如表1所示，所有未明确提及但项目实施必需的辅材、施工、服务均包含在采购范围内，采购人不再追加任何经费。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5,900,000.00</w:t>
      </w:r>
    </w:p>
    <w:p>
      <w:pPr>
        <w:pStyle w:val="null3"/>
      </w:pPr>
      <w:r>
        <w:rPr>
          <w:rFonts w:ascii="仿宋_GB2312" w:hAnsi="仿宋_GB2312" w:cs="仿宋_GB2312" w:eastAsia="仿宋_GB2312"/>
        </w:rPr>
        <w:t>采购包最高限价（元）: 5,900,000.00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智算基础平台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5,900,000.00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标的名称：智算基础平台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w:t>
            </w:r>
            <w:r>
              <w:rPr>
                <w:rFonts w:ascii="仿宋_GB2312" w:hAnsi="仿宋_GB2312" w:cs="仿宋_GB2312" w:eastAsia="仿宋_GB2312"/>
                <w:sz w:val="20"/>
              </w:rPr>
              <w:t>采购标的清单</w:t>
            </w:r>
          </w:p>
          <w:p>
            <w:pPr>
              <w:pStyle w:val="null3"/>
              <w:ind w:firstLine="400"/>
              <w:jc w:val="both"/>
            </w:pPr>
            <w:r>
              <w:rPr>
                <w:rFonts w:ascii="仿宋_GB2312" w:hAnsi="仿宋_GB2312" w:cs="仿宋_GB2312" w:eastAsia="仿宋_GB2312"/>
                <w:sz w:val="20"/>
              </w:rPr>
              <w:t>本次采购为智算</w:t>
            </w:r>
            <w:r>
              <w:rPr>
                <w:rFonts w:ascii="仿宋_GB2312" w:hAnsi="仿宋_GB2312" w:cs="仿宋_GB2312" w:eastAsia="仿宋_GB2312"/>
                <w:sz w:val="20"/>
              </w:rPr>
              <w:t>基础</w:t>
            </w:r>
            <w:r>
              <w:rPr>
                <w:rFonts w:ascii="仿宋_GB2312" w:hAnsi="仿宋_GB2312" w:cs="仿宋_GB2312" w:eastAsia="仿宋_GB2312"/>
                <w:sz w:val="20"/>
              </w:rPr>
              <w:t>平台建设交钥匙工程，采购标的</w:t>
            </w:r>
            <w:r>
              <w:rPr>
                <w:rFonts w:ascii="仿宋_GB2312" w:hAnsi="仿宋_GB2312" w:cs="仿宋_GB2312" w:eastAsia="仿宋_GB2312"/>
                <w:sz w:val="20"/>
              </w:rPr>
              <w:t>清单如表</w:t>
            </w:r>
            <w:r>
              <w:rPr>
                <w:rFonts w:ascii="仿宋_GB2312" w:hAnsi="仿宋_GB2312" w:cs="仿宋_GB2312" w:eastAsia="仿宋_GB2312"/>
                <w:sz w:val="20"/>
              </w:rPr>
              <w:t>1所示</w:t>
            </w:r>
            <w:r>
              <w:rPr>
                <w:rFonts w:ascii="仿宋_GB2312" w:hAnsi="仿宋_GB2312" w:cs="仿宋_GB2312" w:eastAsia="仿宋_GB2312"/>
                <w:sz w:val="20"/>
              </w:rPr>
              <w:t>，所有未明确提及但项目实施必需的辅材、施工、服务均包含在采购范围内，采购人不再追加任何经费。</w:t>
            </w:r>
          </w:p>
          <w:p>
            <w:pPr>
              <w:pStyle w:val="null3"/>
              <w:ind w:firstLine="400"/>
              <w:jc w:val="both"/>
            </w:pPr>
            <w:r>
              <w:rPr>
                <w:rFonts w:ascii="仿宋_GB2312" w:hAnsi="仿宋_GB2312" w:cs="仿宋_GB2312" w:eastAsia="仿宋_GB2312"/>
                <w:sz w:val="20"/>
              </w:rPr>
              <w:t>二、</w:t>
            </w:r>
            <w:r>
              <w:rPr>
                <w:rFonts w:ascii="仿宋_GB2312" w:hAnsi="仿宋_GB2312" w:cs="仿宋_GB2312" w:eastAsia="仿宋_GB2312"/>
                <w:sz w:val="20"/>
              </w:rPr>
              <w:t>技术规范要求</w:t>
            </w:r>
          </w:p>
          <w:p>
            <w:pPr>
              <w:pStyle w:val="null3"/>
              <w:ind w:firstLine="400"/>
              <w:jc w:val="both"/>
            </w:pPr>
            <w:r>
              <w:rPr>
                <w:rFonts w:ascii="仿宋_GB2312" w:hAnsi="仿宋_GB2312" w:cs="仿宋_GB2312" w:eastAsia="仿宋_GB2312"/>
                <w:sz w:val="20"/>
              </w:rPr>
              <w:t>本次采购所有产品须符合国家现行有效法律法规、行业标准及技术规范，包括但不限于：</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GB/T30971-2024《信息技术软件产品质量要求与评价》</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GB/T9813.3-2017《计算机通用规范第3部分：服务器》</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GB/T38675-2020信息技术大数据计算系统通用要求</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国家及行业现行有效的计算机软硬件、信息系统建设相关规范与标准</w:t>
            </w:r>
          </w:p>
          <w:tbl>
            <w:tblPr>
              <w:tblInd w:type="dxa" w:w="120"/>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序号</w:t>
                  </w:r>
                </w:p>
              </w:tc>
              <w:tc>
                <w:tcPr>
                  <w:tcW w:type="dxa" w:w="63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产品名称</w:t>
                  </w:r>
                </w:p>
              </w:tc>
              <w:tc>
                <w:tcPr>
                  <w:tcW w:type="dxa" w:w="63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单位</w:t>
                  </w:r>
                </w:p>
              </w:tc>
              <w:tc>
                <w:tcPr>
                  <w:tcW w:type="dxa" w:w="63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数量</w:t>
                  </w:r>
                </w:p>
              </w:tc>
            </w:tr>
            <w:tr>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AI训推服务器（核心产品）</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台</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3</w:t>
                  </w:r>
                </w:p>
              </w:tc>
            </w:tr>
            <w:tr>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算力管理平台</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套</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r>
            <w:tr>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3</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业务交换机</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台</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w:t>
                  </w:r>
                </w:p>
              </w:tc>
            </w:tr>
            <w:tr>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4</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管理交换机</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台</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r>
            <w:tr>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5</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光纤交换机</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台</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w:t>
                  </w:r>
                </w:p>
              </w:tc>
            </w:tr>
            <w:tr>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通用计算管理节点</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台</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4</w:t>
                  </w:r>
                </w:p>
              </w:tc>
            </w:tr>
            <w:tr>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7</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全闪存存储节点</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台</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r>
            <w:tr>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8</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虚拟化软件</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套</w:t>
                  </w:r>
                </w:p>
              </w:tc>
              <w:tc>
                <w:tcPr>
                  <w:tcW w:type="dxa" w:w="63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r>
          </w:tbl>
          <w:p>
            <w:pPr>
              <w:pStyle w:val="null3"/>
            </w:pPr>
            <w:r>
              <w:rPr>
                <w:rFonts w:ascii="仿宋_GB2312" w:hAnsi="仿宋_GB2312" w:cs="仿宋_GB2312" w:eastAsia="仿宋_GB2312"/>
                <w:sz w:val="20"/>
              </w:rPr>
              <w:t>表</w:t>
            </w:r>
            <w:r>
              <w:rPr>
                <w:rFonts w:ascii="仿宋_GB2312" w:hAnsi="仿宋_GB2312" w:cs="仿宋_GB2312" w:eastAsia="仿宋_GB2312"/>
                <w:sz w:val="20"/>
              </w:rPr>
              <w:t>1  采购标的清单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三、采购产品技术参数要求</w:t>
            </w:r>
          </w:p>
          <w:tbl>
            <w:tblPr>
              <w:tblInd w:type="dxa" w:w="225"/>
              <w:tblBorders>
                <w:top w:val="none" w:color="000000" w:sz="4"/>
                <w:left w:val="none" w:color="000000" w:sz="4"/>
                <w:bottom w:val="none" w:color="000000" w:sz="4"/>
                <w:right w:val="none" w:color="000000" w:sz="4"/>
                <w:insideH w:val="none"/>
                <w:insideV w:val="none"/>
              </w:tblBorders>
            </w:tblPr>
            <w:tblGrid>
              <w:gridCol w:w="182"/>
              <w:gridCol w:w="347"/>
              <w:gridCol w:w="182"/>
              <w:gridCol w:w="1826"/>
            </w:tblGrid>
            <w:tr>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技术参数与要求</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AI训推服务器</w:t>
                  </w:r>
                  <w:r>
                    <w:rPr>
                      <w:rFonts w:ascii="仿宋_GB2312" w:hAnsi="仿宋_GB2312" w:cs="仿宋_GB2312" w:eastAsia="仿宋_GB2312"/>
                      <w:sz w:val="21"/>
                    </w:rPr>
                    <w:t>（</w:t>
                  </w:r>
                  <w:r>
                    <w:rPr>
                      <w:rFonts w:ascii="仿宋_GB2312" w:hAnsi="仿宋_GB2312" w:cs="仿宋_GB2312" w:eastAsia="仿宋_GB2312"/>
                      <w:sz w:val="21"/>
                    </w:rPr>
                    <w:t>核心产品</w:t>
                  </w:r>
                  <w:r>
                    <w:rPr>
                      <w:rFonts w:ascii="仿宋_GB2312" w:hAnsi="仿宋_GB2312" w:cs="仿宋_GB2312" w:eastAsia="仿宋_GB2312"/>
                      <w:sz w:val="21"/>
                    </w:rPr>
                    <w:t>）</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3台</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整机规格：机架式服务器，整机高度</w:t>
                  </w:r>
                  <w:r>
                    <w:rPr>
                      <w:rFonts w:ascii="仿宋_GB2312" w:hAnsi="仿宋_GB2312" w:cs="仿宋_GB2312" w:eastAsia="仿宋_GB2312"/>
                      <w:sz w:val="21"/>
                    </w:rPr>
                    <w:t>≤4U;</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CPU配置：配置≥4颗处理器，单颗CPU主频≥2.6GHz，单颗物理核心数≥48核；处理器须通过中国信息安全测评中心安全可靠测评，提供官网证明截图；</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内存配置：整机内存容量</w:t>
                  </w:r>
                  <w:r>
                    <w:rPr>
                      <w:rFonts w:ascii="仿宋_GB2312" w:hAnsi="仿宋_GB2312" w:cs="仿宋_GB2312" w:eastAsia="仿宋_GB2312"/>
                      <w:sz w:val="21"/>
                    </w:rPr>
                    <w:t>≥1TB；</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硬盘配置：配置</w:t>
                  </w:r>
                  <w:r>
                    <w:rPr>
                      <w:rFonts w:ascii="仿宋_GB2312" w:hAnsi="仿宋_GB2312" w:cs="仿宋_GB2312" w:eastAsia="仿宋_GB2312"/>
                      <w:sz w:val="21"/>
                    </w:rPr>
                    <w:t>≥2块960GBSATASSD</w:t>
                  </w:r>
                  <w:r>
                    <w:rPr>
                      <w:rFonts w:ascii="仿宋_GB2312" w:hAnsi="仿宋_GB2312" w:cs="仿宋_GB2312" w:eastAsia="仿宋_GB2312"/>
                      <w:sz w:val="21"/>
                    </w:rPr>
                    <w:t>固态</w:t>
                  </w:r>
                  <w:r>
                    <w:rPr>
                      <w:rFonts w:ascii="仿宋_GB2312" w:hAnsi="仿宋_GB2312" w:cs="仿宋_GB2312" w:eastAsia="仿宋_GB2312"/>
                      <w:sz w:val="21"/>
                    </w:rPr>
                    <w:t>硬盘，</w:t>
                  </w:r>
                  <w:r>
                    <w:rPr>
                      <w:rFonts w:ascii="仿宋_GB2312" w:hAnsi="仿宋_GB2312" w:cs="仿宋_GB2312" w:eastAsia="仿宋_GB2312"/>
                      <w:sz w:val="21"/>
                    </w:rPr>
                    <w:t>≥2块3.84TBNVMeSSD</w:t>
                  </w:r>
                  <w:r>
                    <w:rPr>
                      <w:rFonts w:ascii="仿宋_GB2312" w:hAnsi="仿宋_GB2312" w:cs="仿宋_GB2312" w:eastAsia="仿宋_GB2312"/>
                      <w:sz w:val="21"/>
                    </w:rPr>
                    <w:t>固态</w:t>
                  </w:r>
                  <w:r>
                    <w:rPr>
                      <w:rFonts w:ascii="仿宋_GB2312" w:hAnsi="仿宋_GB2312" w:cs="仿宋_GB2312" w:eastAsia="仿宋_GB2312"/>
                      <w:sz w:val="21"/>
                    </w:rPr>
                    <w:t>硬盘；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算力配置</w:t>
                  </w:r>
                  <w:r>
                    <w:rPr>
                      <w:rFonts w:ascii="仿宋_GB2312" w:hAnsi="仿宋_GB2312" w:cs="仿宋_GB2312" w:eastAsia="仿宋_GB2312"/>
                      <w:sz w:val="21"/>
                    </w:rPr>
                    <w:t>：配置</w:t>
                  </w:r>
                  <w:r>
                    <w:rPr>
                      <w:rFonts w:ascii="仿宋_GB2312" w:hAnsi="仿宋_GB2312" w:cs="仿宋_GB2312" w:eastAsia="仿宋_GB2312"/>
                      <w:sz w:val="21"/>
                    </w:rPr>
                    <w:t>≥8颗AI处理器，单卡算力≥280TFLOPSFP16、≥75TFLOPSFP32；单卡显存≥64GBHBM；8颗AI处理器支持全网状互联，互联带宽≥390GB/s；AI算力卡直出≥8个200GE光口，每端口配置对应200GE多模光模块；</w:t>
                  </w:r>
                </w:p>
                <w:p>
                  <w:pPr>
                    <w:pStyle w:val="null3"/>
                    <w:jc w:val="both"/>
                  </w:pPr>
                  <w:r>
                    <w:rPr>
                      <w:rFonts w:ascii="仿宋_GB2312" w:hAnsi="仿宋_GB2312" w:cs="仿宋_GB2312" w:eastAsia="仿宋_GB2312"/>
                      <w:sz w:val="21"/>
                    </w:rPr>
                    <w:t>6.散热：配置≥8个热插拔风扇模组，N+1冗余；</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网卡配置：配置</w:t>
                  </w:r>
                  <w:r>
                    <w:rPr>
                      <w:rFonts w:ascii="仿宋_GB2312" w:hAnsi="仿宋_GB2312" w:cs="仿宋_GB2312" w:eastAsia="仿宋_GB2312"/>
                      <w:sz w:val="21"/>
                    </w:rPr>
                    <w:t>≥2个千兆电口，≥4个25GE光口（含对应多模光模块）；</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RAID配置：配置≥1张RAID卡，缓存≥2GB，支持RAID0、1、5、6、10、50、60等级别，配置超级电容保护；</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电源配置：配置</w:t>
                  </w:r>
                  <w:r>
                    <w:rPr>
                      <w:rFonts w:ascii="仿宋_GB2312" w:hAnsi="仿宋_GB2312" w:cs="仿宋_GB2312" w:eastAsia="仿宋_GB2312"/>
                      <w:sz w:val="21"/>
                    </w:rPr>
                    <w:t>≥2+2冗余热插拔电源，设备整体功率≤6000W；</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算力管理平台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基础授权：提供本次采购</w:t>
                  </w:r>
                  <w:r>
                    <w:rPr>
                      <w:rFonts w:ascii="仿宋_GB2312" w:hAnsi="仿宋_GB2312" w:cs="仿宋_GB2312" w:eastAsia="仿宋_GB2312"/>
                      <w:sz w:val="21"/>
                    </w:rPr>
                    <w:t>3台AI训推服务器节点对应的永久授权许可；</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预置模型能力：支持覆盖多个主流开源模型，按任务类型覆盖：全面涵盖大语言模型、向量嵌入模型、重排序模型等核心任务类型模型，满足不同</w:t>
                  </w:r>
                  <w:r>
                    <w:rPr>
                      <w:rFonts w:ascii="仿宋_GB2312" w:hAnsi="仿宋_GB2312" w:cs="仿宋_GB2312" w:eastAsia="仿宋_GB2312"/>
                      <w:sz w:val="21"/>
                    </w:rPr>
                    <w:t>AI业务场景的任务执行需求，适配文本生成、语义检索、结果排序等多样化任务。按模态覆盖：实现多模态模型全场景覆盖，包含文本、图像、音频、视频多类模态模型，打通单模态与多模态AI应用开发的模型供给，支撑文本处理、图像生成、音频解析、视频理解等全品类AI任务落地</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数据管理：支持对大模型</w:t>
                  </w:r>
                  <w:r>
                    <w:rPr>
                      <w:rFonts w:ascii="仿宋_GB2312" w:hAnsi="仿宋_GB2312" w:cs="仿宋_GB2312" w:eastAsia="仿宋_GB2312"/>
                      <w:sz w:val="21"/>
                    </w:rPr>
                    <w:t>“文本生成-SFT”、“文本生成-DPO偏好对齐”样本标注，支持“图片-图片分类”、“图片-目标检测”、“图片</w:t>
                  </w:r>
                  <w:r>
                    <w:rPr>
                      <w:rFonts w:ascii="仿宋_GB2312" w:hAnsi="仿宋_GB2312" w:cs="仿宋_GB2312" w:eastAsia="仿宋_GB2312"/>
                      <w:sz w:val="21"/>
                    </w:rPr>
                    <w:t>－</w:t>
                  </w:r>
                  <w:r>
                    <w:rPr>
                      <w:rFonts w:ascii="仿宋_GB2312" w:hAnsi="仿宋_GB2312" w:cs="仿宋_GB2312" w:eastAsia="仿宋_GB2312"/>
                      <w:sz w:val="21"/>
                    </w:rPr>
                    <w:t>语义分隔</w:t>
                  </w:r>
                  <w:r>
                    <w:rPr>
                      <w:rFonts w:ascii="仿宋_GB2312" w:hAnsi="仿宋_GB2312" w:cs="仿宋_GB2312" w:eastAsia="仿宋_GB2312"/>
                      <w:sz w:val="21"/>
                    </w:rPr>
                    <w:t>”样本标注</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算法开发：支持</w:t>
                  </w:r>
                  <w:r>
                    <w:rPr>
                      <w:rFonts w:ascii="仿宋_GB2312" w:hAnsi="仿宋_GB2312" w:cs="仿宋_GB2312" w:eastAsia="仿宋_GB2312"/>
                      <w:sz w:val="21"/>
                    </w:rPr>
                    <w:t>WEB在线开发环境，提供Notebook（Jupyter）交互式编程环境</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模型训练：支持通过训练模板创建训练任务，在提升模型开发效率的同时保障项目质量；支持编辑、删除任务模板；支持将训练任务保存为模板</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模型部署能力：支持用户在部署模型时按需灵活选择推理引擎（包括</w:t>
                  </w:r>
                  <w:r>
                    <w:rPr>
                      <w:rFonts w:ascii="仿宋_GB2312" w:hAnsi="仿宋_GB2312" w:cs="仿宋_GB2312" w:eastAsia="仿宋_GB2312"/>
                      <w:sz w:val="21"/>
                    </w:rPr>
                    <w:t>但不</w:t>
                  </w:r>
                  <w:r>
                    <w:rPr>
                      <w:rFonts w:ascii="仿宋_GB2312" w:hAnsi="仿宋_GB2312" w:cs="仿宋_GB2312" w:eastAsia="仿宋_GB2312"/>
                      <w:sz w:val="21"/>
                    </w:rPr>
                    <w:t>限于</w:t>
                  </w:r>
                  <w:r>
                    <w:rPr>
                      <w:rFonts w:ascii="仿宋_GB2312" w:hAnsi="仿宋_GB2312" w:cs="仿宋_GB2312" w:eastAsia="仿宋_GB2312"/>
                      <w:sz w:val="21"/>
                    </w:rPr>
                    <w:t>vLLM、Transformers、sentence-transformers</w:t>
                  </w:r>
                  <w:r>
                    <w:rPr>
                      <w:rFonts w:ascii="仿宋_GB2312" w:hAnsi="仿宋_GB2312" w:cs="仿宋_GB2312" w:eastAsia="仿宋_GB2312"/>
                      <w:sz w:val="21"/>
                    </w:rPr>
                    <w:t>、</w:t>
                  </w:r>
                  <w:r>
                    <w:rPr>
                      <w:rFonts w:ascii="仿宋_GB2312" w:hAnsi="仿宋_GB2312" w:cs="仿宋_GB2312" w:eastAsia="仿宋_GB2312"/>
                      <w:sz w:val="21"/>
                    </w:rPr>
                    <w:t>text-embedding-inference等）、模型版本、部署卡资源（如GPU/NPU序号）、模型权重地址等参数；支持灵活切换与重部署；可灵活配置</w:t>
                  </w:r>
                  <w:r>
                    <w:rPr>
                      <w:rFonts w:ascii="仿宋_GB2312" w:hAnsi="仿宋_GB2312" w:cs="仿宋_GB2312" w:eastAsia="仿宋_GB2312"/>
                      <w:sz w:val="21"/>
                    </w:rPr>
                    <w:t>多个</w:t>
                  </w:r>
                  <w:r>
                    <w:rPr>
                      <w:rFonts w:ascii="仿宋_GB2312" w:hAnsi="仿宋_GB2312" w:cs="仿宋_GB2312" w:eastAsia="仿宋_GB2312"/>
                      <w:sz w:val="21"/>
                    </w:rPr>
                    <w:t>副本，并按需配置每个副本的节点</w:t>
                  </w:r>
                  <w:r>
                    <w:rPr>
                      <w:rFonts w:ascii="仿宋_GB2312" w:hAnsi="仿宋_GB2312" w:cs="仿宋_GB2312" w:eastAsia="仿宋_GB2312"/>
                      <w:sz w:val="21"/>
                    </w:rPr>
                    <w:t>IP，名称，模型地址等；在资源允许的情况下，可单卡运行多个模型实例；</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自定义模型注册能力：支持用户根据实际情况输入模型名称、描述、上下文长度、语言、属性（如</w:t>
                  </w:r>
                  <w:r>
                    <w:rPr>
                      <w:rFonts w:ascii="仿宋_GB2312" w:hAnsi="仿宋_GB2312" w:cs="仿宋_GB2312" w:eastAsia="仿宋_GB2312"/>
                      <w:sz w:val="21"/>
                    </w:rPr>
                    <w:t>LLM/Embedding/Rerank）、Family、格式（如Pytorch、GGML、GGUF等）、路径、参数量等字段，完成模型注册与平台接入；对于大语言模型和多模态模型，在注册中支持对模型的chat_templates</w:t>
                  </w:r>
                  <w:r>
                    <w:rPr>
                      <w:rFonts w:ascii="仿宋_GB2312" w:hAnsi="仿宋_GB2312" w:cs="仿宋_GB2312" w:eastAsia="仿宋_GB2312"/>
                      <w:sz w:val="21"/>
                    </w:rPr>
                    <w:t>、</w:t>
                  </w:r>
                  <w:r>
                    <w:rPr>
                      <w:rFonts w:ascii="仿宋_GB2312" w:hAnsi="仿宋_GB2312" w:cs="仿宋_GB2312" w:eastAsia="仿宋_GB2312"/>
                      <w:sz w:val="21"/>
                    </w:rPr>
                    <w:t>eos_token等模型元数据部分自定义和测试；</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模型实例扩缩容能力：支持对已部署模型服务实例进行多副本的弹性扩缩容操作，保障推理服务的性能稳定和资源负载均衡；多副本对外统一暴露同一</w:t>
                  </w:r>
                  <w:r>
                    <w:rPr>
                      <w:rFonts w:ascii="仿宋_GB2312" w:hAnsi="仿宋_GB2312" w:cs="仿宋_GB2312" w:eastAsia="仿宋_GB2312"/>
                      <w:sz w:val="21"/>
                    </w:rPr>
                    <w:t>API地址；</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实例</w:t>
                  </w:r>
                  <w:r>
                    <w:rPr>
                      <w:rFonts w:ascii="仿宋_GB2312" w:hAnsi="仿宋_GB2312" w:cs="仿宋_GB2312" w:eastAsia="仿宋_GB2312"/>
                      <w:sz w:val="21"/>
                    </w:rPr>
                    <w:t>API与密钥获取能力</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平台实时管理能力：支持实时展示运行中模型实例的</w:t>
                  </w:r>
                  <w:r>
                    <w:rPr>
                      <w:rFonts w:ascii="仿宋_GB2312" w:hAnsi="仿宋_GB2312" w:cs="仿宋_GB2312" w:eastAsia="仿宋_GB2312"/>
                      <w:sz w:val="21"/>
                    </w:rPr>
                    <w:t>GPU</w:t>
                  </w:r>
                  <w:r>
                    <w:rPr>
                      <w:rFonts w:ascii="仿宋_GB2312" w:hAnsi="仿宋_GB2312" w:cs="仿宋_GB2312" w:eastAsia="仿宋_GB2312"/>
                      <w:sz w:val="21"/>
                    </w:rPr>
                    <w:t>数量、实时处理</w:t>
                  </w:r>
                  <w:r>
                    <w:rPr>
                      <w:rFonts w:ascii="仿宋_GB2312" w:hAnsi="仿宋_GB2312" w:cs="仿宋_GB2312" w:eastAsia="仿宋_GB2312"/>
                      <w:sz w:val="21"/>
                    </w:rPr>
                    <w:t>tokens</w:t>
                  </w:r>
                  <w:r>
                    <w:rPr>
                      <w:rFonts w:ascii="仿宋_GB2312" w:hAnsi="仿宋_GB2312" w:cs="仿宋_GB2312" w:eastAsia="仿宋_GB2312"/>
                      <w:sz w:val="21"/>
                    </w:rPr>
                    <w:t>数、</w:t>
                  </w:r>
                  <w:r>
                    <w:rPr>
                      <w:rFonts w:ascii="仿宋_GB2312" w:hAnsi="仿宋_GB2312" w:cs="仿宋_GB2312" w:eastAsia="仿宋_GB2312"/>
                      <w:sz w:val="21"/>
                    </w:rPr>
                    <w:t>GPU</w:t>
                  </w:r>
                  <w:r>
                    <w:rPr>
                      <w:rFonts w:ascii="仿宋_GB2312" w:hAnsi="仿宋_GB2312" w:cs="仿宋_GB2312" w:eastAsia="仿宋_GB2312"/>
                      <w:sz w:val="21"/>
                    </w:rPr>
                    <w:t>使用率、输入输出</w:t>
                  </w:r>
                  <w:r>
                    <w:rPr>
                      <w:rFonts w:ascii="仿宋_GB2312" w:hAnsi="仿宋_GB2312" w:cs="仿宋_GB2312" w:eastAsia="仿宋_GB2312"/>
                      <w:sz w:val="21"/>
                    </w:rPr>
                    <w:t>tokens</w:t>
                  </w:r>
                  <w:r>
                    <w:rPr>
                      <w:rFonts w:ascii="仿宋_GB2312" w:hAnsi="仿宋_GB2312" w:cs="仿宋_GB2312" w:eastAsia="仿宋_GB2312"/>
                      <w:sz w:val="21"/>
                    </w:rPr>
                    <w:t>数及其趋势图；支持图形化界面展示与资源使用情况；在多用户多组群时，支持</w:t>
                  </w:r>
                  <w:r>
                    <w:rPr>
                      <w:rFonts w:ascii="仿宋_GB2312" w:hAnsi="仿宋_GB2312" w:cs="仿宋_GB2312" w:eastAsia="仿宋_GB2312"/>
                      <w:sz w:val="21"/>
                    </w:rPr>
                    <w:t>不同用户</w:t>
                  </w:r>
                  <w:r>
                    <w:rPr>
                      <w:rFonts w:ascii="仿宋_GB2312" w:hAnsi="仿宋_GB2312" w:cs="仿宋_GB2312" w:eastAsia="仿宋_GB2312"/>
                      <w:sz w:val="21"/>
                    </w:rPr>
                    <w:t>、</w:t>
                  </w:r>
                  <w:r>
                    <w:rPr>
                      <w:rFonts w:ascii="仿宋_GB2312" w:hAnsi="仿宋_GB2312" w:cs="仿宋_GB2312" w:eastAsia="仿宋_GB2312"/>
                      <w:sz w:val="21"/>
                    </w:rPr>
                    <w:t>不同用户组</w:t>
                  </w:r>
                  <w:r>
                    <w:rPr>
                      <w:rFonts w:ascii="仿宋_GB2312" w:hAnsi="仿宋_GB2312" w:cs="仿宋_GB2312" w:eastAsia="仿宋_GB2312"/>
                      <w:sz w:val="21"/>
                    </w:rPr>
                    <w:t>tokens的用量统计。</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业务</w:t>
                  </w:r>
                </w:p>
                <w:p>
                  <w:pPr>
                    <w:pStyle w:val="null3"/>
                    <w:jc w:val="center"/>
                  </w:pPr>
                  <w:r>
                    <w:rPr>
                      <w:rFonts w:ascii="仿宋_GB2312" w:hAnsi="仿宋_GB2312" w:cs="仿宋_GB2312" w:eastAsia="仿宋_GB2312"/>
                      <w:sz w:val="21"/>
                    </w:rPr>
                    <w:t>交换机</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台</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核心性能与端口</w:t>
                  </w:r>
                  <w:r>
                    <w:rPr>
                      <w:rFonts w:ascii="仿宋_GB2312" w:hAnsi="仿宋_GB2312" w:cs="仿宋_GB2312" w:eastAsia="仿宋_GB2312"/>
                      <w:sz w:val="21"/>
                    </w:rPr>
                    <w:t>：整机交换容量</w:t>
                  </w:r>
                  <w:r>
                    <w:rPr>
                      <w:rFonts w:ascii="仿宋_GB2312" w:hAnsi="仿宋_GB2312" w:cs="仿宋_GB2312" w:eastAsia="仿宋_GB2312"/>
                      <w:sz w:val="21"/>
                    </w:rPr>
                    <w:t>≥8Tbps，包转发率≥2400Mpps；配置≥6个100GEQSFP28光接口（兼容40GE），≥48个25GE光接口</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光模块配置</w:t>
                  </w:r>
                  <w:r>
                    <w:rPr>
                      <w:rFonts w:ascii="仿宋_GB2312" w:hAnsi="仿宋_GB2312" w:cs="仿宋_GB2312" w:eastAsia="仿宋_GB2312"/>
                      <w:sz w:val="21"/>
                    </w:rPr>
                    <w:t>：配置</w:t>
                  </w:r>
                  <w:r>
                    <w:rPr>
                      <w:rFonts w:ascii="仿宋_GB2312" w:hAnsi="仿宋_GB2312" w:cs="仿宋_GB2312" w:eastAsia="仿宋_GB2312"/>
                      <w:sz w:val="21"/>
                    </w:rPr>
                    <w:t>≥4个100GEQSFP28多模光模块，≥32个25GE多模光模块；</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电源与风扇</w:t>
                  </w:r>
                  <w:r>
                    <w:rPr>
                      <w:rFonts w:ascii="仿宋_GB2312" w:hAnsi="仿宋_GB2312" w:cs="仿宋_GB2312" w:eastAsia="仿宋_GB2312"/>
                      <w:sz w:val="21"/>
                    </w:rPr>
                    <w:t>：配置</w:t>
                  </w:r>
                  <w:r>
                    <w:rPr>
                      <w:rFonts w:ascii="仿宋_GB2312" w:hAnsi="仿宋_GB2312" w:cs="仿宋_GB2312" w:eastAsia="仿宋_GB2312"/>
                      <w:sz w:val="21"/>
                    </w:rPr>
                    <w:t>≥2个冗余电源，≥5个可热插拔风扇盒；</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管理</w:t>
                  </w:r>
                </w:p>
                <w:p>
                  <w:pPr>
                    <w:pStyle w:val="null3"/>
                    <w:jc w:val="center"/>
                  </w:pPr>
                  <w:r>
                    <w:rPr>
                      <w:rFonts w:ascii="仿宋_GB2312" w:hAnsi="仿宋_GB2312" w:cs="仿宋_GB2312" w:eastAsia="仿宋_GB2312"/>
                      <w:sz w:val="21"/>
                    </w:rPr>
                    <w:t>交换机</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核心性能与端口：整机交换容量</w:t>
                  </w:r>
                  <w:r>
                    <w:rPr>
                      <w:rFonts w:ascii="仿宋_GB2312" w:hAnsi="仿宋_GB2312" w:cs="仿宋_GB2312" w:eastAsia="仿宋_GB2312"/>
                      <w:sz w:val="21"/>
                    </w:rPr>
                    <w:t>≥670Gbps，包转发率≥200Mpps；配置≥4个10GESFP+光口（含4个万兆多模光模块），≥48个GE电口；</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电源配置：配置</w:t>
                  </w:r>
                  <w:r>
                    <w:rPr>
                      <w:rFonts w:ascii="仿宋_GB2312" w:hAnsi="仿宋_GB2312" w:cs="仿宋_GB2312" w:eastAsia="仿宋_GB2312"/>
                      <w:sz w:val="21"/>
                    </w:rPr>
                    <w:t>≥2个冗余电源；</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系统功能：支持</w:t>
                  </w:r>
                  <w:r>
                    <w:rPr>
                      <w:rFonts w:ascii="仿宋_GB2312" w:hAnsi="仿宋_GB2312" w:cs="仿宋_GB2312" w:eastAsia="仿宋_GB2312"/>
                      <w:sz w:val="21"/>
                    </w:rPr>
                    <w:t>VLAN划分、ACL访问控制、SNMP网络管理、静态路由与基础动态路由协议，满足带外设备管理需求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三层功能</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RIP、OSPF、ISIS、BGP等IPv4动态路由协议</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RIPng、OSPFv3、ISISv6、BGP4+等IPv6动态路由协议</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SNMPV1/V2/V3、Telnet、RMON、SSH</w:t>
                  </w:r>
                  <w:r>
                    <w:rPr>
                      <w:rFonts w:ascii="仿宋_GB2312" w:hAnsi="仿宋_GB2312" w:cs="仿宋_GB2312" w:eastAsia="仿宋_GB2312"/>
                      <w:sz w:val="21"/>
                    </w:rPr>
                    <w:t>；</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光纤</w:t>
                  </w:r>
                </w:p>
                <w:p>
                  <w:pPr>
                    <w:pStyle w:val="null3"/>
                    <w:jc w:val="center"/>
                  </w:pPr>
                  <w:r>
                    <w:rPr>
                      <w:rFonts w:ascii="仿宋_GB2312" w:hAnsi="仿宋_GB2312" w:cs="仿宋_GB2312" w:eastAsia="仿宋_GB2312"/>
                      <w:sz w:val="21"/>
                    </w:rPr>
                    <w:t>交换机</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端口配置：整机实配</w:t>
                  </w:r>
                  <w:r>
                    <w:rPr>
                      <w:rFonts w:ascii="仿宋_GB2312" w:hAnsi="仿宋_GB2312" w:cs="仿宋_GB2312" w:eastAsia="仿宋_GB2312"/>
                      <w:sz w:val="21"/>
                    </w:rPr>
                    <w:t>≥24个激活端口，含24个32Gb多模SFP+光模块；</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通用计算管理节点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台</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CPU配置：配置≥2颗处理器，单颗CPU主频≥2.6GHz，单颗物理核心数≥64核；处理器须通过中国信息安全测评中心安全可靠测评，提供官网证明截图；</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内存配置</w:t>
                  </w:r>
                  <w:r>
                    <w:rPr>
                      <w:rFonts w:ascii="仿宋_GB2312" w:hAnsi="仿宋_GB2312" w:cs="仿宋_GB2312" w:eastAsia="仿宋_GB2312"/>
                      <w:sz w:val="21"/>
                    </w:rPr>
                    <w:t>：</w:t>
                  </w:r>
                  <w:r>
                    <w:rPr>
                      <w:rFonts w:ascii="仿宋_GB2312" w:hAnsi="仿宋_GB2312" w:cs="仿宋_GB2312" w:eastAsia="仿宋_GB2312"/>
                      <w:sz w:val="21"/>
                    </w:rPr>
                    <w:t>整机内存容量</w:t>
                  </w:r>
                  <w:r>
                    <w:rPr>
                      <w:rFonts w:ascii="仿宋_GB2312" w:hAnsi="仿宋_GB2312" w:cs="仿宋_GB2312" w:eastAsia="仿宋_GB2312"/>
                      <w:sz w:val="21"/>
                    </w:rPr>
                    <w:t>≥512GB；</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硬盘配置：配置</w:t>
                  </w:r>
                  <w:r>
                    <w:rPr>
                      <w:rFonts w:ascii="仿宋_GB2312" w:hAnsi="仿宋_GB2312" w:cs="仿宋_GB2312" w:eastAsia="仿宋_GB2312"/>
                      <w:sz w:val="21"/>
                    </w:rPr>
                    <w:t>≥2块960GBSASSSD固态硬盘；</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网卡</w:t>
                  </w:r>
                  <w:r>
                    <w:rPr>
                      <w:rFonts w:ascii="仿宋_GB2312" w:hAnsi="仿宋_GB2312" w:cs="仿宋_GB2312" w:eastAsia="仿宋_GB2312"/>
                      <w:sz w:val="21"/>
                    </w:rPr>
                    <w:t>配置</w:t>
                  </w:r>
                  <w:r>
                    <w:rPr>
                      <w:rFonts w:ascii="仿宋_GB2312" w:hAnsi="仿宋_GB2312" w:cs="仿宋_GB2312" w:eastAsia="仿宋_GB2312"/>
                      <w:sz w:val="21"/>
                    </w:rPr>
                    <w:t>：配置</w:t>
                  </w:r>
                  <w:r>
                    <w:rPr>
                      <w:rFonts w:ascii="仿宋_GB2312" w:hAnsi="仿宋_GB2312" w:cs="仿宋_GB2312" w:eastAsia="仿宋_GB2312"/>
                      <w:sz w:val="21"/>
                    </w:rPr>
                    <w:t>≥4个千兆电口，≥4个25GE光口（含对应多模光模块）；≥2张32G</w:t>
                  </w:r>
                  <w:r>
                    <w:rPr>
                      <w:rFonts w:ascii="仿宋_GB2312" w:hAnsi="仿宋_GB2312" w:cs="仿宋_GB2312" w:eastAsia="仿宋_GB2312"/>
                      <w:sz w:val="21"/>
                    </w:rPr>
                    <w:t>b</w:t>
                  </w:r>
                  <w:r>
                    <w:rPr>
                      <w:rFonts w:ascii="仿宋_GB2312" w:hAnsi="仿宋_GB2312" w:cs="仿宋_GB2312" w:eastAsia="仿宋_GB2312"/>
                      <w:sz w:val="21"/>
                    </w:rPr>
                    <w:t>HBA卡（含对应多模光模块）；</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RAID配置：≥1张高性能RAID卡，缓存≥</w:t>
                  </w:r>
                  <w:r>
                    <w:rPr>
                      <w:rFonts w:ascii="仿宋_GB2312" w:hAnsi="仿宋_GB2312" w:cs="仿宋_GB2312" w:eastAsia="仿宋_GB2312"/>
                      <w:sz w:val="21"/>
                    </w:rPr>
                    <w:t>2</w:t>
                  </w:r>
                  <w:r>
                    <w:rPr>
                      <w:rFonts w:ascii="仿宋_GB2312" w:hAnsi="仿宋_GB2312" w:cs="仿宋_GB2312" w:eastAsia="仿宋_GB2312"/>
                      <w:sz w:val="21"/>
                    </w:rPr>
                    <w:t>GB，支持RA</w:t>
                  </w:r>
                  <w:r>
                    <w:rPr>
                      <w:rFonts w:ascii="仿宋_GB2312" w:hAnsi="仿宋_GB2312" w:cs="仿宋_GB2312" w:eastAsia="仿宋_GB2312"/>
                      <w:sz w:val="21"/>
                    </w:rPr>
                    <w:t>ID 0</w:t>
                  </w:r>
                  <w:r>
                    <w:rPr>
                      <w:rFonts w:ascii="仿宋_GB2312" w:hAnsi="仿宋_GB2312" w:cs="仿宋_GB2312" w:eastAsia="仿宋_GB2312"/>
                      <w:sz w:val="21"/>
                    </w:rPr>
                    <w:t>、</w:t>
                  </w:r>
                  <w:r>
                    <w:rPr>
                      <w:rFonts w:ascii="仿宋_GB2312" w:hAnsi="仿宋_GB2312" w:cs="仿宋_GB2312" w:eastAsia="仿宋_GB2312"/>
                      <w:sz w:val="21"/>
                    </w:rPr>
                    <w:t>1、5、6、10、50、60等级别，配置超级电容保护；</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电源配置：整机电源模块冗余配置；</w:t>
                  </w:r>
                </w:p>
                <w:p>
                  <w:pPr>
                    <w:pStyle w:val="null3"/>
                    <w:jc w:val="both"/>
                  </w:pPr>
                  <w:r>
                    <w:rPr>
                      <w:rFonts w:ascii="仿宋_GB2312" w:hAnsi="仿宋_GB2312" w:cs="仿宋_GB2312" w:eastAsia="仿宋_GB2312"/>
                      <w:sz w:val="21"/>
                    </w:rPr>
                    <w:t>7.散热：配置≥3个热插拔散热风扇。</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全闪存</w:t>
                  </w:r>
                  <w:r>
                    <w:rPr>
                      <w:rFonts w:ascii="仿宋_GB2312" w:hAnsi="仿宋_GB2312" w:cs="仿宋_GB2312" w:eastAsia="仿宋_GB2312"/>
                      <w:sz w:val="21"/>
                    </w:rPr>
                    <w:t>存储节点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整体架构</w:t>
                  </w:r>
                  <w:r>
                    <w:rPr>
                      <w:rFonts w:ascii="仿宋_GB2312" w:hAnsi="仿宋_GB2312" w:cs="仿宋_GB2312" w:eastAsia="仿宋_GB2312"/>
                      <w:sz w:val="21"/>
                    </w:rPr>
                    <w:t>：</w:t>
                  </w:r>
                  <w:r>
                    <w:rPr>
                      <w:rFonts w:ascii="仿宋_GB2312" w:hAnsi="仿宋_GB2312" w:cs="仿宋_GB2312" w:eastAsia="仿宋_GB2312"/>
                      <w:sz w:val="21"/>
                    </w:rPr>
                    <w:t>全闪存架构存储，采用多控</w:t>
                  </w:r>
                  <w:r>
                    <w:rPr>
                      <w:rFonts w:ascii="仿宋_GB2312" w:hAnsi="仿宋_GB2312" w:cs="仿宋_GB2312" w:eastAsia="仿宋_GB2312"/>
                      <w:sz w:val="21"/>
                    </w:rPr>
                    <w:t>Active-Active（A-A）架构，业务可负载均衡至所有控制器；支持SAN、NAS、S3一体化融合存储，单个控制器可同时提供SAN、NAS和S3协议服务，无需额外网关设备；支持在同一存储池中同时分配SAN、NAS、S3三种存储服务</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控制器配置：配置</w:t>
                  </w:r>
                  <w:r>
                    <w:rPr>
                      <w:rFonts w:ascii="仿宋_GB2312" w:hAnsi="仿宋_GB2312" w:cs="仿宋_GB2312" w:eastAsia="仿宋_GB2312"/>
                      <w:sz w:val="21"/>
                    </w:rPr>
                    <w:t>≥2个控制器，控制器采用多核处理器，整机控制器处理器总核心数≥64核，处理器基础频率≥2.6GHz；处理器须通过中国信息安全测评中心安全可靠测评，提供官网证明截图</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缓存配置：整机一级缓存总容量</w:t>
                  </w:r>
                  <w:r>
                    <w:rPr>
                      <w:rFonts w:ascii="仿宋_GB2312" w:hAnsi="仿宋_GB2312" w:cs="仿宋_GB2312" w:eastAsia="仿宋_GB2312"/>
                      <w:sz w:val="21"/>
                    </w:rPr>
                    <w:t>≥192GB，单控制器一级缓存容量≥96GB；</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硬盘配置：配置</w:t>
                  </w:r>
                  <w:r>
                    <w:rPr>
                      <w:rFonts w:ascii="仿宋_GB2312" w:hAnsi="仿宋_GB2312" w:cs="仿宋_GB2312" w:eastAsia="仿宋_GB2312"/>
                      <w:sz w:val="21"/>
                    </w:rPr>
                    <w:t>≥18块7.68TB企业级NVMeSSD固态硬盘；</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前端端口：配置</w:t>
                  </w:r>
                  <w:r>
                    <w:rPr>
                      <w:rFonts w:ascii="仿宋_GB2312" w:hAnsi="仿宋_GB2312" w:cs="仿宋_GB2312" w:eastAsia="仿宋_GB2312"/>
                      <w:sz w:val="21"/>
                    </w:rPr>
                    <w:t>≥8个1GbETH电口、≥8个10GbETH光口（含对应多模光模块）、≥8个25GbETH光口（含对应多模光模块）、≥8个32GbFC光口（含对应多模光模块）；</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QoS能力：存储支持以LUN、主机、文件系统、租户为粒度的服务质量控制功能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双活能力：</w:t>
                  </w:r>
                  <w:r>
                    <w:rPr>
                      <w:rFonts w:ascii="仿宋_GB2312" w:hAnsi="仿宋_GB2312" w:cs="仿宋_GB2312" w:eastAsia="仿宋_GB2312"/>
                      <w:sz w:val="21"/>
                    </w:rPr>
                    <w:t>存储系统支持</w:t>
                  </w:r>
                  <w:r>
                    <w:rPr>
                      <w:rFonts w:ascii="仿宋_GB2312" w:hAnsi="仿宋_GB2312" w:cs="仿宋_GB2312" w:eastAsia="仿宋_GB2312"/>
                      <w:sz w:val="21"/>
                    </w:rPr>
                    <w:t>NAS免网关一体化Active-Active双活，任意站点故障不影响上层业务运行，单站点故障后，另一站点可自动接管业务，NAS业务I/O归零时间≤90秒；提供具备CNAS/CMA资质的评测机构出具的测试报告；</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虚拟化</w:t>
                  </w:r>
                </w:p>
                <w:p>
                  <w:pPr>
                    <w:pStyle w:val="null3"/>
                    <w:jc w:val="center"/>
                  </w:pPr>
                  <w:r>
                    <w:rPr>
                      <w:rFonts w:ascii="仿宋_GB2312" w:hAnsi="仿宋_GB2312" w:cs="仿宋_GB2312" w:eastAsia="仿宋_GB2312"/>
                      <w:sz w:val="21"/>
                    </w:rPr>
                    <w:t>软件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基础授权</w:t>
                  </w:r>
                  <w:r>
                    <w:rPr>
                      <w:rFonts w:ascii="仿宋_GB2312" w:hAnsi="仿宋_GB2312" w:cs="仿宋_GB2312" w:eastAsia="仿宋_GB2312"/>
                      <w:sz w:val="21"/>
                    </w:rPr>
                    <w:t>：提供</w:t>
                  </w:r>
                  <w:r>
                    <w:rPr>
                      <w:rFonts w:ascii="仿宋_GB2312" w:hAnsi="仿宋_GB2312" w:cs="仿宋_GB2312" w:eastAsia="仿宋_GB2312"/>
                      <w:sz w:val="21"/>
                    </w:rPr>
                    <w:t>≥8颗物理CPU对应的永久授权许可</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架构支持</w:t>
                  </w:r>
                  <w:r>
                    <w:rPr>
                      <w:rFonts w:ascii="仿宋_GB2312" w:hAnsi="仿宋_GB2312" w:cs="仿宋_GB2312" w:eastAsia="仿宋_GB2312"/>
                      <w:sz w:val="21"/>
                    </w:rPr>
                    <w:t>：支持</w:t>
                  </w:r>
                  <w:r>
                    <w:rPr>
                      <w:rFonts w:ascii="仿宋_GB2312" w:hAnsi="仿宋_GB2312" w:cs="仿宋_GB2312" w:eastAsia="仿宋_GB2312"/>
                      <w:sz w:val="21"/>
                    </w:rPr>
                    <w:t>x86与ARM双架构统一部署，可通过一套管理平台对x86和ARM架构服务器进行统一纳管与运维</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电源管理</w:t>
                  </w:r>
                  <w:r>
                    <w:rPr>
                      <w:rFonts w:ascii="仿宋_GB2312" w:hAnsi="仿宋_GB2312" w:cs="仿宋_GB2312" w:eastAsia="仿宋_GB2312"/>
                      <w:sz w:val="21"/>
                    </w:rPr>
                    <w:t>：支持动态电源管理（</w:t>
                  </w:r>
                  <w:r>
                    <w:rPr>
                      <w:rFonts w:ascii="仿宋_GB2312" w:hAnsi="仿宋_GB2312" w:cs="仿宋_GB2312" w:eastAsia="仿宋_GB2312"/>
                      <w:sz w:val="21"/>
                    </w:rPr>
                    <w:t>DPM）功能，系统可根据集群负载情况，自动控制主机上下电，优化数据中心能耗</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负载均衡</w:t>
                  </w:r>
                  <w:r>
                    <w:rPr>
                      <w:rFonts w:ascii="仿宋_GB2312" w:hAnsi="仿宋_GB2312" w:cs="仿宋_GB2312" w:eastAsia="仿宋_GB2312"/>
                      <w:sz w:val="21"/>
                    </w:rPr>
                    <w:t>：支持虚拟机启动阶段的负载均衡策略，虚拟机启动时可根据集群内主机的实时</w:t>
                  </w:r>
                  <w:r>
                    <w:rPr>
                      <w:rFonts w:ascii="仿宋_GB2312" w:hAnsi="仿宋_GB2312" w:cs="仿宋_GB2312" w:eastAsia="仿宋_GB2312"/>
                      <w:sz w:val="21"/>
                    </w:rPr>
                    <w:t>CPU、内存负载情况，动态选择最优运行主机；</w:t>
                  </w:r>
                </w:p>
                <w:p>
                  <w:pPr>
                    <w:pStyle w:val="null3"/>
                    <w:jc w:val="left"/>
                  </w:pPr>
                  <w:r>
                    <w:rPr>
                      <w:rFonts w:ascii="仿宋_GB2312" w:hAnsi="仿宋_GB2312" w:cs="仿宋_GB2312" w:eastAsia="仿宋_GB2312"/>
                      <w:sz w:val="21"/>
                    </w:rPr>
                    <w:t>5.告警：支持多种类型指标告警，包括但不限于CPU、内存、磁盘使用率，存储IO延时、分区占用率、虚拟化域资源占用等，用户可自定义告警阈值；</w:t>
                  </w:r>
                </w:p>
                <w:p>
                  <w:pPr>
                    <w:pStyle w:val="null3"/>
                    <w:jc w:val="left"/>
                  </w:pPr>
                  <w:r>
                    <w:rPr>
                      <w:rFonts w:ascii="仿宋_GB2312" w:hAnsi="仿宋_GB2312" w:cs="仿宋_GB2312" w:eastAsia="仿宋_GB2312"/>
                      <w:sz w:val="21"/>
                    </w:rPr>
                    <w:t>6.快照：支持对虚拟机打一致性快照，当发生故障时保障业务能够快速恢复到快照时间点状态；</w:t>
                  </w:r>
                </w:p>
                <w:p>
                  <w:pPr>
                    <w:pStyle w:val="null3"/>
                    <w:jc w:val="left"/>
                  </w:pPr>
                  <w:r>
                    <w:rPr>
                      <w:rFonts w:ascii="仿宋_GB2312" w:hAnsi="仿宋_GB2312" w:cs="仿宋_GB2312" w:eastAsia="仿宋_GB2312"/>
                      <w:sz w:val="21"/>
                    </w:rPr>
                    <w:t>7.虚拟机分组：支持通过文件夹对虚拟机进行分组，不同类型的虚拟机实现逻辑分组管理，方便运维，并可以对分组虚拟机批量进行关闭、启动、重启、迁移等操作；</w:t>
                  </w:r>
                </w:p>
                <w:p>
                  <w:pPr>
                    <w:pStyle w:val="null3"/>
                    <w:jc w:val="left"/>
                  </w:pPr>
                  <w:r>
                    <w:rPr>
                      <w:rFonts w:ascii="仿宋_GB2312" w:hAnsi="仿宋_GB2312" w:cs="仿宋_GB2312" w:eastAsia="仿宋_GB2312"/>
                      <w:sz w:val="21"/>
                    </w:rPr>
                    <w:t>8.在线迁移：支持在线和离线迁移带快照的虚拟机。</w:t>
                  </w:r>
                </w:p>
              </w:tc>
            </w:tr>
          </w:tbl>
          <w:p>
            <w:pPr>
              <w:pStyle w:val="null3"/>
              <w:jc w:val="both"/>
            </w:pPr>
            <w:r>
              <w:rPr>
                <w:rFonts w:ascii="仿宋_GB2312" w:hAnsi="仿宋_GB2312" w:cs="仿宋_GB2312" w:eastAsia="仿宋_GB2312"/>
                <w:sz w:val="21"/>
              </w:rPr>
              <w:t>备注</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本项目所有产品须符合</w:t>
            </w:r>
            <w:r>
              <w:rPr>
                <w:rFonts w:ascii="仿宋_GB2312" w:hAnsi="仿宋_GB2312" w:cs="仿宋_GB2312" w:eastAsia="仿宋_GB2312"/>
                <w:sz w:val="21"/>
                <w:b/>
              </w:rPr>
              <w:t>国办发〔</w:t>
            </w:r>
            <w:r>
              <w:rPr>
                <w:rFonts w:ascii="仿宋_GB2312" w:hAnsi="仿宋_GB2312" w:cs="仿宋_GB2312" w:eastAsia="仿宋_GB2312"/>
                <w:sz w:val="21"/>
                <w:b/>
              </w:rPr>
              <w:t>2025〕34 号</w:t>
            </w:r>
            <w:r>
              <w:rPr>
                <w:rFonts w:ascii="仿宋_GB2312" w:hAnsi="仿宋_GB2312" w:cs="仿宋_GB2312" w:eastAsia="仿宋_GB2312"/>
                <w:sz w:val="21"/>
                <w:b/>
              </w:rPr>
              <w:t>文件中</w:t>
            </w:r>
            <w:r>
              <w:rPr>
                <w:rFonts w:ascii="仿宋_GB2312" w:hAnsi="仿宋_GB2312" w:cs="仿宋_GB2312" w:eastAsia="仿宋_GB2312"/>
                <w:sz w:val="21"/>
                <w:b/>
              </w:rPr>
              <w:t>国产化相关要求并提供承诺函。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加注</w:t>
            </w:r>
            <w:r>
              <w:rPr>
                <w:rFonts w:ascii="仿宋_GB2312" w:hAnsi="仿宋_GB2312" w:cs="仿宋_GB2312" w:eastAsia="仿宋_GB2312"/>
                <w:sz w:val="21"/>
              </w:rPr>
              <w:t>“★”项为实质性</w:t>
            </w:r>
            <w:r>
              <w:rPr>
                <w:rFonts w:ascii="仿宋_GB2312" w:hAnsi="仿宋_GB2312" w:cs="仿宋_GB2312" w:eastAsia="仿宋_GB2312"/>
                <w:sz w:val="21"/>
              </w:rPr>
              <w:t>响应</w:t>
            </w:r>
            <w:r>
              <w:rPr>
                <w:rFonts w:ascii="仿宋_GB2312" w:hAnsi="仿宋_GB2312" w:cs="仿宋_GB2312" w:eastAsia="仿宋_GB2312"/>
                <w:sz w:val="21"/>
              </w:rPr>
              <w:t>参数，投标人须按要求提供对应证明材料</w:t>
            </w:r>
            <w:r>
              <w:rPr>
                <w:rFonts w:ascii="仿宋_GB2312" w:hAnsi="仿宋_GB2312" w:cs="仿宋_GB2312" w:eastAsia="仿宋_GB2312"/>
                <w:sz w:val="21"/>
              </w:rPr>
              <w:t>（</w:t>
            </w:r>
            <w:r>
              <w:rPr>
                <w:rFonts w:ascii="仿宋_GB2312" w:hAnsi="仿宋_GB2312" w:cs="仿宋_GB2312" w:eastAsia="仿宋_GB2312"/>
                <w:sz w:val="21"/>
              </w:rPr>
              <w:t>包括但不限于产品彩页、</w:t>
            </w:r>
            <w:r>
              <w:rPr>
                <w:rFonts w:ascii="仿宋_GB2312" w:hAnsi="仿宋_GB2312" w:cs="仿宋_GB2312" w:eastAsia="仿宋_GB2312"/>
                <w:sz w:val="21"/>
              </w:rPr>
              <w:t>官网截图、</w:t>
            </w:r>
            <w:r>
              <w:rPr>
                <w:rFonts w:ascii="仿宋_GB2312" w:hAnsi="仿宋_GB2312" w:cs="仿宋_GB2312" w:eastAsia="仿宋_GB2312"/>
                <w:sz w:val="21"/>
              </w:rPr>
              <w:t>检测报告、厂家盖章的说明书等</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技术参数与性能指标有对证明材料有要求的，以技术参数与性能指标有对证明材料的要求为准，</w:t>
            </w:r>
            <w:r>
              <w:rPr>
                <w:rFonts w:ascii="仿宋_GB2312" w:hAnsi="仿宋_GB2312" w:cs="仿宋_GB2312" w:eastAsia="仿宋_GB2312"/>
                <w:sz w:val="21"/>
              </w:rPr>
              <w:t>投标人不满足任一</w:t>
            </w:r>
            <w:r>
              <w:rPr>
                <w:rFonts w:ascii="仿宋_GB2312" w:hAnsi="仿宋_GB2312" w:cs="仿宋_GB2312" w:eastAsia="仿宋_GB2312"/>
                <w:sz w:val="21"/>
              </w:rPr>
              <w:t>★号条款的，作无效投标处理；</w:t>
            </w:r>
          </w:p>
          <w:p>
            <w:pPr>
              <w:pStyle w:val="null3"/>
            </w:pPr>
            <w:r>
              <w:rPr>
                <w:rFonts w:ascii="仿宋_GB2312" w:hAnsi="仿宋_GB2312" w:cs="仿宋_GB2312" w:eastAsia="仿宋_GB2312"/>
                <w:sz w:val="21"/>
              </w:rPr>
              <w:t>2.</w:t>
            </w:r>
            <w:r>
              <w:rPr>
                <w:rFonts w:ascii="仿宋_GB2312" w:hAnsi="仿宋_GB2312" w:cs="仿宋_GB2312" w:eastAsia="仿宋_GB2312"/>
                <w:sz w:val="21"/>
              </w:rPr>
              <w:t>加注</w:t>
            </w:r>
            <w:r>
              <w:rPr>
                <w:rFonts w:ascii="仿宋_GB2312" w:hAnsi="仿宋_GB2312" w:cs="仿宋_GB2312" w:eastAsia="仿宋_GB2312"/>
                <w:sz w:val="21"/>
              </w:rPr>
              <w:t>“▲”项为重要技术参数，投标人须</w:t>
            </w:r>
            <w:r>
              <w:rPr>
                <w:rFonts w:ascii="仿宋_GB2312" w:hAnsi="仿宋_GB2312" w:cs="仿宋_GB2312" w:eastAsia="仿宋_GB2312"/>
                <w:sz w:val="21"/>
              </w:rPr>
              <w:t>按要求提供对应证明材料</w:t>
            </w:r>
            <w:r>
              <w:rPr>
                <w:rFonts w:ascii="仿宋_GB2312" w:hAnsi="仿宋_GB2312" w:cs="仿宋_GB2312" w:eastAsia="仿宋_GB2312"/>
                <w:sz w:val="21"/>
              </w:rPr>
              <w:t>（</w:t>
            </w:r>
            <w:r>
              <w:rPr>
                <w:rFonts w:ascii="仿宋_GB2312" w:hAnsi="仿宋_GB2312" w:cs="仿宋_GB2312" w:eastAsia="仿宋_GB2312"/>
                <w:sz w:val="21"/>
              </w:rPr>
              <w:t>佐证材料包括但不限于产品彩页、</w:t>
            </w:r>
            <w:r>
              <w:rPr>
                <w:rFonts w:ascii="仿宋_GB2312" w:hAnsi="仿宋_GB2312" w:cs="仿宋_GB2312" w:eastAsia="仿宋_GB2312"/>
                <w:sz w:val="21"/>
              </w:rPr>
              <w:t>官网截图、</w:t>
            </w:r>
            <w:r>
              <w:rPr>
                <w:rFonts w:ascii="仿宋_GB2312" w:hAnsi="仿宋_GB2312" w:cs="仿宋_GB2312" w:eastAsia="仿宋_GB2312"/>
                <w:sz w:val="21"/>
              </w:rPr>
              <w:t>检测报告、厂家盖章的说明书等</w:t>
            </w:r>
            <w:r>
              <w:rPr>
                <w:rFonts w:ascii="仿宋_GB2312" w:hAnsi="仿宋_GB2312" w:cs="仿宋_GB2312" w:eastAsia="仿宋_GB2312"/>
                <w:sz w:val="21"/>
              </w:rPr>
              <w:t>）</w:t>
            </w:r>
            <w:r>
              <w:rPr>
                <w:rFonts w:ascii="仿宋_GB2312" w:hAnsi="仿宋_GB2312" w:cs="仿宋_GB2312" w:eastAsia="仿宋_GB2312"/>
                <w:sz w:val="21"/>
              </w:rPr>
              <w:t>，评审时按评分标准进行扣分。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1.交货期：接到采购人书面通知后15日历日内完成全部设备交货； 2.安装调试期：全部设备到货后20个日历日内完成项目整体安装、调试与系统联调； 3.交货及安装地点：采购人指定地点； 4.实施要求：本项目为交钥匙工程，所有技术指标中未提及但项目实施必需的内容，包括但不限于施工细节、机房内电力改造、空开、线缆、PDU、液晶套件、板卡、模块、辅材等，均须采用原厂合规产品，相关费用全部包含在本次采购范围内，采购人不再追加任何经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西北妇女儿童医院指定地点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第一笔付款：设备到货验收合格并收到中标供应商付款申请后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第二笔付款：项目终验合格并收到中标供应商付款申请后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验收：本项目要求供应商所投产品均为全新、原厂生产的合格产品，不得提供翻新或二手产品。供应商须在到货前提供原厂对其所投产品为全新、原厂生产合格产品的质量书面承诺（包含核心产品CPU和AI处理器芯片生产厂商的产品质量书面承诺）。缺少承诺书的视为验收不合格。 设备送达指定地点后，采购人对设备的品名、型号、数量、包装完整性等进行核验，与投标清单一致且无破损的，出具到货验收合格证明； 2.试运行：安装调试完成后，经采购人批准后系统进入为期1个月的试运行期，试运行期内系统须连续稳定运行，算力资源中断时间≤4小时；核心功能的模型部署、API调用、监控管理中断时间≤4小时；若出现影响业务的故障，试运行期自故障修复完成之日起重新计算； 3.项目终验：试运行期满无问题后，中标供应商可向采购人申请项目终验。终验须满足以下要求：设备及软件符合招标文件技术要求、安装敷设符合采购人管理规范、系统全功能连通调试正常、满足项目整体建设目标； 4.验收标准：按照国家相关规范、采购人内部验收管理规定及本招标文件要求执行。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1.质保期：自项目终验合格之日起，所有软硬件产品提供不少于3年免费原厂质保及软件升级维护服务，并解决模型部署、迁移、适配、升级过程中遇到的具体问题。 2.质保期内服务：须提供7×24小时技术支持服务，硬件故障须提供现场更换服务，软件故障须及时提供补丁与修复方案； 3.质保期满后服务：质保期满后，软硬件设备的年度维护保养、软件升级服务费用，年度报价不超过原合同总金额的5%； 4.技术支持：中标供应商及产品原厂商须为采购人未来电子病历、互联互通、智慧医院等相关评级工作提供免费技术支持服务，服务期限与质保期保持一致； 5.培训服务：中标供应商须为采购人提供系统操作、运维管理专项培训，编制通俗易懂的培训文档，确保采购人运维人员可独立完成日常运维操作。 6.驻场服务：中标方承诺终验合格后，提供不少于3个月的现场驻场技术支持，协助医院技术人员快速熟悉新平台，解决模型迁移、适配过程中遇到的具体问题。</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履行合同过程中，若发生争议，可以协商解决。如协商未果，双方向采购人所在地人民法院提起诉讼。中标人如果没有按照本合同约定履行合同，采购人有权终止合同。具体违约按照合同专用条款中的第二节 第15.3款执行。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（一）因电子化格式有限，供应商还需对以下付款方式进行响应： 付款方式： 1.支付方式：银行转账，分期付款； 2.付款节点：（1）第一笔付款：设备到货验收合格后并收到中标供应商付款申请后30日内，采购人支付合同总金额的50%，中标供应商须提前开具对应金额的合规增值税发票；（2）第二笔付款：项目终验合格后并收到中标供应商付款申请后30日内，采购人支付合同总金额的50%，中标供应商须提前开具对应金额的合规增值税发票； 3.发票要求：中标供应商提供的发票须符合国家税法相关规定。 （二）保密要求 1.中标供应商须与采购人签订保密协议，对本项目涉及的系统信息、业务数据、采购人内部信息等承担保密义务； 2.若因中标供应商泄密造成采购人损失的，中标供应商须承担全部损失赔偿责任及相关法律责任，采购人有权根据实际情况提前终止或解除合同。 （三）其他要求 1.本项目所有软件产品授权均为永久授权，不得提供租用、限时授权等非永久授权形式； 2.中标供应商须结合现场实际安装环境及要求，编制完整的项目实施方案，严格按照方案实施； 3.中标供应商须做好项目实施现场安全防护工作，包括警戒线设置、安全提示、地面及墙面保护、现场施工安全管理、人员规范施工等，承担施工过程中的全部安全责任； 4.投标人需提供和协助招标人通过信息安全等级保护测评工作； 5.中标供应商须遵守国家政府采购相关法律法规，履行投标文件中的全部承诺。 （四）本项目落实《国务院办公厅关于在政府采购中实施本国产品标准及相关政策的通知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五）供应商需要在线提交所有通过电子化交易平台实施的政府采购项目的投标文件，同时，线下提交纸质投标文件正本壹份、副本贰份，纸质投标文件正副本分别胶装，标明供应商名称密封递交，递交截止时间同在线递交电子投标文件截止时间一致， 线下递交文件地点： 西安市雁塔区科技路 30号合力紫郡 B座21层第一会议室，若电子投标文件与纸质投标文件不一致的，以电子投标文件为准。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提供2025年1月（含1月）以后任意一个月的依法缴纳税收的相关凭据（时间以税款所属时期为准），凭据应有税务机关或代收机关的公章或业务专用章。依法免税或无须缴纳税收的供应商，应提供相应证明文件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3.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分项报价表.docx 开标一览表（报价表）.docx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 分项报价表.docx 开标一览表（报价表）.docx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投标文件的交货时间、质量保修范围和保修期、付款方式</w:t>
            </w:r>
          </w:p>
        </w:tc>
        <w:tc>
          <w:tcPr>
            <w:tcW w:type="dxa" w:w="3322"/>
          </w:tcPr>
          <w:p>
            <w:pPr>
              <w:pStyle w:val="null3"/>
            </w:pPr>
            <w:r>
              <w:rPr>
                <w:rFonts w:ascii="仿宋_GB2312" w:hAnsi="仿宋_GB2312" w:cs="仿宋_GB2312" w:eastAsia="仿宋_GB2312"/>
              </w:rPr>
              <w:t>投标文件的交货时间、质量保修范围和保修期、付款方式满足招标文件要求的</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投标文件的签署、盖章符合招标文件要求的</w:t>
            </w:r>
          </w:p>
        </w:tc>
        <w:tc>
          <w:tcPr>
            <w:tcW w:type="dxa" w:w="1661"/>
          </w:tcPr>
          <w:p>
            <w:pPr>
              <w:pStyle w:val="null3"/>
            </w:pPr>
            <w:r>
              <w:rPr>
                <w:rFonts w:ascii="仿宋_GB2312" w:hAnsi="仿宋_GB2312" w:cs="仿宋_GB2312" w:eastAsia="仿宋_GB2312"/>
              </w:rPr>
              <w:t>开标一览表 分项报价表.docx 供应商资格要求.docx 开标一览表（报价表）.docx 投标函 合同响应偏离表.docx 标的清单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投标文件不存在法律、法规和招标文件规定的其他无效情形的</w:t>
            </w:r>
          </w:p>
        </w:tc>
        <w:tc>
          <w:tcPr>
            <w:tcW w:type="dxa" w:w="1661"/>
          </w:tcPr>
          <w:p>
            <w:pPr>
              <w:pStyle w:val="null3"/>
            </w:pPr>
            <w:r>
              <w:rPr>
                <w:rFonts w:ascii="仿宋_GB2312" w:hAnsi="仿宋_GB2312" w:cs="仿宋_GB2312" w:eastAsia="仿宋_GB2312"/>
              </w:rPr>
              <w:t>合同响应偏离表.docx 供应商认为有必要说明的其他问题.docx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不同供应商的投标文件是否由同一单位或者个人编制</w:t>
            </w:r>
          </w:p>
        </w:tc>
        <w:tc>
          <w:tcPr>
            <w:tcW w:type="dxa" w:w="3322"/>
          </w:tcPr>
          <w:p>
            <w:pPr>
              <w:pStyle w:val="null3"/>
            </w:pPr>
            <w:r>
              <w:rPr>
                <w:rFonts w:ascii="仿宋_GB2312" w:hAnsi="仿宋_GB2312" w:cs="仿宋_GB2312" w:eastAsia="仿宋_GB2312"/>
              </w:rPr>
              <w:t>不同供应商的投标文件不是由同一单位或者个人编制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不同供应商是否委托同一单位或者个人办理投标事宜</w:t>
            </w:r>
          </w:p>
        </w:tc>
        <w:tc>
          <w:tcPr>
            <w:tcW w:type="dxa" w:w="3322"/>
          </w:tcPr>
          <w:p>
            <w:pPr>
              <w:pStyle w:val="null3"/>
            </w:pPr>
            <w:r>
              <w:rPr>
                <w:rFonts w:ascii="仿宋_GB2312" w:hAnsi="仿宋_GB2312" w:cs="仿宋_GB2312" w:eastAsia="仿宋_GB2312"/>
              </w:rPr>
              <w:t>不同供应商不是委托同一单位或者个人办理投标事宜</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不同供应商的投标文件载明的项目管理成员或者联系人员是否为同一人</w:t>
            </w:r>
          </w:p>
        </w:tc>
        <w:tc>
          <w:tcPr>
            <w:tcW w:type="dxa" w:w="3322"/>
          </w:tcPr>
          <w:p>
            <w:pPr>
              <w:pStyle w:val="null3"/>
            </w:pPr>
            <w:r>
              <w:rPr>
                <w:rFonts w:ascii="仿宋_GB2312" w:hAnsi="仿宋_GB2312" w:cs="仿宋_GB2312" w:eastAsia="仿宋_GB2312"/>
              </w:rPr>
              <w:t>不同供应商的投标文件载明的项目管理成员或者联系人员不是为同一人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不同供应商的投标文件是否异常-致或者投标报价呈规律性差异</w:t>
            </w:r>
          </w:p>
        </w:tc>
        <w:tc>
          <w:tcPr>
            <w:tcW w:type="dxa" w:w="3322"/>
          </w:tcPr>
          <w:p>
            <w:pPr>
              <w:pStyle w:val="null3"/>
            </w:pPr>
            <w:r>
              <w:rPr>
                <w:rFonts w:ascii="仿宋_GB2312" w:hAnsi="仿宋_GB2312" w:cs="仿宋_GB2312" w:eastAsia="仿宋_GB2312"/>
              </w:rPr>
              <w:t>不同供应商的投标文件未发现异常-致或者投标报价呈规律性差异</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不同供应商的投标保证金是否从同单位或者个人的账户转出</w:t>
            </w:r>
          </w:p>
        </w:tc>
        <w:tc>
          <w:tcPr>
            <w:tcW w:type="dxa" w:w="3322"/>
          </w:tcPr>
          <w:p>
            <w:pPr>
              <w:pStyle w:val="null3"/>
            </w:pPr>
            <w:r>
              <w:rPr>
                <w:rFonts w:ascii="仿宋_GB2312" w:hAnsi="仿宋_GB2312" w:cs="仿宋_GB2312" w:eastAsia="仿宋_GB2312"/>
              </w:rPr>
              <w:t>不同供应商的投标保证金不是从同一单位或者个人的账户转出</w:t>
            </w:r>
          </w:p>
        </w:tc>
        <w:tc>
          <w:tcPr>
            <w:tcW w:type="dxa" w:w="1661"/>
          </w:tcPr>
          <w:p>
            <w:pPr>
              <w:pStyle w:val="null3"/>
            </w:pPr>
            <w:r>
              <w:rPr>
                <w:rFonts w:ascii="仿宋_GB2312" w:hAnsi="仿宋_GB2312" w:cs="仿宋_GB2312" w:eastAsia="仿宋_GB2312"/>
              </w:rPr>
              <w:t>供应商认为有必要说明的其他问题.docx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不同供应商的响应文件相互混装</w:t>
            </w:r>
          </w:p>
        </w:tc>
        <w:tc>
          <w:tcPr>
            <w:tcW w:type="dxa" w:w="3322"/>
          </w:tcPr>
          <w:p>
            <w:pPr>
              <w:pStyle w:val="null3"/>
            </w:pPr>
            <w:r>
              <w:rPr>
                <w:rFonts w:ascii="仿宋_GB2312" w:hAnsi="仿宋_GB2312" w:cs="仿宋_GB2312" w:eastAsia="仿宋_GB2312"/>
              </w:rPr>
              <w:t>不同供应商的响应文件相互混装</w:t>
            </w:r>
          </w:p>
        </w:tc>
        <w:tc>
          <w:tcPr>
            <w:tcW w:type="dxa" w:w="1661"/>
          </w:tcPr>
          <w:p>
            <w:pPr>
              <w:pStyle w:val="null3"/>
            </w:pPr>
            <w:r>
              <w:rPr>
                <w:rFonts w:ascii="仿宋_GB2312" w:hAnsi="仿宋_GB2312" w:cs="仿宋_GB2312" w:eastAsia="仿宋_GB2312"/>
              </w:rPr>
              <w:t>供应商资格要求.docx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基本分（34分）：完全符合、响应招标文件要求，没有负偏离计34分，带▲参数每负偏离一项扣3分，无标识参数每负偏离一项扣0.12分，扣完为止。 备注： 技术参数与性能指标中带▲参数必须提供相应的证明材料并在投标文件中的标注具体页码。未提供证明材料或证明材料低于招标文件规定的相应技术指标、参数时视为负偏离。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针对本项目有具体技术方案，内容包含：①技术架构与功能方案；②网络与硬件配置方案；③数据安全保障方案。评审标准：方案各部分内容全面详细、阐述内容清晰详尽、符合本项目采购需求得6分；评审内容每缺一项扣2分；每有一处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针对本项目有具体实施方案，内容包含： ①供货组织及供货渠道保障方案；②基础环境准备方案；③项目实施进度计划；④实施人员配置及详细说明；⑤上线方案；⑥应急处置预案。评审标准：方案各部分内容全面详细、阐述内容清晰详尽、符合本项目采购需求得6分；评审内容每缺一项扣1分；每有一处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投标人要同时提供项目团队所有人员需在投标人单位开标前半年内任意一个月的社保证明。 1.项目总监具备《中华人民共和国计算机技术与软件专业技术资格（水平）证书》（资格名称为信息系统项目管理师），提供证书复印件，满足条件得1分； 2.项目经理具备《中华人民共和国计算机技术与软件专业技术资格（水平）证书》（资格名称为：系统集成项目管理工程师），提供证书复印件，满足条件得1分； 3.实施工程师具备计算机类相关专业，提供相关证明材料复印件，每提供1人得1分，最高得2分。 （以上人员不重复计分）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产品选型与核心部件合法性保障方案及证明材料（包括但不限于整体设备、AI算力芯片、AI训推服务器及通用计算管理节点的CPU芯片等）②核心产品性能、使用寿命及效果保障方案及证明材料（包括但不限于整体设备、AI算力芯片、AI训推服务器及通用计算管理节点的CPU芯片等）③质量保证措施（包括但不限于整体设备、AI算力芯片、AI训推服务器及通用计算管理节点的CPU芯片等）。评审标准：方案各部分内容全面详细、阐述内容清晰详尽、符合本项目采购需求得6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针对本项目有具体的培训方案，包括①培训资源及课时承诺； ②培训方式及内容安排。 评审标准：方案各部分内容全面详细、阐述内容清晰详尽、符合本项目采购需求得4分；每有一项未提供扣2分；每有一处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内容包含：①软硬件升级方案；②售后服务承诺；③售后人员资质及岗位安排；④备品备件；⑤增值服务。评审标准：方案各部分内容全面详细、阐述内容清晰详尽、符合本项目采购需求得5分；评审内容每缺一项扣1分；每有一处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维保服务</w:t>
            </w:r>
          </w:p>
        </w:tc>
        <w:tc>
          <w:tcPr>
            <w:tcW w:type="dxa" w:w="2492"/>
          </w:tcPr>
          <w:p>
            <w:pPr>
              <w:pStyle w:val="null3"/>
            </w:pPr>
            <w:r>
              <w:rPr>
                <w:rFonts w:ascii="仿宋_GB2312" w:hAnsi="仿宋_GB2312" w:cs="仿宋_GB2312" w:eastAsia="仿宋_GB2312"/>
              </w:rPr>
              <w:t>投标人所投全部软硬件产品，须提供3年原厂质保及软件升级维护服务；在此基础上，原厂提供质保及升级维护服务时长每增加6个月加0.5分，最高得2分。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供应商响应产品中每有一项产品同时为节能产品和环境标志产品得1分，最多得1分。（以经国家确定的认证机构出具的、处于有效期内的节能产品、环境标志产品认证证书为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提供供应商2023年1月1日至今同类项目合同（以合同签订日期为准），每提供1个得0.5分，最高得2分。 备注：响应文件中提供合同复印件。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详见附件：合同响应偏离表.docx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详见附件：开标一览表（报价表）.docx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