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版本号：ZX2026-04-4420260506001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养老服务从业人员能力提升项目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ZX2026-04-44</w:t>
      </w:r>
      <w:r>
        <w:br/>
      </w:r>
      <w:r>
        <w:br/>
      </w:r>
      <w:r>
        <w:br/>
      </w:r>
    </w:p>
    <w:p>
      <w:pPr>
        <w:pStyle w:val="null3"/>
        <w:jc w:val="center"/>
        <w:outlineLvl w:val="2"/>
      </w:pPr>
      <w:r>
        <w:rPr>
          <w:rFonts w:ascii="仿宋_GB2312" w:hAnsi="仿宋_GB2312" w:cs="仿宋_GB2312" w:eastAsia="仿宋_GB2312"/>
          <w:sz w:val="28"/>
          <w:b/>
        </w:rPr>
        <w:t>西安市老龄事业发展中心</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西安市老龄事业发展中心</w:t>
      </w:r>
      <w:r>
        <w:rPr>
          <w:rFonts w:ascii="仿宋_GB2312" w:hAnsi="仿宋_GB2312" w:cs="仿宋_GB2312" w:eastAsia="仿宋_GB2312"/>
        </w:rPr>
        <w:t>委托，拟对</w:t>
      </w:r>
      <w:r>
        <w:rPr>
          <w:rFonts w:ascii="仿宋_GB2312" w:hAnsi="仿宋_GB2312" w:cs="仿宋_GB2312" w:eastAsia="仿宋_GB2312"/>
        </w:rPr>
        <w:t>养老服务从业人员能力提升项目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ZX2026-04-44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养老服务从业人员能力提升项目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养老服务从业人员能力提升项目，1项，具体内容详见磋商文件第三章。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采购包1（养老服务从业人员能力提升项目）：属于专门面向中小企业采购。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1、法定代表人授权委托书：法定代表人参加磋商的，须提供法定代表人身份证复印件；法定代表人授权本单位他人参加磋商的，须提供法定代表人授权委托书。</w:t>
      </w:r>
    </w:p>
    <w:p>
      <w:pPr>
        <w:pStyle w:val="null3"/>
      </w:pPr>
      <w:r>
        <w:rPr>
          <w:rFonts w:ascii="仿宋_GB2312" w:hAnsi="仿宋_GB2312" w:cs="仿宋_GB2312" w:eastAsia="仿宋_GB2312"/>
        </w:rPr>
        <w:t>2、本项目不接受联合体投标，不允许分包：本项目不接受联合体磋商，不允许分包。供应商应提供《非联合体不分包投标声明》。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西安市老龄事业发展中心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西安市雁塔区曲江大道70号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029-89131361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胡怡洁 王宇轩 蔡丹 曹婷 马演 崔文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代理服务费收费标准：参照国家计委计价格〔2002〕1980号及发改办价格〔2003〕857号通知规定计取，由成交供应商支付代理服务费。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西安市老龄事业发展中心</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西安市老龄事业发展中心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西安市老龄事业发展中心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按照磋商文件、成交供应商响应文件和合同文本执行。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联系人：胡怡洁 王宇轩</w:t>
      </w:r>
    </w:p>
    <w:p>
      <w:pPr>
        <w:pStyle w:val="null3"/>
      </w:pPr>
      <w:r>
        <w:rPr>
          <w:rFonts w:ascii="仿宋_GB2312" w:hAnsi="仿宋_GB2312" w:cs="仿宋_GB2312" w:eastAsia="仿宋_GB2312"/>
        </w:rPr>
        <w:t>联系电话：029-88110800转8030（1041800645@qq.com）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养老服务从业人员能力提升项目，1项，具体内容详见磋商文件第三章。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养老服务从业人员培训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700,000.00</w:t>
            </w:r>
          </w:p>
        </w:tc>
        <w:tc>
          <w:tcPr>
            <w:tcW w:type="dxa" w:w="831"/>
          </w:tcPr>
          <w:p>
            <w:pPr>
              <w:pStyle w:val="null3"/>
            </w:pPr>
            <w:r>
              <w:rPr>
                <w:rFonts w:ascii="仿宋_GB2312" w:hAnsi="仿宋_GB2312" w:cs="仿宋_GB2312" w:eastAsia="仿宋_GB2312"/>
              </w:rPr>
              <w:t>场</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标的名称：养老服务从业人员培训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一、采购项目名称</w:t>
            </w:r>
          </w:p>
          <w:p>
            <w:pPr>
              <w:pStyle w:val="null3"/>
            </w:pPr>
            <w:r>
              <w:rPr>
                <w:rFonts w:ascii="仿宋_GB2312" w:hAnsi="仿宋_GB2312" w:cs="仿宋_GB2312" w:eastAsia="仿宋_GB2312"/>
              </w:rPr>
              <w:t>西安市老龄事业发展中心养老服务从业人员能力提升项目</w:t>
            </w:r>
          </w:p>
          <w:p>
            <w:pPr>
              <w:pStyle w:val="null3"/>
            </w:pPr>
            <w:r>
              <w:rPr>
                <w:rFonts w:ascii="仿宋_GB2312" w:hAnsi="仿宋_GB2312" w:cs="仿宋_GB2312" w:eastAsia="仿宋_GB2312"/>
              </w:rPr>
              <w:t>二、采购项目概况</w:t>
            </w:r>
          </w:p>
          <w:p>
            <w:pPr>
              <w:pStyle w:val="null3"/>
            </w:pPr>
            <w:r>
              <w:rPr>
                <w:rFonts w:ascii="仿宋_GB2312" w:hAnsi="仿宋_GB2312" w:cs="仿宋_GB2312" w:eastAsia="仿宋_GB2312"/>
              </w:rPr>
              <w:t>为提升西安市各区县民政系统干部履职能力水平，培养高素质的养老服务管理和服务人才，提升养老机构整体消防安全水平，计划对养老护理人员、养老服务机构管理人员和安全人员进行职业技能培训。参训对象包含区县民政部门干部、养老服务机构管理人员、养老机构消防设施操作员、消防安全管理员、养老护理员、老年人能力评估师、健康照护师、养老顾问、社区居家上门服务人员和养老康复辅具适配师这10类人员。</w:t>
            </w:r>
          </w:p>
          <w:p>
            <w:pPr>
              <w:pStyle w:val="null3"/>
            </w:pPr>
            <w:r>
              <w:rPr>
                <w:rFonts w:ascii="仿宋_GB2312" w:hAnsi="仿宋_GB2312" w:cs="仿宋_GB2312" w:eastAsia="仿宋_GB2312"/>
              </w:rPr>
              <w:t>三、服务内容</w:t>
            </w:r>
          </w:p>
          <w:p>
            <w:pPr>
              <w:pStyle w:val="null3"/>
            </w:pPr>
            <w:r>
              <w:rPr>
                <w:rFonts w:ascii="仿宋_GB2312" w:hAnsi="仿宋_GB2312" w:cs="仿宋_GB2312" w:eastAsia="仿宋_GB2312"/>
              </w:rPr>
              <w:t>（一）培训人员</w:t>
            </w:r>
          </w:p>
          <w:p>
            <w:pPr>
              <w:pStyle w:val="null3"/>
            </w:pPr>
            <w:r>
              <w:rPr>
                <w:rFonts w:ascii="仿宋_GB2312" w:hAnsi="仿宋_GB2312" w:cs="仿宋_GB2312" w:eastAsia="仿宋_GB2312"/>
              </w:rPr>
              <w:t>具体培训人数及天数由采购方根据实际需求确定，详见表格。培训包含培训人员食宿费、资料费、场地费等。</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vMerge w:val="restart"/>
                </w:tcPr>
                <w:p>
                  <w:pPr>
                    <w:pStyle w:val="null3"/>
                  </w:pPr>
                  <w:r>
                    <w:rPr>
                      <w:rFonts w:ascii="仿宋_GB2312" w:hAnsi="仿宋_GB2312" w:cs="仿宋_GB2312" w:eastAsia="仿宋_GB2312"/>
                    </w:rPr>
                    <w:t>序号</w:t>
                  </w:r>
                </w:p>
              </w:tc>
              <w:tc>
                <w:tcPr>
                  <w:tcW w:type="dxa" w:w="426"/>
                  <w:vMerge w:val="restart"/>
                </w:tcPr>
                <w:p>
                  <w:pPr>
                    <w:pStyle w:val="null3"/>
                  </w:pPr>
                  <w:r>
                    <w:rPr>
                      <w:rFonts w:ascii="仿宋_GB2312" w:hAnsi="仿宋_GB2312" w:cs="仿宋_GB2312" w:eastAsia="仿宋_GB2312"/>
                    </w:rPr>
                    <w:t>培训人员分类</w:t>
                  </w:r>
                </w:p>
              </w:tc>
              <w:tc>
                <w:tcPr>
                  <w:tcW w:type="dxa" w:w="426"/>
                  <w:vMerge w:val="restart"/>
                </w:tcPr>
                <w:p>
                  <w:pPr>
                    <w:pStyle w:val="null3"/>
                  </w:pPr>
                  <w:r>
                    <w:rPr>
                      <w:rFonts w:ascii="仿宋_GB2312" w:hAnsi="仿宋_GB2312" w:cs="仿宋_GB2312" w:eastAsia="仿宋_GB2312"/>
                    </w:rPr>
                    <w:t>工种名称</w:t>
                  </w:r>
                </w:p>
              </w:tc>
              <w:tc>
                <w:tcPr>
                  <w:tcW w:type="dxa" w:w="426"/>
                  <w:vMerge w:val="restart"/>
                </w:tcPr>
                <w:p>
                  <w:pPr>
                    <w:pStyle w:val="null3"/>
                  </w:pPr>
                  <w:r>
                    <w:rPr>
                      <w:rFonts w:ascii="仿宋_GB2312" w:hAnsi="仿宋_GB2312" w:cs="仿宋_GB2312" w:eastAsia="仿宋_GB2312"/>
                    </w:rPr>
                    <w:t>培训总人数</w:t>
                  </w:r>
                </w:p>
              </w:tc>
              <w:tc>
                <w:tcPr>
                  <w:tcW w:type="dxa" w:w="426"/>
                  <w:vMerge w:val="restart"/>
                </w:tcPr>
                <w:p>
                  <w:pPr>
                    <w:pStyle w:val="null3"/>
                  </w:pPr>
                  <w:r>
                    <w:rPr>
                      <w:rFonts w:ascii="仿宋_GB2312" w:hAnsi="仿宋_GB2312" w:cs="仿宋_GB2312" w:eastAsia="仿宋_GB2312"/>
                    </w:rPr>
                    <w:t>开设班次</w:t>
                  </w:r>
                </w:p>
              </w:tc>
              <w:tc>
                <w:tcPr>
                  <w:tcW w:type="dxa" w:w="426"/>
                  <w:vMerge w:val="restart"/>
                </w:tcPr>
                <w:p>
                  <w:pPr>
                    <w:pStyle w:val="null3"/>
                  </w:pPr>
                  <w:r>
                    <w:rPr>
                      <w:rFonts w:ascii="仿宋_GB2312" w:hAnsi="仿宋_GB2312" w:cs="仿宋_GB2312" w:eastAsia="仿宋_GB2312"/>
                    </w:rPr>
                    <w:t>拟培训天数</w:t>
                  </w:r>
                </w:p>
              </w:tc>
            </w:tr>
            <w:tr>
              <w:tc>
                <w:tcPr>
                  <w:tcW w:type="dxa" w:w="426"/>
                  <w:vMerge/>
                </w:tcPr>
                <w:p/>
              </w:tc>
              <w:tc>
                <w:tcPr>
                  <w:tcW w:type="dxa" w:w="426"/>
                  <w:vMerge/>
                </w:tcPr>
                <w:p/>
              </w:tc>
              <w:tc>
                <w:tcPr>
                  <w:tcW w:type="dxa" w:w="426"/>
                  <w:vMerge/>
                </w:tcPr>
                <w:p/>
              </w:tc>
              <w:tc>
                <w:tcPr>
                  <w:tcW w:type="dxa" w:w="426"/>
                  <w:vMerge/>
                </w:tcPr>
                <w:p/>
              </w:tc>
              <w:tc>
                <w:tcPr>
                  <w:tcW w:type="dxa" w:w="426"/>
                  <w:vMerge/>
                </w:tcPr>
                <w:p/>
              </w:tc>
              <w:tc>
                <w:tcPr>
                  <w:tcW w:type="dxa" w:w="426"/>
                  <w:vMerge/>
                </w:tcPr>
                <w:p/>
              </w:tc>
            </w:tr>
            <w:tr>
              <w:tc>
                <w:tcPr>
                  <w:tcW w:type="dxa" w:w="426"/>
                </w:tcPr>
                <w:p>
                  <w:pPr>
                    <w:pStyle w:val="null3"/>
                  </w:pPr>
                  <w:r>
                    <w:rPr>
                      <w:rFonts w:ascii="仿宋_GB2312" w:hAnsi="仿宋_GB2312" w:cs="仿宋_GB2312" w:eastAsia="仿宋_GB2312"/>
                    </w:rPr>
                    <w:t>1</w:t>
                  </w:r>
                </w:p>
              </w:tc>
              <w:tc>
                <w:tcPr>
                  <w:tcW w:type="dxa" w:w="426"/>
                  <w:vMerge w:val="restart"/>
                </w:tcPr>
                <w:p>
                  <w:pPr>
                    <w:pStyle w:val="null3"/>
                  </w:pPr>
                  <w:r>
                    <w:rPr>
                      <w:rFonts w:ascii="仿宋_GB2312" w:hAnsi="仿宋_GB2312" w:cs="仿宋_GB2312" w:eastAsia="仿宋_GB2312"/>
                    </w:rPr>
                    <w:t>养老机构管理人员</w:t>
                  </w:r>
                </w:p>
              </w:tc>
              <w:tc>
                <w:tcPr>
                  <w:tcW w:type="dxa" w:w="426"/>
                </w:tcPr>
                <w:p>
                  <w:pPr>
                    <w:pStyle w:val="null3"/>
                  </w:pPr>
                  <w:r>
                    <w:rPr>
                      <w:rFonts w:ascii="仿宋_GB2312" w:hAnsi="仿宋_GB2312" w:cs="仿宋_GB2312" w:eastAsia="仿宋_GB2312"/>
                    </w:rPr>
                    <w:t>区县民政干部</w:t>
                  </w:r>
                </w:p>
              </w:tc>
              <w:tc>
                <w:tcPr>
                  <w:tcW w:type="dxa" w:w="426"/>
                </w:tcPr>
                <w:p>
                  <w:pPr>
                    <w:pStyle w:val="null3"/>
                  </w:pPr>
                  <w:r>
                    <w:rPr>
                      <w:rFonts w:ascii="仿宋_GB2312" w:hAnsi="仿宋_GB2312" w:cs="仿宋_GB2312" w:eastAsia="仿宋_GB2312"/>
                    </w:rPr>
                    <w:t>36</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2天</w:t>
                  </w:r>
                </w:p>
              </w:tc>
            </w:tr>
            <w:tr>
              <w:tc>
                <w:tcPr>
                  <w:tcW w:type="dxa" w:w="426"/>
                </w:tcPr>
                <w:p>
                  <w:pPr>
                    <w:pStyle w:val="null3"/>
                  </w:pPr>
                  <w:r>
                    <w:rPr>
                      <w:rFonts w:ascii="仿宋_GB2312" w:hAnsi="仿宋_GB2312" w:cs="仿宋_GB2312" w:eastAsia="仿宋_GB2312"/>
                    </w:rPr>
                    <w:t>2</w:t>
                  </w:r>
                </w:p>
              </w:tc>
              <w:tc>
                <w:tcPr>
                  <w:tcW w:type="dxa" w:w="426"/>
                  <w:vMerge/>
                </w:tcPr>
                <w:p/>
              </w:tc>
              <w:tc>
                <w:tcPr>
                  <w:tcW w:type="dxa" w:w="426"/>
                </w:tcPr>
                <w:p>
                  <w:pPr>
                    <w:pStyle w:val="null3"/>
                  </w:pPr>
                  <w:r>
                    <w:rPr>
                      <w:rFonts w:ascii="仿宋_GB2312" w:hAnsi="仿宋_GB2312" w:cs="仿宋_GB2312" w:eastAsia="仿宋_GB2312"/>
                    </w:rPr>
                    <w:t>养老机构院长</w:t>
                  </w:r>
                </w:p>
              </w:tc>
              <w:tc>
                <w:tcPr>
                  <w:tcW w:type="dxa" w:w="426"/>
                </w:tcPr>
                <w:p>
                  <w:pPr>
                    <w:pStyle w:val="null3"/>
                  </w:pPr>
                  <w:r>
                    <w:rPr>
                      <w:rFonts w:ascii="仿宋_GB2312" w:hAnsi="仿宋_GB2312" w:cs="仿宋_GB2312" w:eastAsia="仿宋_GB2312"/>
                    </w:rPr>
                    <w:t>100</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3天</w:t>
                  </w:r>
                </w:p>
              </w:tc>
            </w:tr>
            <w:tr>
              <w:tc>
                <w:tcPr>
                  <w:tcW w:type="dxa" w:w="426"/>
                </w:tcPr>
                <w:p>
                  <w:pPr>
                    <w:pStyle w:val="null3"/>
                  </w:pPr>
                  <w:r>
                    <w:rPr>
                      <w:rFonts w:ascii="仿宋_GB2312" w:hAnsi="仿宋_GB2312" w:cs="仿宋_GB2312" w:eastAsia="仿宋_GB2312"/>
                    </w:rPr>
                    <w:t>3</w:t>
                  </w:r>
                </w:p>
              </w:tc>
              <w:tc>
                <w:tcPr>
                  <w:tcW w:type="dxa" w:w="426"/>
                  <w:vMerge w:val="restart"/>
                </w:tcPr>
                <w:p>
                  <w:pPr>
                    <w:pStyle w:val="null3"/>
                  </w:pPr>
                  <w:r>
                    <w:rPr>
                      <w:rFonts w:ascii="仿宋_GB2312" w:hAnsi="仿宋_GB2312" w:cs="仿宋_GB2312" w:eastAsia="仿宋_GB2312"/>
                    </w:rPr>
                    <w:t>养老护理人员</w:t>
                  </w:r>
                </w:p>
              </w:tc>
              <w:tc>
                <w:tcPr>
                  <w:tcW w:type="dxa" w:w="426"/>
                </w:tcPr>
                <w:p>
                  <w:pPr>
                    <w:pStyle w:val="null3"/>
                  </w:pPr>
                  <w:r>
                    <w:rPr>
                      <w:rFonts w:ascii="仿宋_GB2312" w:hAnsi="仿宋_GB2312" w:cs="仿宋_GB2312" w:eastAsia="仿宋_GB2312"/>
                    </w:rPr>
                    <w:t>养老护理员</w:t>
                  </w:r>
                </w:p>
              </w:tc>
              <w:tc>
                <w:tcPr>
                  <w:tcW w:type="dxa" w:w="426"/>
                </w:tcPr>
                <w:p>
                  <w:pPr>
                    <w:pStyle w:val="null3"/>
                  </w:pPr>
                  <w:r>
                    <w:rPr>
                      <w:rFonts w:ascii="仿宋_GB2312" w:hAnsi="仿宋_GB2312" w:cs="仿宋_GB2312" w:eastAsia="仿宋_GB2312"/>
                    </w:rPr>
                    <w:t>300</w:t>
                  </w:r>
                </w:p>
              </w:tc>
              <w:tc>
                <w:tcPr>
                  <w:tcW w:type="dxa" w:w="426"/>
                </w:tcPr>
                <w:p>
                  <w:pPr>
                    <w:pStyle w:val="null3"/>
                  </w:pPr>
                  <w:r>
                    <w:rPr>
                      <w:rFonts w:ascii="仿宋_GB2312" w:hAnsi="仿宋_GB2312" w:cs="仿宋_GB2312" w:eastAsia="仿宋_GB2312"/>
                    </w:rPr>
                    <w:t>3（五级2期各100人、四级1期100人）</w:t>
                  </w:r>
                </w:p>
              </w:tc>
              <w:tc>
                <w:tcPr>
                  <w:tcW w:type="dxa" w:w="426"/>
                </w:tcPr>
                <w:p>
                  <w:pPr>
                    <w:pStyle w:val="null3"/>
                  </w:pPr>
                  <w:r>
                    <w:rPr>
                      <w:rFonts w:ascii="仿宋_GB2312" w:hAnsi="仿宋_GB2312" w:cs="仿宋_GB2312" w:eastAsia="仿宋_GB2312"/>
                    </w:rPr>
                    <w:t>4天</w:t>
                  </w:r>
                </w:p>
              </w:tc>
            </w:tr>
            <w:tr>
              <w:tc>
                <w:tcPr>
                  <w:tcW w:type="dxa" w:w="426"/>
                </w:tcPr>
                <w:p>
                  <w:pPr>
                    <w:pStyle w:val="null3"/>
                  </w:pPr>
                  <w:r>
                    <w:rPr>
                      <w:rFonts w:ascii="仿宋_GB2312" w:hAnsi="仿宋_GB2312" w:cs="仿宋_GB2312" w:eastAsia="仿宋_GB2312"/>
                    </w:rPr>
                    <w:t>4</w:t>
                  </w:r>
                </w:p>
              </w:tc>
              <w:tc>
                <w:tcPr>
                  <w:tcW w:type="dxa" w:w="426"/>
                  <w:vMerge/>
                </w:tcPr>
                <w:p/>
              </w:tc>
              <w:tc>
                <w:tcPr>
                  <w:tcW w:type="dxa" w:w="426"/>
                </w:tcPr>
                <w:p>
                  <w:pPr>
                    <w:pStyle w:val="null3"/>
                  </w:pPr>
                  <w:r>
                    <w:rPr>
                      <w:rFonts w:ascii="仿宋_GB2312" w:hAnsi="仿宋_GB2312" w:cs="仿宋_GB2312" w:eastAsia="仿宋_GB2312"/>
                    </w:rPr>
                    <w:t>老年人能力评估师</w:t>
                  </w:r>
                </w:p>
              </w:tc>
              <w:tc>
                <w:tcPr>
                  <w:tcW w:type="dxa" w:w="426"/>
                </w:tcPr>
                <w:p>
                  <w:pPr>
                    <w:pStyle w:val="null3"/>
                  </w:pPr>
                  <w:r>
                    <w:rPr>
                      <w:rFonts w:ascii="仿宋_GB2312" w:hAnsi="仿宋_GB2312" w:cs="仿宋_GB2312" w:eastAsia="仿宋_GB2312"/>
                    </w:rPr>
                    <w:t>50</w:t>
                  </w:r>
                </w:p>
              </w:tc>
              <w:tc>
                <w:tcPr>
                  <w:tcW w:type="dxa" w:w="426"/>
                </w:tcPr>
                <w:p>
                  <w:pPr>
                    <w:pStyle w:val="null3"/>
                  </w:pPr>
                  <w:r>
                    <w:rPr>
                      <w:rFonts w:ascii="仿宋_GB2312" w:hAnsi="仿宋_GB2312" w:cs="仿宋_GB2312" w:eastAsia="仿宋_GB2312"/>
                    </w:rPr>
                    <w:t>1（三级工）</w:t>
                  </w:r>
                </w:p>
              </w:tc>
              <w:tc>
                <w:tcPr>
                  <w:tcW w:type="dxa" w:w="426"/>
                </w:tcPr>
                <w:p>
                  <w:pPr>
                    <w:pStyle w:val="null3"/>
                  </w:pPr>
                  <w:r>
                    <w:rPr>
                      <w:rFonts w:ascii="仿宋_GB2312" w:hAnsi="仿宋_GB2312" w:cs="仿宋_GB2312" w:eastAsia="仿宋_GB2312"/>
                    </w:rPr>
                    <w:t>3天</w:t>
                  </w:r>
                </w:p>
              </w:tc>
            </w:tr>
            <w:tr>
              <w:tc>
                <w:tcPr>
                  <w:tcW w:type="dxa" w:w="426"/>
                </w:tcPr>
                <w:p>
                  <w:pPr>
                    <w:pStyle w:val="null3"/>
                  </w:pPr>
                  <w:r>
                    <w:rPr>
                      <w:rFonts w:ascii="仿宋_GB2312" w:hAnsi="仿宋_GB2312" w:cs="仿宋_GB2312" w:eastAsia="仿宋_GB2312"/>
                    </w:rPr>
                    <w:t>5</w:t>
                  </w:r>
                </w:p>
              </w:tc>
              <w:tc>
                <w:tcPr>
                  <w:tcW w:type="dxa" w:w="426"/>
                  <w:vMerge/>
                </w:tcPr>
                <w:p/>
              </w:tc>
              <w:tc>
                <w:tcPr>
                  <w:tcW w:type="dxa" w:w="426"/>
                </w:tcPr>
                <w:p>
                  <w:pPr>
                    <w:pStyle w:val="null3"/>
                  </w:pPr>
                  <w:r>
                    <w:rPr>
                      <w:rFonts w:ascii="仿宋_GB2312" w:hAnsi="仿宋_GB2312" w:cs="仿宋_GB2312" w:eastAsia="仿宋_GB2312"/>
                    </w:rPr>
                    <w:t>健康照护师（长期照护师）</w:t>
                  </w:r>
                </w:p>
              </w:tc>
              <w:tc>
                <w:tcPr>
                  <w:tcW w:type="dxa" w:w="426"/>
                </w:tcPr>
                <w:p>
                  <w:pPr>
                    <w:pStyle w:val="null3"/>
                  </w:pPr>
                  <w:r>
                    <w:rPr>
                      <w:rFonts w:ascii="仿宋_GB2312" w:hAnsi="仿宋_GB2312" w:cs="仿宋_GB2312" w:eastAsia="仿宋_GB2312"/>
                    </w:rPr>
                    <w:t>100</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3天</w:t>
                  </w:r>
                </w:p>
              </w:tc>
            </w:tr>
            <w:tr>
              <w:tc>
                <w:tcPr>
                  <w:tcW w:type="dxa" w:w="426"/>
                </w:tcPr>
                <w:p>
                  <w:pPr>
                    <w:pStyle w:val="null3"/>
                  </w:pPr>
                  <w:r>
                    <w:rPr>
                      <w:rFonts w:ascii="仿宋_GB2312" w:hAnsi="仿宋_GB2312" w:cs="仿宋_GB2312" w:eastAsia="仿宋_GB2312"/>
                    </w:rPr>
                    <w:t>6</w:t>
                  </w:r>
                </w:p>
              </w:tc>
              <w:tc>
                <w:tcPr>
                  <w:tcW w:type="dxa" w:w="426"/>
                  <w:vMerge/>
                </w:tcPr>
                <w:p/>
              </w:tc>
              <w:tc>
                <w:tcPr>
                  <w:tcW w:type="dxa" w:w="426"/>
                </w:tcPr>
                <w:p>
                  <w:pPr>
                    <w:pStyle w:val="null3"/>
                  </w:pPr>
                  <w:r>
                    <w:rPr>
                      <w:rFonts w:ascii="仿宋_GB2312" w:hAnsi="仿宋_GB2312" w:cs="仿宋_GB2312" w:eastAsia="仿宋_GB2312"/>
                    </w:rPr>
                    <w:t>养老顾问</w:t>
                  </w:r>
                </w:p>
              </w:tc>
              <w:tc>
                <w:tcPr>
                  <w:tcW w:type="dxa" w:w="426"/>
                </w:tcPr>
                <w:p>
                  <w:pPr>
                    <w:pStyle w:val="null3"/>
                  </w:pPr>
                  <w:r>
                    <w:rPr>
                      <w:rFonts w:ascii="仿宋_GB2312" w:hAnsi="仿宋_GB2312" w:cs="仿宋_GB2312" w:eastAsia="仿宋_GB2312"/>
                    </w:rPr>
                    <w:t>50</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1天</w:t>
                  </w:r>
                </w:p>
              </w:tc>
            </w:tr>
            <w:tr>
              <w:tc>
                <w:tcPr>
                  <w:tcW w:type="dxa" w:w="426"/>
                </w:tcPr>
                <w:p>
                  <w:pPr>
                    <w:pStyle w:val="null3"/>
                  </w:pPr>
                  <w:r>
                    <w:rPr>
                      <w:rFonts w:ascii="仿宋_GB2312" w:hAnsi="仿宋_GB2312" w:cs="仿宋_GB2312" w:eastAsia="仿宋_GB2312"/>
                    </w:rPr>
                    <w:t>7</w:t>
                  </w:r>
                </w:p>
              </w:tc>
              <w:tc>
                <w:tcPr>
                  <w:tcW w:type="dxa" w:w="426"/>
                  <w:vMerge/>
                </w:tcPr>
                <w:p/>
              </w:tc>
              <w:tc>
                <w:tcPr>
                  <w:tcW w:type="dxa" w:w="426"/>
                </w:tcPr>
                <w:p>
                  <w:pPr>
                    <w:pStyle w:val="null3"/>
                  </w:pPr>
                  <w:r>
                    <w:rPr>
                      <w:rFonts w:ascii="仿宋_GB2312" w:hAnsi="仿宋_GB2312" w:cs="仿宋_GB2312" w:eastAsia="仿宋_GB2312"/>
                    </w:rPr>
                    <w:t>社区居家上门服务人员</w:t>
                  </w:r>
                </w:p>
              </w:tc>
              <w:tc>
                <w:tcPr>
                  <w:tcW w:type="dxa" w:w="426"/>
                </w:tcPr>
                <w:p>
                  <w:pPr>
                    <w:pStyle w:val="null3"/>
                  </w:pPr>
                  <w:r>
                    <w:rPr>
                      <w:rFonts w:ascii="仿宋_GB2312" w:hAnsi="仿宋_GB2312" w:cs="仿宋_GB2312" w:eastAsia="仿宋_GB2312"/>
                    </w:rPr>
                    <w:t>300</w:t>
                  </w:r>
                </w:p>
              </w:tc>
              <w:tc>
                <w:tcPr>
                  <w:tcW w:type="dxa" w:w="426"/>
                </w:tcPr>
                <w:p>
                  <w:pPr>
                    <w:pStyle w:val="null3"/>
                  </w:pPr>
                  <w:r>
                    <w:rPr>
                      <w:rFonts w:ascii="仿宋_GB2312" w:hAnsi="仿宋_GB2312" w:cs="仿宋_GB2312" w:eastAsia="仿宋_GB2312"/>
                    </w:rPr>
                    <w:t>1—2</w:t>
                  </w:r>
                </w:p>
              </w:tc>
              <w:tc>
                <w:tcPr>
                  <w:tcW w:type="dxa" w:w="426"/>
                </w:tcPr>
                <w:p>
                  <w:pPr>
                    <w:pStyle w:val="null3"/>
                  </w:pPr>
                  <w:r>
                    <w:rPr>
                      <w:rFonts w:ascii="仿宋_GB2312" w:hAnsi="仿宋_GB2312" w:cs="仿宋_GB2312" w:eastAsia="仿宋_GB2312"/>
                    </w:rPr>
                    <w:t>1天</w:t>
                  </w:r>
                </w:p>
              </w:tc>
            </w:tr>
            <w:tr>
              <w:tc>
                <w:tcPr>
                  <w:tcW w:type="dxa" w:w="426"/>
                </w:tcPr>
                <w:p>
                  <w:pPr>
                    <w:pStyle w:val="null3"/>
                  </w:pPr>
                  <w:r>
                    <w:rPr>
                      <w:rFonts w:ascii="仿宋_GB2312" w:hAnsi="仿宋_GB2312" w:cs="仿宋_GB2312" w:eastAsia="仿宋_GB2312"/>
                    </w:rPr>
                    <w:t>8</w:t>
                  </w:r>
                </w:p>
              </w:tc>
              <w:tc>
                <w:tcPr>
                  <w:tcW w:type="dxa" w:w="426"/>
                  <w:vMerge/>
                </w:tcPr>
                <w:p/>
              </w:tc>
              <w:tc>
                <w:tcPr>
                  <w:tcW w:type="dxa" w:w="426"/>
                </w:tcPr>
                <w:p>
                  <w:pPr>
                    <w:pStyle w:val="null3"/>
                  </w:pPr>
                  <w:r>
                    <w:rPr>
                      <w:rFonts w:ascii="仿宋_GB2312" w:hAnsi="仿宋_GB2312" w:cs="仿宋_GB2312" w:eastAsia="仿宋_GB2312"/>
                    </w:rPr>
                    <w:t>养老康复辅具适配师</w:t>
                  </w:r>
                </w:p>
              </w:tc>
              <w:tc>
                <w:tcPr>
                  <w:tcW w:type="dxa" w:w="426"/>
                </w:tcPr>
                <w:p>
                  <w:pPr>
                    <w:pStyle w:val="null3"/>
                  </w:pPr>
                  <w:r>
                    <w:rPr>
                      <w:rFonts w:ascii="仿宋_GB2312" w:hAnsi="仿宋_GB2312" w:cs="仿宋_GB2312" w:eastAsia="仿宋_GB2312"/>
                    </w:rPr>
                    <w:t>50</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1天</w:t>
                  </w:r>
                </w:p>
              </w:tc>
            </w:tr>
            <w:tr>
              <w:tc>
                <w:tcPr>
                  <w:tcW w:type="dxa" w:w="426"/>
                </w:tcPr>
                <w:p>
                  <w:pPr>
                    <w:pStyle w:val="null3"/>
                  </w:pPr>
                  <w:r>
                    <w:rPr>
                      <w:rFonts w:ascii="仿宋_GB2312" w:hAnsi="仿宋_GB2312" w:cs="仿宋_GB2312" w:eastAsia="仿宋_GB2312"/>
                    </w:rPr>
                    <w:t>9</w:t>
                  </w:r>
                </w:p>
              </w:tc>
              <w:tc>
                <w:tcPr>
                  <w:tcW w:type="dxa" w:w="426"/>
                  <w:vMerge w:val="restart"/>
                </w:tcPr>
                <w:p>
                  <w:pPr>
                    <w:pStyle w:val="null3"/>
                  </w:pPr>
                  <w:r>
                    <w:rPr>
                      <w:rFonts w:ascii="仿宋_GB2312" w:hAnsi="仿宋_GB2312" w:cs="仿宋_GB2312" w:eastAsia="仿宋_GB2312"/>
                    </w:rPr>
                    <w:t>养老机构安全管理人员</w:t>
                  </w:r>
                </w:p>
              </w:tc>
              <w:tc>
                <w:tcPr>
                  <w:tcW w:type="dxa" w:w="426"/>
                </w:tcPr>
                <w:p>
                  <w:pPr>
                    <w:pStyle w:val="null3"/>
                  </w:pPr>
                  <w:r>
                    <w:rPr>
                      <w:rFonts w:ascii="仿宋_GB2312" w:hAnsi="仿宋_GB2312" w:cs="仿宋_GB2312" w:eastAsia="仿宋_GB2312"/>
                    </w:rPr>
                    <w:t>消防安全管理员</w:t>
                  </w:r>
                </w:p>
              </w:tc>
              <w:tc>
                <w:tcPr>
                  <w:tcW w:type="dxa" w:w="426"/>
                </w:tcPr>
                <w:p>
                  <w:pPr>
                    <w:pStyle w:val="null3"/>
                  </w:pPr>
                  <w:r>
                    <w:rPr>
                      <w:rFonts w:ascii="仿宋_GB2312" w:hAnsi="仿宋_GB2312" w:cs="仿宋_GB2312" w:eastAsia="仿宋_GB2312"/>
                    </w:rPr>
                    <w:t>50</w:t>
                  </w:r>
                </w:p>
              </w:tc>
              <w:tc>
                <w:tcPr>
                  <w:tcW w:type="dxa" w:w="426"/>
                </w:tcPr>
                <w:p>
                  <w:pPr>
                    <w:pStyle w:val="null3"/>
                  </w:pPr>
                  <w:r>
                    <w:rPr>
                      <w:rFonts w:ascii="仿宋_GB2312" w:hAnsi="仿宋_GB2312" w:cs="仿宋_GB2312" w:eastAsia="仿宋_GB2312"/>
                    </w:rPr>
                    <w:t>1（五级班）</w:t>
                  </w:r>
                </w:p>
              </w:tc>
              <w:tc>
                <w:tcPr>
                  <w:tcW w:type="dxa" w:w="426"/>
                </w:tcPr>
                <w:p>
                  <w:pPr>
                    <w:pStyle w:val="null3"/>
                  </w:pPr>
                  <w:r>
                    <w:rPr>
                      <w:rFonts w:ascii="仿宋_GB2312" w:hAnsi="仿宋_GB2312" w:cs="仿宋_GB2312" w:eastAsia="仿宋_GB2312"/>
                    </w:rPr>
                    <w:t>3天</w:t>
                  </w:r>
                </w:p>
              </w:tc>
            </w:tr>
            <w:tr>
              <w:tc>
                <w:tcPr>
                  <w:tcW w:type="dxa" w:w="426"/>
                </w:tcPr>
                <w:p>
                  <w:pPr>
                    <w:pStyle w:val="null3"/>
                  </w:pPr>
                  <w:r>
                    <w:rPr>
                      <w:rFonts w:ascii="仿宋_GB2312" w:hAnsi="仿宋_GB2312" w:cs="仿宋_GB2312" w:eastAsia="仿宋_GB2312"/>
                    </w:rPr>
                    <w:t>10</w:t>
                  </w:r>
                </w:p>
              </w:tc>
              <w:tc>
                <w:tcPr>
                  <w:tcW w:type="dxa" w:w="426"/>
                  <w:vMerge/>
                </w:tcPr>
                <w:p/>
              </w:tc>
              <w:tc>
                <w:tcPr>
                  <w:tcW w:type="dxa" w:w="426"/>
                </w:tcPr>
                <w:p>
                  <w:pPr>
                    <w:pStyle w:val="null3"/>
                  </w:pPr>
                  <w:r>
                    <w:rPr>
                      <w:rFonts w:ascii="仿宋_GB2312" w:hAnsi="仿宋_GB2312" w:cs="仿宋_GB2312" w:eastAsia="仿宋_GB2312"/>
                    </w:rPr>
                    <w:t>消防设施操作员</w:t>
                  </w:r>
                </w:p>
              </w:tc>
              <w:tc>
                <w:tcPr>
                  <w:tcW w:type="dxa" w:w="426"/>
                </w:tcPr>
                <w:p>
                  <w:pPr>
                    <w:pStyle w:val="null3"/>
                  </w:pPr>
                  <w:r>
                    <w:rPr>
                      <w:rFonts w:ascii="仿宋_GB2312" w:hAnsi="仿宋_GB2312" w:cs="仿宋_GB2312" w:eastAsia="仿宋_GB2312"/>
                    </w:rPr>
                    <w:t>50</w:t>
                  </w:r>
                </w:p>
              </w:tc>
              <w:tc>
                <w:tcPr>
                  <w:tcW w:type="dxa" w:w="426"/>
                </w:tcPr>
                <w:p>
                  <w:pPr>
                    <w:pStyle w:val="null3"/>
                  </w:pPr>
                  <w:r>
                    <w:rPr>
                      <w:rFonts w:ascii="仿宋_GB2312" w:hAnsi="仿宋_GB2312" w:cs="仿宋_GB2312" w:eastAsia="仿宋_GB2312"/>
                    </w:rPr>
                    <w:t>1（五级班）</w:t>
                  </w:r>
                </w:p>
              </w:tc>
              <w:tc>
                <w:tcPr>
                  <w:tcW w:type="dxa" w:w="426"/>
                </w:tcPr>
                <w:p>
                  <w:pPr>
                    <w:pStyle w:val="null3"/>
                  </w:pPr>
                  <w:r>
                    <w:rPr>
                      <w:rFonts w:ascii="仿宋_GB2312" w:hAnsi="仿宋_GB2312" w:cs="仿宋_GB2312" w:eastAsia="仿宋_GB2312"/>
                    </w:rPr>
                    <w:t>5天</w:t>
                  </w:r>
                </w:p>
              </w:tc>
            </w:tr>
          </w:tbl>
          <w:p>
            <w:pPr>
              <w:pStyle w:val="null3"/>
            </w:pPr>
            <w:r>
              <w:rPr>
                <w:rFonts w:ascii="仿宋_GB2312" w:hAnsi="仿宋_GB2312" w:cs="仿宋_GB2312" w:eastAsia="仿宋_GB2312"/>
              </w:rPr>
              <w:t>（二）其他方面</w:t>
            </w:r>
          </w:p>
          <w:p>
            <w:pPr>
              <w:pStyle w:val="null3"/>
            </w:pPr>
            <w:r>
              <w:rPr>
                <w:rFonts w:ascii="仿宋_GB2312" w:hAnsi="仿宋_GB2312" w:cs="仿宋_GB2312" w:eastAsia="仿宋_GB2312"/>
              </w:rPr>
              <w:t>1.合同金额包含培训人员考证费用。</w:t>
            </w:r>
          </w:p>
          <w:p>
            <w:pPr>
              <w:pStyle w:val="null3"/>
            </w:pPr>
            <w:r>
              <w:rPr>
                <w:rFonts w:ascii="仿宋_GB2312" w:hAnsi="仿宋_GB2312" w:cs="仿宋_GB2312" w:eastAsia="仿宋_GB2312"/>
              </w:rPr>
              <w:t>2.邀请培训老师授课培训，支付课时费。</w:t>
            </w:r>
          </w:p>
          <w:p>
            <w:pPr>
              <w:pStyle w:val="null3"/>
            </w:pPr>
            <w:r>
              <w:rPr>
                <w:rFonts w:ascii="仿宋_GB2312" w:hAnsi="仿宋_GB2312" w:cs="仿宋_GB2312" w:eastAsia="仿宋_GB2312"/>
              </w:rPr>
              <w:t>3.培训时需指定专人在场，提供培训所需的话筒、音响、多媒体投影等设备。</w:t>
            </w:r>
          </w:p>
          <w:p>
            <w:pPr>
              <w:pStyle w:val="null3"/>
            </w:pPr>
            <w:r>
              <w:rPr>
                <w:rFonts w:ascii="仿宋_GB2312" w:hAnsi="仿宋_GB2312" w:cs="仿宋_GB2312" w:eastAsia="仿宋_GB2312"/>
              </w:rPr>
              <w:t>4.邀请省媒、市媒对此次培训广泛宣传。</w:t>
            </w:r>
          </w:p>
          <w:p>
            <w:pPr>
              <w:pStyle w:val="null3"/>
            </w:pPr>
            <w:r>
              <w:rPr>
                <w:rFonts w:ascii="仿宋_GB2312" w:hAnsi="仿宋_GB2312" w:cs="仿宋_GB2312" w:eastAsia="仿宋_GB2312"/>
              </w:rPr>
              <w:t>四、技术要求</w:t>
            </w:r>
          </w:p>
          <w:p>
            <w:pPr>
              <w:pStyle w:val="null3"/>
            </w:pPr>
            <w:r>
              <w:rPr>
                <w:rFonts w:ascii="仿宋_GB2312" w:hAnsi="仿宋_GB2312" w:cs="仿宋_GB2312" w:eastAsia="仿宋_GB2312"/>
              </w:rPr>
              <w:t xml:space="preserve">（一）管理要求  </w:t>
            </w:r>
          </w:p>
          <w:p>
            <w:pPr>
              <w:pStyle w:val="null3"/>
            </w:pPr>
            <w:r>
              <w:rPr>
                <w:rFonts w:ascii="仿宋_GB2312" w:hAnsi="仿宋_GB2312" w:cs="仿宋_GB2312" w:eastAsia="仿宋_GB2312"/>
              </w:rPr>
              <w:t>1.负责承办采购方2026年确定的10类养老服务从业人员的培训项目，要结合各类培训对象的特点，有针对性地设置主题课程，需结合当前时事热点和涉老政策，综合运用讲授式、研讨式、案例式、体验式等教学方式，加强实践教学，实现教学相长、学学相长。</w:t>
            </w:r>
          </w:p>
          <w:p>
            <w:pPr>
              <w:pStyle w:val="null3"/>
            </w:pPr>
            <w:r>
              <w:rPr>
                <w:rFonts w:ascii="仿宋_GB2312" w:hAnsi="仿宋_GB2312" w:cs="仿宋_GB2312" w:eastAsia="仿宋_GB2312"/>
              </w:rPr>
              <w:t>2.具备承办200人以上培训活动经验和同时开展多期项目的业务能力，根据活动要求，组织前期准备、中期执行及后期跟踪对接，整合相关教师资源，保证服务质量；</w:t>
            </w:r>
          </w:p>
          <w:p>
            <w:pPr>
              <w:pStyle w:val="null3"/>
            </w:pPr>
            <w:r>
              <w:rPr>
                <w:rFonts w:ascii="仿宋_GB2312" w:hAnsi="仿宋_GB2312" w:cs="仿宋_GB2312" w:eastAsia="仿宋_GB2312"/>
              </w:rPr>
              <w:t>3.培训至少配备项目负责人和班主任各1名，在培训期间全程跟班，保证学员积极参训，面对学员突发状况（如疾病等）能有效采取应急处理措施；</w:t>
            </w:r>
          </w:p>
          <w:p>
            <w:pPr>
              <w:pStyle w:val="null3"/>
            </w:pPr>
            <w:r>
              <w:rPr>
                <w:rFonts w:ascii="仿宋_GB2312" w:hAnsi="仿宋_GB2312" w:cs="仿宋_GB2312" w:eastAsia="仿宋_GB2312"/>
              </w:rPr>
              <w:t>4.负责10类人员培训班组织实施，为保证课程质量，要求师资配备一流，其中每期班中至少有2名知名专家教授或行业领域经验丰富的人员为参训学员授课。</w:t>
            </w:r>
          </w:p>
          <w:p>
            <w:pPr>
              <w:pStyle w:val="null3"/>
            </w:pPr>
            <w:r>
              <w:rPr>
                <w:rFonts w:ascii="仿宋_GB2312" w:hAnsi="仿宋_GB2312" w:cs="仿宋_GB2312" w:eastAsia="仿宋_GB2312"/>
              </w:rPr>
              <w:t>5.负责项目组织报名，梳理参训人员名单。在开班前至少3天，提供最终参加人员名单，并及时通知学员相关信息；负责提供培训手册、学员讲义教材等资料。</w:t>
            </w:r>
          </w:p>
          <w:p>
            <w:pPr>
              <w:pStyle w:val="null3"/>
            </w:pPr>
            <w:r>
              <w:rPr>
                <w:rFonts w:ascii="仿宋_GB2312" w:hAnsi="仿宋_GB2312" w:cs="仿宋_GB2312" w:eastAsia="仿宋_GB2312"/>
              </w:rPr>
              <w:t>6.负责组织开班仪式和结业总结环节，邀请学校/学院相关领导参加，组织符合条件的学员考取相应的职业技能等级证书或对按要求完成培训内容的学员颁发结业证书。</w:t>
            </w:r>
          </w:p>
          <w:p>
            <w:pPr>
              <w:pStyle w:val="null3"/>
            </w:pPr>
            <w:r>
              <w:rPr>
                <w:rFonts w:ascii="仿宋_GB2312" w:hAnsi="仿宋_GB2312" w:cs="仿宋_GB2312" w:eastAsia="仿宋_GB2312"/>
              </w:rPr>
              <w:t>7.负责向每位参训人员发放调查问卷，及时汇总评分情况，掌握培训满意度情况，协助做好质量监督；完成全部培训后需提交养老服务从业人员能力提升培训项目的总结报告。</w:t>
            </w:r>
          </w:p>
          <w:p>
            <w:pPr>
              <w:pStyle w:val="null3"/>
            </w:pPr>
            <w:r>
              <w:rPr>
                <w:rFonts w:ascii="仿宋_GB2312" w:hAnsi="仿宋_GB2312" w:cs="仿宋_GB2312" w:eastAsia="仿宋_GB2312"/>
              </w:rPr>
              <w:t>8.负责外出现场教学的组织安排、人员管理、现场讲解、车辆保障等。</w:t>
            </w:r>
          </w:p>
          <w:p>
            <w:pPr>
              <w:pStyle w:val="null3"/>
            </w:pPr>
            <w:r>
              <w:rPr>
                <w:rFonts w:ascii="仿宋_GB2312" w:hAnsi="仿宋_GB2312" w:cs="仿宋_GB2312" w:eastAsia="仿宋_GB2312"/>
              </w:rPr>
              <w:t>9.对学员突发状况（如疾病等）有相应的应对措施。</w:t>
            </w:r>
          </w:p>
          <w:p>
            <w:pPr>
              <w:pStyle w:val="null3"/>
            </w:pPr>
            <w:r>
              <w:rPr>
                <w:rFonts w:ascii="仿宋_GB2312" w:hAnsi="仿宋_GB2312" w:cs="仿宋_GB2312" w:eastAsia="仿宋_GB2312"/>
              </w:rPr>
              <w:t>10.严格控制经费支出，统筹安排培训场地、专家授课、外出学习、学员餐宿和学习资料等各项具体事宜。</w:t>
            </w:r>
          </w:p>
          <w:p>
            <w:pPr>
              <w:pStyle w:val="null3"/>
            </w:pPr>
            <w:r>
              <w:rPr>
                <w:rFonts w:ascii="仿宋_GB2312" w:hAnsi="仿宋_GB2312" w:cs="仿宋_GB2312" w:eastAsia="仿宋_GB2312"/>
              </w:rPr>
              <w:t>11.未经采购方同意，不得随意变更项目内容。如果未经同意对项目内容作出变更，采购方有权拒绝接受，并扣减该项目的全额预算费用，中标方应另行支付相当于该项目预算费用30%的违约金。</w:t>
            </w:r>
          </w:p>
          <w:p>
            <w:pPr>
              <w:pStyle w:val="null3"/>
            </w:pPr>
            <w:r>
              <w:rPr>
                <w:rFonts w:ascii="仿宋_GB2312" w:hAnsi="仿宋_GB2312" w:cs="仿宋_GB2312" w:eastAsia="仿宋_GB2312"/>
              </w:rPr>
              <w:t>（二）其他要求</w:t>
            </w:r>
          </w:p>
          <w:p>
            <w:pPr>
              <w:pStyle w:val="null3"/>
            </w:pPr>
            <w:r>
              <w:rPr>
                <w:rFonts w:ascii="仿宋_GB2312" w:hAnsi="仿宋_GB2312" w:cs="仿宋_GB2312" w:eastAsia="仿宋_GB2312"/>
              </w:rPr>
              <w:t>1.质量要求：学员出勤率和满意度达到85%以上，有效投诉率不超过5% 。</w:t>
            </w:r>
          </w:p>
          <w:p>
            <w:pPr>
              <w:pStyle w:val="null3"/>
            </w:pPr>
            <w:r>
              <w:rPr>
                <w:rFonts w:ascii="仿宋_GB2312" w:hAnsi="仿宋_GB2312" w:cs="仿宋_GB2312" w:eastAsia="仿宋_GB2312"/>
              </w:rPr>
              <w:t>2.纪律要求：严格按照相关规定，从严落实各项纪律要求，不得出现任何违规现象。</w:t>
            </w:r>
          </w:p>
          <w:p>
            <w:pPr>
              <w:pStyle w:val="null3"/>
            </w:pPr>
            <w:r>
              <w:rPr>
                <w:rFonts w:ascii="仿宋_GB2312" w:hAnsi="仿宋_GB2312" w:cs="仿宋_GB2312" w:eastAsia="仿宋_GB2312"/>
              </w:rPr>
              <w:t>3.安全要求：培训期间注意学员人身安全、财产安全，不得出现任何安全事故。</w:t>
            </w:r>
          </w:p>
          <w:p>
            <w:pPr>
              <w:pStyle w:val="null3"/>
            </w:pPr>
            <w:r>
              <w:rPr>
                <w:rFonts w:ascii="仿宋_GB2312" w:hAnsi="仿宋_GB2312" w:cs="仿宋_GB2312" w:eastAsia="仿宋_GB2312"/>
              </w:rPr>
              <w:t>4.保密要求：服务提供方应负责所有资料的保密，未经采购方书面同意，不得向任何人以任何方式提供任何与采购方及本项目有关的资料。</w:t>
            </w:r>
          </w:p>
          <w:p>
            <w:pPr>
              <w:pStyle w:val="null3"/>
            </w:pPr>
            <w:r>
              <w:rPr>
                <w:rFonts w:ascii="仿宋_GB2312" w:hAnsi="仿宋_GB2312" w:cs="仿宋_GB2312" w:eastAsia="仿宋_GB2312"/>
              </w:rPr>
              <w:t>5.资金要求：为保证项目顺利实施，投标人应具备较强的资金实力和严格的财务制度，为项目预留足够的准备金，应对部分费用预先垫支。</w:t>
            </w:r>
          </w:p>
          <w:p>
            <w:pPr>
              <w:pStyle w:val="null3"/>
            </w:pPr>
            <w:r>
              <w:rPr>
                <w:rFonts w:ascii="仿宋_GB2312" w:hAnsi="仿宋_GB2312" w:cs="仿宋_GB2312" w:eastAsia="仿宋_GB2312"/>
              </w:rPr>
              <w:t>五、其他重要条款</w:t>
            </w:r>
          </w:p>
          <w:p>
            <w:pPr>
              <w:pStyle w:val="null3"/>
            </w:pPr>
            <w:r>
              <w:rPr>
                <w:rFonts w:ascii="仿宋_GB2312" w:hAnsi="仿宋_GB2312" w:cs="仿宋_GB2312" w:eastAsia="仿宋_GB2312"/>
              </w:rPr>
              <w:t>1.本项目报价采用包干制，应涵盖本项目招标范围和招标文件所列的各项内容，由投标人根据招标文件所提供的资料自行测算投标报价；一经中标，投标报价总价作为中标人与采购人签订的合同金额，合同期限内不作调整。</w:t>
            </w:r>
          </w:p>
          <w:p>
            <w:pPr>
              <w:pStyle w:val="null3"/>
            </w:pPr>
            <w:r>
              <w:rPr>
                <w:rFonts w:ascii="仿宋_GB2312" w:hAnsi="仿宋_GB2312" w:cs="仿宋_GB2312" w:eastAsia="仿宋_GB2312"/>
              </w:rPr>
              <w:t>2.除政府采购合同继续履行将损害国家利益和社会公共利益外，双方当事人不得擅自变更、中止或者终止合同。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合同签订后至2026年10月30日，完成所有培训班项目、项目总结和资料汇编工作。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西安市老龄事业发展中心指定地点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①质量标准，符合国家行业相关标准。②验收：服务提供方向采购方提交服务实施过程中的所有资料，由采购方对服务提供方提供的培训服务全过程开展验收。验收依据为招投标文件、合同及附件文本。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项目完成并验收合格后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按照磋商文件、成交供应商响应文件和合同文本执行。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4月（含4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4月（含4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赋予的验证码）（成立时间至提交投标文件截止时间不足一年的可提供成立后任意时段的资产负债表），或提交自2025年11月1日以来银行出具的资信证明，或信用担保机构出具的投标担保函（以上三种形式的资料提供任何一种即可）；其他组织和自然人提供银行出具的资信证明或财务报表。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法定代表人参加磋商的，须提供法定代表人身份证复印件；法定代表人授权本单位他人参加磋商的，须提供法定代表人授权委托书。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本项目不接受联合体磋商，不允许分包。供应商应提供《非联合体不分包投标声明》。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磋商过程中出现下列情形之一的，磋商小组应当启动异常低价磋商审查程序：①磋商报价低于全部通过符合性审查供应商磋商报价平均值50%的，即磋商报价&lt;全部通过符合性审查供应商磋商报价平均值×50%； ②磋商报价低于通过符合性审查的次低报价供应商磋商报价50%的，即磋商报价&lt;通过符合性审查的次低报价供应商磋商报价×50%； ③磋商报价低于采购项目最高限价45%的，即磋商报价&lt;采购项目最高限价×45%； ④供应商基于专业判断，认为供应商报价过低，有可能影响产品质量或者不能诚信履约的其他情形。 二、磋商小组启动异常低价投标审查后，属于前述①至④情形的，应当要求相关供应商在评审现场合理的时间（30分钟）内对磋商价格作出解释，提供项目具体成本测算等与报价合理性相关的书面说明及必要的证明材料。书面说明应当包括：（1）按照国家财务会计制度的规定要求，逐项就供应商提供的货物、工程和服务的主营业务成本（应根据供应商企业类型予以区别）、税金及附加、原材料成本、人工成本、制造费用、销售费用、管理费用、财务费用等成本构成事项详细陈述。 （2）供应商以前完成类似规模项目与类似价格的业绩证明材料（合同、发票）。其中，属于③情形，供应商已随响应文件一并提交相关书面说明及必要的证明材料的，在评审现场可不再重复提交。 三、供应商提交的相关说明和证明材料，应当加盖供应商（法定名称）电子印章，在磋商小组要求的时间内通过项目电子化交易系统进行提交，否则提交的相关证明材料无效。供应商不能证明其磋商报价合理性的或未在规定时间提交上述（1）（2）材料的或者提供的材料不齐全的或者提供的材料不被专家认可的，磋商小组均应当将其响应文件作为无效处理。</w:t>
            </w:r>
          </w:p>
        </w:tc>
        <w:tc>
          <w:tcPr>
            <w:tcW w:type="dxa" w:w="1661"/>
          </w:tcPr>
          <w:p>
            <w:pPr>
              <w:pStyle w:val="null3"/>
            </w:pPr>
            <w:r>
              <w:rPr>
                <w:rFonts w:ascii="仿宋_GB2312" w:hAnsi="仿宋_GB2312" w:cs="仿宋_GB2312" w:eastAsia="仿宋_GB2312"/>
              </w:rPr>
              <w:t>响应文件封面 服务响应偏离表.docx 标的清单 承诺书.docx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响应处理：（1）响应文件未按照磋商文件规定要求签署、盖章的；（2）不满足本磋商文件中“服务期限、服务地点、支付约定”的实质性条款要求的；（3）响应文件有效期不足的或无有效期的；（4）报价超过磋商文件中规定的预算金额或最高限价的；（5）法律、法规和磋商文件规定的其他无效情形。</w:t>
            </w:r>
          </w:p>
        </w:tc>
        <w:tc>
          <w:tcPr>
            <w:tcW w:type="dxa" w:w="1661"/>
          </w:tcPr>
          <w:p>
            <w:pPr>
              <w:pStyle w:val="null3"/>
            </w:pPr>
            <w:r>
              <w:rPr>
                <w:rFonts w:ascii="仿宋_GB2312" w:hAnsi="仿宋_GB2312" w:cs="仿宋_GB2312" w:eastAsia="仿宋_GB2312"/>
              </w:rPr>
              <w:t>响应文件封面 服务响应偏离表.docx 标的清单 承诺书.docx 商务部分偏离表.docx 响应函 分项价格表.docx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整体方案</w:t>
            </w:r>
          </w:p>
        </w:tc>
        <w:tc>
          <w:tcPr>
            <w:tcW w:type="dxa" w:w="2492"/>
          </w:tcPr>
          <w:p>
            <w:pPr>
              <w:pStyle w:val="null3"/>
            </w:pPr>
            <w:r>
              <w:rPr>
                <w:rFonts w:ascii="仿宋_GB2312" w:hAnsi="仿宋_GB2312" w:cs="仿宋_GB2312" w:eastAsia="仿宋_GB2312"/>
              </w:rPr>
              <w:t>供应商结合项目特点、服务内容及要求制定项目整体方案，包括但不限于：①需求理解；②项目需求分析；③项目整体实施思路及规划。 完全满足采购需求，无瑕疵，计9分； 方案内容每存在1处瑕疵扣1分； 未提供或内容存在9处及以上瑕疵：0分。 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本表所有对于瑕疵定义的内容“同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1整体方案.docx</w:t>
            </w:r>
          </w:p>
          <w:p>
            <w:pPr>
              <w:pStyle w:val="null3"/>
            </w:pPr>
            <w:r>
              <w:rPr>
                <w:rFonts w:ascii="仿宋_GB2312" w:hAnsi="仿宋_GB2312" w:cs="仿宋_GB2312" w:eastAsia="仿宋_GB2312"/>
              </w:rPr>
              <w:t>服务响应偏离表.docx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供应商针对本项目需求提供实施方案，包括不限于：①培训组织方案；②场地选择及布置方案；③资料整理及提供方案；④食宿安排方案；⑤宣传方案；⑥保密方案等内容。 完全满足采购需求，无瑕疵，计12分； 方案内容每存在1处瑕疵扣1分； 未提供或内容存在12处及以上瑕疵：0分。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2实施方案.docx</w:t>
            </w:r>
          </w:p>
        </w:tc>
      </w:tr>
      <w:tr>
        <w:tc>
          <w:tcPr>
            <w:tcW w:type="dxa" w:w="831"/>
            <w:vMerge/>
          </w:tcPr>
          <w:p/>
        </w:tc>
        <w:tc>
          <w:tcPr>
            <w:tcW w:type="dxa" w:w="1661"/>
          </w:tcPr>
          <w:p>
            <w:pPr>
              <w:pStyle w:val="null3"/>
            </w:pPr>
            <w:r>
              <w:rPr>
                <w:rFonts w:ascii="仿宋_GB2312" w:hAnsi="仿宋_GB2312" w:cs="仿宋_GB2312" w:eastAsia="仿宋_GB2312"/>
              </w:rPr>
              <w:t>管理方案</w:t>
            </w:r>
          </w:p>
        </w:tc>
        <w:tc>
          <w:tcPr>
            <w:tcW w:type="dxa" w:w="2492"/>
          </w:tcPr>
          <w:p>
            <w:pPr>
              <w:pStyle w:val="null3"/>
            </w:pPr>
            <w:r>
              <w:rPr>
                <w:rFonts w:ascii="仿宋_GB2312" w:hAnsi="仿宋_GB2312" w:cs="仿宋_GB2312" w:eastAsia="仿宋_GB2312"/>
              </w:rPr>
              <w:t>供应商针对本项目需求提供管理方案，包括不限于：①针对性地设置主题课程；②开展多期项目活动；③外出现场教学的组织安排。 完全满足采购需求，无瑕疵，计6分； 方案内容每存在1处瑕疵扣1分； 未提供或内容存在6处及以上瑕疵：0分。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3管理方案.docx</w:t>
            </w:r>
          </w:p>
        </w:tc>
      </w:tr>
      <w:tr>
        <w:tc>
          <w:tcPr>
            <w:tcW w:type="dxa" w:w="831"/>
            <w:vMerge/>
          </w:tcPr>
          <w:p/>
        </w:tc>
        <w:tc>
          <w:tcPr>
            <w:tcW w:type="dxa" w:w="1661"/>
          </w:tcPr>
          <w:p>
            <w:pPr>
              <w:pStyle w:val="null3"/>
            </w:pPr>
            <w:r>
              <w:rPr>
                <w:rFonts w:ascii="仿宋_GB2312" w:hAnsi="仿宋_GB2312" w:cs="仿宋_GB2312" w:eastAsia="仿宋_GB2312"/>
              </w:rPr>
              <w:t>进度保障方案</w:t>
            </w:r>
          </w:p>
        </w:tc>
        <w:tc>
          <w:tcPr>
            <w:tcW w:type="dxa" w:w="2492"/>
          </w:tcPr>
          <w:p>
            <w:pPr>
              <w:pStyle w:val="null3"/>
            </w:pPr>
            <w:r>
              <w:rPr>
                <w:rFonts w:ascii="仿宋_GB2312" w:hAnsi="仿宋_GB2312" w:cs="仿宋_GB2312" w:eastAsia="仿宋_GB2312"/>
              </w:rPr>
              <w:t>供应商针对本项目各阶段完成要求提供进度保障方案，包括但不限于：①工作计划及组织方案；②工作流程；③进度保障方案 完全满足采购需求，无瑕疵，计9分； 方案内容每存在1处瑕疵扣1分； 未提供或内容存在9处及以上瑕疵：0分。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4进度保障方案.docx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供应商针对本项目需求及完成要求提供质量保障方案，内容包括但不限于：①质量管理制度；②培训期间安全保障方案；③实施各阶段质量管理措施等。 完全满足采购需求，无瑕疵，计9分； 方案内容每存在1处瑕疵扣1分； 未提供或内容存在9处及以上瑕疵：0分。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5质量保障方案.docx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供应商针对本项目实施过程中可能出现的突发情况提供预案，包括但不限于：①突发状况（如疾病等）有相应的应对措施；②人员变动应急预案；③培训现场中所涉及的其他应急情况等。 完全满足采购需求，无瑕疵，计9分； 方案内容每存在1处瑕疵扣1分； 未提供或内容存在9处及以上瑕疵：0分。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6应急预案.docx</w:t>
            </w:r>
          </w:p>
        </w:tc>
      </w:tr>
      <w:tr>
        <w:tc>
          <w:tcPr>
            <w:tcW w:type="dxa" w:w="831"/>
            <w:vMerge/>
          </w:tcPr>
          <w:p/>
        </w:tc>
        <w:tc>
          <w:tcPr>
            <w:tcW w:type="dxa" w:w="1661"/>
          </w:tcPr>
          <w:p>
            <w:pPr>
              <w:pStyle w:val="null3"/>
            </w:pPr>
            <w:r>
              <w:rPr>
                <w:rFonts w:ascii="仿宋_GB2312" w:hAnsi="仿宋_GB2312" w:cs="仿宋_GB2312" w:eastAsia="仿宋_GB2312"/>
              </w:rPr>
              <w:t>材料设备投入计划</w:t>
            </w:r>
          </w:p>
        </w:tc>
        <w:tc>
          <w:tcPr>
            <w:tcW w:type="dxa" w:w="2492"/>
          </w:tcPr>
          <w:p>
            <w:pPr>
              <w:pStyle w:val="null3"/>
            </w:pPr>
            <w:r>
              <w:rPr>
                <w:rFonts w:ascii="仿宋_GB2312" w:hAnsi="仿宋_GB2312" w:cs="仿宋_GB2312" w:eastAsia="仿宋_GB2312"/>
              </w:rPr>
              <w:t>供应商针对本项目需求及特点，提供材料设备投入计划，包括但不限于：①相关设备投入计划安排（培训所需的话筒、音响、多媒体投影等设备）；②备品备件计划保证措施等。 完全满足采购需求，无瑕疵，计9分； 方案内容每存在1处瑕疵扣1分； 未提供或内容存在9处及以上瑕疵：0分。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7材料设备投入计划.docx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供应商针对本项目配备专业项目总负责人及服务团队人员，根据供应商配备人员数量及专业配置、组织架构、岗位职责分配、团队人员从业经验情况进行综合评审。 完全满足采购需求，无瑕疵，计10分； 方案内容每存在1处瑕疵扣1分； 未提供或内容存在10处及以上瑕疵：0分。 注：提供项目组成员相关资料复印件；包含学历学位证书或资格证书等。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8团队人员.docx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针对本次项目实施过程中的重点、难点分析。重难点分析清晰，重点把控准确，难点解决思路明确，解决措施有助于项目实施。 完全满足采购需求，无瑕疵，计6分； 方案内容每存在1处瑕疵扣1分； 未提供或内容存在6处及以上瑕疵：0分。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9重难点分析.docx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1.合同金额包含培训人员考证费用。 2.邀请培训老师授课培训，支付课时费。 3.为保证项目顺利实施，投标人应具备较强的资金实力和严格的财务制度，为项目预留足够的准备金，应对部分费用预先垫支。 供应商对以上内容进行承诺,提供承诺书并加盖供应商公章（格式自拟）。 供应商提供承诺中，每包含上述1项内容计1分，满分3分。 承诺经磋商小组一致认定后予以计分。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扫描件（以合同签订日期为准），扫描件必须清晰体现签约主体和日期、项目名称及内容、合同金额等核心要素，否则不计为有效业绩。每提供1个有效业绩得1分，最高得5分。 备注：响应文件中提供合同扫描件加盖供应商公章。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11业绩.docx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供应商结合采购需求针对本项目提供合理化建议。每提供一项经磋商小组一致认定有利于项目实施的建议计1分，满分3分。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12合理化建议.docx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价格分统一采用低价优先法计算，即满足磋商文件要求且价格最低的磋商报价为评标基准价，其价格分为满分。其他供应商的价格分统一按照下列公式计算：价格分= (评标基准价／磋商报价)×报价分值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详见附件：1整体方案.docx</w:t>
      </w:r>
    </w:p>
    <w:p>
      <w:pPr>
        <w:pStyle w:val="null3"/>
        <w:ind w:firstLine="960"/>
      </w:pPr>
      <w:r>
        <w:rPr>
          <w:rFonts w:ascii="仿宋_GB2312" w:hAnsi="仿宋_GB2312" w:cs="仿宋_GB2312" w:eastAsia="仿宋_GB2312"/>
        </w:rPr>
        <w:t>详见附件：2实施方案.docx</w:t>
      </w:r>
    </w:p>
    <w:p>
      <w:pPr>
        <w:pStyle w:val="null3"/>
        <w:ind w:firstLine="960"/>
      </w:pPr>
      <w:r>
        <w:rPr>
          <w:rFonts w:ascii="仿宋_GB2312" w:hAnsi="仿宋_GB2312" w:cs="仿宋_GB2312" w:eastAsia="仿宋_GB2312"/>
        </w:rPr>
        <w:t>详见附件：3管理方案.docx</w:t>
      </w:r>
    </w:p>
    <w:p>
      <w:pPr>
        <w:pStyle w:val="null3"/>
        <w:ind w:firstLine="960"/>
      </w:pPr>
      <w:r>
        <w:rPr>
          <w:rFonts w:ascii="仿宋_GB2312" w:hAnsi="仿宋_GB2312" w:cs="仿宋_GB2312" w:eastAsia="仿宋_GB2312"/>
        </w:rPr>
        <w:t>详见附件：4进度保障方案.docx</w:t>
      </w:r>
    </w:p>
    <w:p>
      <w:pPr>
        <w:pStyle w:val="null3"/>
        <w:ind w:firstLine="960"/>
      </w:pPr>
      <w:r>
        <w:rPr>
          <w:rFonts w:ascii="仿宋_GB2312" w:hAnsi="仿宋_GB2312" w:cs="仿宋_GB2312" w:eastAsia="仿宋_GB2312"/>
        </w:rPr>
        <w:t>详见附件：5质量保障方案.docx</w:t>
      </w:r>
    </w:p>
    <w:p>
      <w:pPr>
        <w:pStyle w:val="null3"/>
        <w:ind w:firstLine="960"/>
      </w:pPr>
      <w:r>
        <w:rPr>
          <w:rFonts w:ascii="仿宋_GB2312" w:hAnsi="仿宋_GB2312" w:cs="仿宋_GB2312" w:eastAsia="仿宋_GB2312"/>
        </w:rPr>
        <w:t>详见附件：6应急预案.docx</w:t>
      </w:r>
    </w:p>
    <w:p>
      <w:pPr>
        <w:pStyle w:val="null3"/>
        <w:ind w:firstLine="960"/>
      </w:pPr>
      <w:r>
        <w:rPr>
          <w:rFonts w:ascii="仿宋_GB2312" w:hAnsi="仿宋_GB2312" w:cs="仿宋_GB2312" w:eastAsia="仿宋_GB2312"/>
        </w:rPr>
        <w:t>详见附件：7材料设备投入计划.docx</w:t>
      </w:r>
    </w:p>
    <w:p>
      <w:pPr>
        <w:pStyle w:val="null3"/>
        <w:ind w:firstLine="960"/>
      </w:pPr>
      <w:r>
        <w:rPr>
          <w:rFonts w:ascii="仿宋_GB2312" w:hAnsi="仿宋_GB2312" w:cs="仿宋_GB2312" w:eastAsia="仿宋_GB2312"/>
        </w:rPr>
        <w:t>详见附件：8团队人员.docx</w:t>
      </w:r>
    </w:p>
    <w:p>
      <w:pPr>
        <w:pStyle w:val="null3"/>
        <w:ind w:firstLine="960"/>
      </w:pPr>
      <w:r>
        <w:rPr>
          <w:rFonts w:ascii="仿宋_GB2312" w:hAnsi="仿宋_GB2312" w:cs="仿宋_GB2312" w:eastAsia="仿宋_GB2312"/>
        </w:rPr>
        <w:t>详见附件：9重难点分析.docx</w:t>
      </w:r>
    </w:p>
    <w:p>
      <w:pPr>
        <w:pStyle w:val="null3"/>
        <w:ind w:firstLine="960"/>
      </w:pPr>
      <w:r>
        <w:rPr>
          <w:rFonts w:ascii="仿宋_GB2312" w:hAnsi="仿宋_GB2312" w:cs="仿宋_GB2312" w:eastAsia="仿宋_GB2312"/>
        </w:rPr>
        <w:t>详见附件：10服务承诺.docx</w:t>
      </w:r>
    </w:p>
    <w:p>
      <w:pPr>
        <w:pStyle w:val="null3"/>
        <w:ind w:firstLine="960"/>
      </w:pPr>
      <w:r>
        <w:rPr>
          <w:rFonts w:ascii="仿宋_GB2312" w:hAnsi="仿宋_GB2312" w:cs="仿宋_GB2312" w:eastAsia="仿宋_GB2312"/>
        </w:rPr>
        <w:t>详见附件：11业绩.docx</w:t>
      </w:r>
    </w:p>
    <w:p>
      <w:pPr>
        <w:pStyle w:val="null3"/>
        <w:ind w:firstLine="960"/>
      </w:pPr>
      <w:r>
        <w:rPr>
          <w:rFonts w:ascii="仿宋_GB2312" w:hAnsi="仿宋_GB2312" w:cs="仿宋_GB2312" w:eastAsia="仿宋_GB2312"/>
        </w:rPr>
        <w:t>详见附件：12合理化建议.docx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详见附件：服务响应偏离表.docx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详见附件：商务部分偏离表.docx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