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版本号：HYTF-20260502520260612001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秦岭(林业)保护七进系列宣传项目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HYTF-202605025</w:t>
      </w:r>
      <w:r>
        <w:br/>
      </w:r>
      <w:r>
        <w:br/>
      </w:r>
      <w:r>
        <w:br/>
      </w:r>
    </w:p>
    <w:p>
      <w:pPr>
        <w:pStyle w:val="null3"/>
        <w:jc w:val="center"/>
        <w:outlineLvl w:val="2"/>
      </w:pPr>
      <w:r>
        <w:rPr>
          <w:rFonts w:ascii="仿宋_GB2312" w:hAnsi="仿宋_GB2312" w:cs="仿宋_GB2312" w:eastAsia="仿宋_GB2312"/>
          <w:sz w:val="28"/>
          <w:b/>
        </w:rPr>
        <w:t>西安市秦岭生态环境保护管理局（本级）</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西安市秦岭生态环境保护管理局（本级）</w:t>
      </w:r>
      <w:r>
        <w:rPr>
          <w:rFonts w:ascii="仿宋_GB2312" w:hAnsi="仿宋_GB2312" w:cs="仿宋_GB2312" w:eastAsia="仿宋_GB2312"/>
        </w:rPr>
        <w:t>委托，拟对</w:t>
      </w:r>
      <w:r>
        <w:rPr>
          <w:rFonts w:ascii="仿宋_GB2312" w:hAnsi="仿宋_GB2312" w:cs="仿宋_GB2312" w:eastAsia="仿宋_GB2312"/>
        </w:rPr>
        <w:t>秦岭(林业)保护七进系列宣传项目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HYTF-202605025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秦岭(林业)保护七进系列宣传项目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秦岭(林业)保护七进系列宣传项目，分为2个包项，采购包1开展志愿者服务活动；采购包2开展秦岭（林业）保护宣传用品设计制作。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pPr>
        <w:pStyle w:val="null3"/>
      </w:pPr>
      <w:r>
        <w:rPr>
          <w:rFonts w:ascii="仿宋_GB2312" w:hAnsi="仿宋_GB2312" w:cs="仿宋_GB2312" w:eastAsia="仿宋_GB2312"/>
        </w:rPr>
        <w:t>3、税收缴纳证明：提供2025年12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4、社保缴纳证明：提供2025年12月至今已缴存任意一个月社会保障资金缴存单据或社保机构开具的社会保险参保缴费证明，依法不需要缴纳社会保障资金的单位应提供相应证明文件；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10、本项目不接受联合体投标，不允许分包：本项目不接受联合体投标，不允许分包。供应商提供《非联合体不分包投标声明》，视为独立投标，不分包。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pPr>
        <w:pStyle w:val="null3"/>
      </w:pPr>
      <w:r>
        <w:rPr>
          <w:rFonts w:ascii="仿宋_GB2312" w:hAnsi="仿宋_GB2312" w:cs="仿宋_GB2312" w:eastAsia="仿宋_GB2312"/>
        </w:rPr>
        <w:t>3、税收缴纳证明：提供2025年12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4、社保缴纳证明：提供2025年12月至今已缴存任意一个月社会保障资金缴存单据或社保机构开具的社会保险参保缴费证明，依法不需要缴纳社会保障资金的单位应提供相应证明文件；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西安市秦岭生态环境保护管理局（本级）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长安区关中环线S107与子午大道十字向西850米路北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穆老师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029-89801353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029-89284433-604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采购包1：260,000.00元</w:t>
            </w:r>
          </w:p>
          <w:p>
            <w:pPr>
              <w:pStyle w:val="null3"/>
            </w:pPr>
            <w:r>
              <w:rPr>
                <w:rFonts w:ascii="仿宋_GB2312" w:hAnsi="仿宋_GB2312" w:cs="仿宋_GB2312" w:eastAsia="仿宋_GB2312"/>
              </w:rPr>
              <w:t>采购包2：260,000.00元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取费基数，采购代理服务费参照《国家计委关于印发&lt;招标代理服务收费管理暂行办法&gt;的通知》（计价格[2002]1980号）和（发改办价格[2011]534号）文件规定的标准，分包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西安市秦岭生态环境保护管理局（本级）</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西安市秦岭生态环境保护管理局（本级）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西安市秦岭生态环境保护管理局（本级）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联系人：赵维、李亚容</w:t>
      </w:r>
    </w:p>
    <w:p>
      <w:pPr>
        <w:pStyle w:val="null3"/>
      </w:pPr>
      <w:r>
        <w:rPr>
          <w:rFonts w:ascii="仿宋_GB2312" w:hAnsi="仿宋_GB2312" w:cs="仿宋_GB2312" w:eastAsia="仿宋_GB2312"/>
        </w:rPr>
        <w:t>联系电话：029-89284433-604</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秦岭(林业)保护七进系列宣传项目，分为2个包项，采购包1开展志愿者服务活动；采购包2开展秦岭（林业）保护宣传用品设计制作。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260,000.00</w:t>
      </w:r>
    </w:p>
    <w:p>
      <w:pPr>
        <w:pStyle w:val="null3"/>
      </w:pPr>
      <w:r>
        <w:rPr>
          <w:rFonts w:ascii="仿宋_GB2312" w:hAnsi="仿宋_GB2312" w:cs="仿宋_GB2312" w:eastAsia="仿宋_GB2312"/>
        </w:rPr>
        <w:t>采购包最高限价（元）: 260,000.00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志愿者服务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260,000.00</w:t>
      </w:r>
    </w:p>
    <w:p>
      <w:pPr>
        <w:pStyle w:val="null3"/>
      </w:pPr>
      <w:r>
        <w:rPr>
          <w:rFonts w:ascii="仿宋_GB2312" w:hAnsi="仿宋_GB2312" w:cs="仿宋_GB2312" w:eastAsia="仿宋_GB2312"/>
        </w:rPr>
        <w:t>采购包最高限价（元）: 260,000.00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秦岭(林业)保护七进系列宣传项目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标的名称：志愿者服务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723"/>
              <w:jc w:val="both"/>
            </w:pPr>
            <w:r>
              <w:rPr>
                <w:rFonts w:ascii="仿宋_GB2312" w:hAnsi="仿宋_GB2312" w:cs="仿宋_GB2312" w:eastAsia="仿宋_GB2312"/>
                <w:sz w:val="24"/>
                <w:b/>
              </w:rPr>
              <w:t>一、服务内容</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推进秦岭生态环境保护社会化</w:t>
            </w:r>
            <w:r>
              <w:rPr>
                <w:rFonts w:ascii="仿宋_GB2312" w:hAnsi="仿宋_GB2312" w:cs="仿宋_GB2312" w:eastAsia="仿宋_GB2312"/>
                <w:sz w:val="24"/>
              </w:rPr>
              <w:t>，</w:t>
            </w:r>
            <w:r>
              <w:rPr>
                <w:rFonts w:ascii="仿宋_GB2312" w:hAnsi="仿宋_GB2312" w:cs="仿宋_GB2312" w:eastAsia="仿宋_GB2312"/>
                <w:sz w:val="24"/>
              </w:rPr>
              <w:t>激励召集更多志愿者加入西安市秦岭生态环境保护志愿者联盟，</w:t>
            </w:r>
            <w:r>
              <w:rPr>
                <w:rFonts w:ascii="仿宋_GB2312" w:hAnsi="仿宋_GB2312" w:cs="仿宋_GB2312" w:eastAsia="仿宋_GB2312"/>
                <w:sz w:val="24"/>
              </w:rPr>
              <w:t>发展</w:t>
            </w:r>
            <w:r>
              <w:rPr>
                <w:rFonts w:ascii="仿宋_GB2312" w:hAnsi="仿宋_GB2312" w:cs="仿宋_GB2312" w:eastAsia="仿宋_GB2312"/>
                <w:sz w:val="24"/>
              </w:rPr>
              <w:t>吸纳社会志愿组织、单位达到</w:t>
            </w:r>
            <w:r>
              <w:rPr>
                <w:rFonts w:ascii="仿宋_GB2312" w:hAnsi="仿宋_GB2312" w:cs="仿宋_GB2312" w:eastAsia="仿宋_GB2312"/>
                <w:sz w:val="24"/>
              </w:rPr>
              <w:t>100</w:t>
            </w:r>
            <w:r>
              <w:rPr>
                <w:rFonts w:ascii="仿宋_GB2312" w:hAnsi="仿宋_GB2312" w:cs="仿宋_GB2312" w:eastAsia="仿宋_GB2312"/>
                <w:sz w:val="24"/>
              </w:rPr>
              <w:t>家</w:t>
            </w:r>
            <w:r>
              <w:rPr>
                <w:rFonts w:ascii="仿宋_GB2312" w:hAnsi="仿宋_GB2312" w:cs="仿宋_GB2312" w:eastAsia="仿宋_GB2312"/>
                <w:sz w:val="24"/>
              </w:rPr>
              <w:t>；</w:t>
            </w:r>
            <w:r>
              <w:rPr>
                <w:rFonts w:ascii="仿宋_GB2312" w:hAnsi="仿宋_GB2312" w:cs="仿宋_GB2312" w:eastAsia="仿宋_GB2312"/>
                <w:sz w:val="24"/>
              </w:rPr>
              <w:t>做好联盟组织，召开工作会议、总结表彰</w:t>
            </w:r>
            <w:r>
              <w:rPr>
                <w:rFonts w:ascii="仿宋_GB2312" w:hAnsi="仿宋_GB2312" w:cs="仿宋_GB2312" w:eastAsia="仿宋_GB2312"/>
                <w:sz w:val="24"/>
              </w:rPr>
              <w:t>等</w:t>
            </w:r>
            <w:r>
              <w:rPr>
                <w:rFonts w:ascii="仿宋_GB2312" w:hAnsi="仿宋_GB2312" w:cs="仿宋_GB2312" w:eastAsia="仿宋_GB2312"/>
                <w:sz w:val="24"/>
              </w:rPr>
              <w:t>工作</w:t>
            </w:r>
            <w:r>
              <w:rPr>
                <w:rFonts w:ascii="仿宋_GB2312" w:hAnsi="仿宋_GB2312" w:cs="仿宋_GB2312" w:eastAsia="仿宋_GB2312"/>
                <w:sz w:val="24"/>
              </w:rPr>
              <w:t>；</w:t>
            </w:r>
            <w:r>
              <w:rPr>
                <w:rFonts w:ascii="仿宋_GB2312" w:hAnsi="仿宋_GB2312" w:cs="仿宋_GB2312" w:eastAsia="仿宋_GB2312"/>
                <w:sz w:val="24"/>
              </w:rPr>
              <w:t>协调组织每个联盟成员参加或举办秦岭保护志愿活动至少</w:t>
            </w:r>
            <w:r>
              <w:rPr>
                <w:rFonts w:ascii="仿宋_GB2312" w:hAnsi="仿宋_GB2312" w:cs="仿宋_GB2312" w:eastAsia="仿宋_GB2312"/>
                <w:sz w:val="24"/>
              </w:rPr>
              <w:t>1次</w:t>
            </w:r>
            <w:r>
              <w:rPr>
                <w:rFonts w:ascii="仿宋_GB2312" w:hAnsi="仿宋_GB2312" w:cs="仿宋_GB2312" w:eastAsia="仿宋_GB2312"/>
                <w:sz w:val="24"/>
              </w:rPr>
              <w:t>，联动新媒体网络大</w:t>
            </w:r>
            <w:r>
              <w:rPr>
                <w:rFonts w:ascii="仿宋_GB2312" w:hAnsi="仿宋_GB2312" w:cs="仿宋_GB2312" w:eastAsia="仿宋_GB2312"/>
                <w:sz w:val="24"/>
              </w:rPr>
              <w:t>V扩大秦岭保护宣传传播。</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完成市秦岭保护局交办的秦岭保护志愿服务任务，</w:t>
            </w:r>
            <w:r>
              <w:rPr>
                <w:rFonts w:ascii="仿宋_GB2312" w:hAnsi="仿宋_GB2312" w:cs="仿宋_GB2312" w:eastAsia="仿宋_GB2312"/>
                <w:sz w:val="24"/>
              </w:rPr>
              <w:t>指导沿山区县开展志愿服务站点建设，以秦岭保护、爱鸟护鸟、禁止违规穿越、清洁秦岭山体等为宣传主题，</w:t>
            </w:r>
            <w:r>
              <w:rPr>
                <w:rFonts w:ascii="仿宋_GB2312" w:hAnsi="仿宋_GB2312" w:cs="仿宋_GB2312" w:eastAsia="仿宋_GB2312"/>
                <w:sz w:val="24"/>
              </w:rPr>
              <w:t>全年开展秦岭生态环境保护</w:t>
            </w:r>
            <w:r>
              <w:rPr>
                <w:rFonts w:ascii="仿宋_GB2312" w:hAnsi="仿宋_GB2312" w:cs="仿宋_GB2312" w:eastAsia="仿宋_GB2312"/>
                <w:sz w:val="24"/>
              </w:rPr>
              <w:t>“七进”志愿服务活动不少于</w:t>
            </w:r>
            <w:r>
              <w:rPr>
                <w:rFonts w:ascii="仿宋_GB2312" w:hAnsi="仿宋_GB2312" w:cs="仿宋_GB2312" w:eastAsia="仿宋_GB2312"/>
                <w:sz w:val="24"/>
              </w:rPr>
              <w:t>18</w:t>
            </w:r>
            <w:r>
              <w:rPr>
                <w:rFonts w:ascii="仿宋_GB2312" w:hAnsi="仿宋_GB2312" w:cs="仿宋_GB2312" w:eastAsia="仿宋_GB2312"/>
                <w:sz w:val="24"/>
              </w:rPr>
              <w:t>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3.西安秦岭保护志愿服务品牌宣传，开展进校园秦岭（林业）保护系列公益讲座6次，开展秦岭保护自然笔记大赛，编拍秦岭保护志愿服务创意宣传短片（5分钟）+志愿者活动拍摄5条（每条2分钟以内）</w:t>
            </w:r>
            <w:r>
              <w:rPr>
                <w:rFonts w:ascii="仿宋_GB2312" w:hAnsi="仿宋_GB2312" w:cs="仿宋_GB2312" w:eastAsia="仿宋_GB2312"/>
                <w:sz w:val="24"/>
              </w:rPr>
              <w:t>。</w:t>
            </w:r>
          </w:p>
          <w:p>
            <w:pPr>
              <w:pStyle w:val="null3"/>
            </w:pPr>
            <w:r>
              <w:rPr>
                <w:rFonts w:ascii="仿宋_GB2312" w:hAnsi="仿宋_GB2312" w:cs="仿宋_GB2312" w:eastAsia="仿宋_GB2312"/>
                <w:sz w:val="24"/>
                <w:b/>
              </w:rPr>
              <w:t>二、服务要求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项目完成</w:t>
            </w:r>
            <w:r>
              <w:rPr>
                <w:rFonts w:ascii="仿宋_GB2312" w:hAnsi="仿宋_GB2312" w:cs="仿宋_GB2312" w:eastAsia="仿宋_GB2312"/>
                <w:sz w:val="24"/>
              </w:rPr>
              <w:t>后，收集、整理完整的文字、图片、音像资料，整理成册归档；</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对年度工作开展绩效评估，形成年度宣传绩效报告；</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绩效报告及工作档册一式</w:t>
            </w:r>
            <w:r>
              <w:rPr>
                <w:rFonts w:ascii="仿宋_GB2312" w:hAnsi="仿宋_GB2312" w:cs="仿宋_GB2312" w:eastAsia="仿宋_GB2312"/>
                <w:sz w:val="24"/>
              </w:rPr>
              <w:t>伍</w:t>
            </w:r>
            <w:r>
              <w:rPr>
                <w:rFonts w:ascii="仿宋_GB2312" w:hAnsi="仿宋_GB2312" w:cs="仿宋_GB2312" w:eastAsia="仿宋_GB2312"/>
                <w:sz w:val="24"/>
              </w:rPr>
              <w:t>份，年底前报给市秦岭保护局。</w:t>
            </w:r>
          </w:p>
          <w:p>
            <w:pPr>
              <w:pStyle w:val="null3"/>
              <w:ind w:firstLine="480"/>
              <w:jc w:val="both"/>
            </w:pPr>
            <w:r>
              <w:rPr>
                <w:rFonts w:ascii="仿宋_GB2312" w:hAnsi="仿宋_GB2312" w:cs="仿宋_GB2312" w:eastAsia="仿宋_GB2312"/>
                <w:sz w:val="24"/>
                <w:b/>
              </w:rPr>
              <w:t>三、商务要求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服务期限</w:t>
            </w:r>
            <w:r>
              <w:rPr>
                <w:rFonts w:ascii="仿宋_GB2312" w:hAnsi="仿宋_GB2312" w:cs="仿宋_GB2312" w:eastAsia="仿宋_GB2312"/>
                <w:sz w:val="24"/>
              </w:rPr>
              <w:t>：合同签订之日起至</w:t>
            </w:r>
            <w:r>
              <w:rPr>
                <w:rFonts w:ascii="仿宋_GB2312" w:hAnsi="仿宋_GB2312" w:cs="仿宋_GB2312" w:eastAsia="仿宋_GB2312"/>
                <w:sz w:val="24"/>
              </w:rPr>
              <w:t>202</w:t>
            </w:r>
            <w:r>
              <w:rPr>
                <w:rFonts w:ascii="仿宋_GB2312" w:hAnsi="仿宋_GB2312" w:cs="仿宋_GB2312" w:eastAsia="仿宋_GB2312"/>
                <w:sz w:val="24"/>
              </w:rPr>
              <w:t>6</w:t>
            </w:r>
            <w:r>
              <w:rPr>
                <w:rFonts w:ascii="仿宋_GB2312" w:hAnsi="仿宋_GB2312" w:cs="仿宋_GB2312" w:eastAsia="仿宋_GB2312"/>
                <w:sz w:val="24"/>
              </w:rPr>
              <w:t>年</w:t>
            </w:r>
            <w:r>
              <w:rPr>
                <w:rFonts w:ascii="仿宋_GB2312" w:hAnsi="仿宋_GB2312" w:cs="仿宋_GB2312" w:eastAsia="仿宋_GB2312"/>
                <w:sz w:val="24"/>
              </w:rPr>
              <w:t>12月31日</w:t>
            </w:r>
          </w:p>
          <w:p>
            <w:pPr>
              <w:pStyle w:val="null3"/>
              <w:ind w:firstLine="480"/>
              <w:jc w:val="both"/>
            </w:pPr>
            <w:r>
              <w:rPr>
                <w:rFonts w:ascii="仿宋_GB2312" w:hAnsi="仿宋_GB2312" w:cs="仿宋_GB2312" w:eastAsia="仿宋_GB2312"/>
                <w:sz w:val="24"/>
              </w:rPr>
              <w:t>2、服务地点：采购人指定地点</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4"/>
              </w:rPr>
              <w:t>3、付款方式：合同签订后 ，达到付款条件起 30 日内，支付合同总金额的 60.00%；项目完成验收合格后 ，达到付款条件起 30 日内，支付合同总金额的 40.00%。以签订合同为准。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标的名称：秦岭(林业)保护七进系列宣传项目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一、服务要求</w:t>
            </w:r>
          </w:p>
          <w:p>
            <w:pPr>
              <w:pStyle w:val="null3"/>
              <w:ind w:firstLine="480"/>
            </w:pPr>
            <w:r>
              <w:rPr>
                <w:rFonts w:ascii="仿宋_GB2312" w:hAnsi="仿宋_GB2312" w:cs="仿宋_GB2312" w:eastAsia="仿宋_GB2312"/>
                <w:sz w:val="24"/>
              </w:rPr>
              <w:t>1.以秦小卫·万象秦岭为主题进行宣传用品设计与制作</w:t>
            </w:r>
            <w:r>
              <w:rPr>
                <w:rFonts w:ascii="仿宋_GB2312" w:hAnsi="仿宋_GB2312" w:cs="仿宋_GB2312" w:eastAsia="仿宋_GB2312"/>
              </w:rPr>
              <w:t>。</w:t>
            </w:r>
          </w:p>
          <w:p>
            <w:pPr>
              <w:pStyle w:val="null3"/>
              <w:ind w:firstLine="480"/>
            </w:pPr>
            <w:r>
              <w:rPr>
                <w:rFonts w:ascii="仿宋_GB2312" w:hAnsi="仿宋_GB2312" w:cs="仿宋_GB2312" w:eastAsia="仿宋_GB2312"/>
                <w:sz w:val="24"/>
              </w:rPr>
              <w:t>2.秦岭（林业）保护工作宣传。在全市公共场所利用便民多媒体公益募捐箱屏幕播放秦岭（林业）保护图像或视频，视频或图像是由供应商自己剪辑制作。</w:t>
            </w:r>
          </w:p>
          <w:p>
            <w:pPr>
              <w:pStyle w:val="null3"/>
              <w:ind w:firstLine="480"/>
            </w:pPr>
            <w:r>
              <w:rPr>
                <w:rFonts w:ascii="仿宋_GB2312" w:hAnsi="仿宋_GB2312" w:cs="仿宋_GB2312" w:eastAsia="仿宋_GB2312"/>
                <w:sz w:val="24"/>
              </w:rPr>
              <w:t>制作清单：</w:t>
            </w:r>
          </w:p>
          <w:tbl>
            <w:tblPr>
              <w:tblInd w:type="dxa" w:w="120"/>
              <w:tblBorders>
                <w:top w:val="none" w:color="000000" w:sz="4"/>
                <w:left w:val="none" w:color="000000" w:sz="4"/>
                <w:bottom w:val="none" w:color="000000" w:sz="4"/>
                <w:right w:val="none" w:color="000000" w:sz="4"/>
                <w:insideH w:val="none"/>
                <w:insideV w:val="none"/>
              </w:tblBorders>
            </w:tblPr>
            <w:tblGrid>
              <w:gridCol w:w="282"/>
              <w:gridCol w:w="425"/>
              <w:gridCol w:w="1121"/>
              <w:gridCol w:w="301"/>
              <w:gridCol w:w="422"/>
            </w:tblGrid>
            <w:tr>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880"/>
                    <w:jc w:val="center"/>
                  </w:pPr>
                  <w:r>
                    <w:rPr>
                      <w:rFonts w:ascii="仿宋_GB2312" w:hAnsi="仿宋_GB2312" w:cs="仿宋_GB2312" w:eastAsia="仿宋_GB2312"/>
                      <w:sz w:val="24"/>
                    </w:rPr>
                    <w:t>序号</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80"/>
                    <w:jc w:val="center"/>
                  </w:pPr>
                  <w:r>
                    <w:rPr>
                      <w:rFonts w:ascii="仿宋_GB2312" w:hAnsi="仿宋_GB2312" w:cs="仿宋_GB2312" w:eastAsia="仿宋_GB2312"/>
                      <w:sz w:val="24"/>
                    </w:rPr>
                    <w:t>项目</w:t>
                  </w:r>
                </w:p>
              </w:tc>
              <w:tc>
                <w:tcPr>
                  <w:tcW w:type="dxa" w:w="1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80"/>
                    <w:jc w:val="center"/>
                  </w:pPr>
                  <w:r>
                    <w:rPr>
                      <w:rFonts w:ascii="仿宋_GB2312" w:hAnsi="仿宋_GB2312" w:cs="仿宋_GB2312" w:eastAsia="仿宋_GB2312"/>
                      <w:sz w:val="24"/>
                    </w:rPr>
                    <w:t>规格</w:t>
                  </w:r>
                  <w:r>
                    <w:rPr>
                      <w:rFonts w:ascii="仿宋_GB2312" w:hAnsi="仿宋_GB2312" w:cs="仿宋_GB2312" w:eastAsia="仿宋_GB2312"/>
                      <w:sz w:val="24"/>
                    </w:rPr>
                    <w:t>/内容</w:t>
                  </w:r>
                </w:p>
              </w:tc>
              <w:tc>
                <w:tcPr>
                  <w:tcW w:type="dxa" w:w="3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80"/>
                    <w:jc w:val="both"/>
                  </w:pPr>
                  <w:r>
                    <w:rPr>
                      <w:rFonts w:ascii="仿宋_GB2312" w:hAnsi="仿宋_GB2312" w:cs="仿宋_GB2312" w:eastAsia="仿宋_GB2312"/>
                      <w:sz w:val="24"/>
                    </w:rPr>
                    <w:t>单位</w:t>
                  </w: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80"/>
                    <w:jc w:val="center"/>
                  </w:pPr>
                  <w:r>
                    <w:rPr>
                      <w:rFonts w:ascii="仿宋_GB2312" w:hAnsi="仿宋_GB2312" w:cs="仿宋_GB2312" w:eastAsia="仿宋_GB2312"/>
                      <w:sz w:val="24"/>
                    </w:rPr>
                    <w:t>暂定数量</w:t>
                  </w:r>
                </w:p>
              </w:tc>
            </w:tr>
            <w:tr>
              <w:tc>
                <w:tcPr>
                  <w:tcW w:type="dxa" w:w="28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2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设计策划</w:t>
                  </w: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设计策划方案报告</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28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2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党建笔记本</w:t>
                  </w: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a5：145*210mm  ，内页≥200页，PU荔枝纹</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r>
            <w:tr>
              <w:tc>
                <w:tcPr>
                  <w:tcW w:type="dxa" w:w="28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2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工作笔记本</w:t>
                  </w: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a5：145*210mm  ，内页≥200页，PU荔枝纹</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r>
            <w:tr>
              <w:tc>
                <w:tcPr>
                  <w:tcW w:type="dxa" w:w="28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2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保温杯</w:t>
                  </w: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内胆食品级</w:t>
                  </w:r>
                  <w:r>
                    <w:rPr>
                      <w:rFonts w:ascii="仿宋_GB2312" w:hAnsi="仿宋_GB2312" w:cs="仿宋_GB2312" w:eastAsia="仿宋_GB2312"/>
                      <w:sz w:val="24"/>
                    </w:rPr>
                    <w:t>304不锈钢≥500ml</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r>
            <w:tr>
              <w:tc>
                <w:tcPr>
                  <w:tcW w:type="dxa" w:w="28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2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秦小卫充电宝</w:t>
                  </w: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快充</w:t>
                  </w:r>
                  <w:r>
                    <w:rPr>
                      <w:rFonts w:ascii="仿宋_GB2312" w:hAnsi="仿宋_GB2312" w:cs="仿宋_GB2312" w:eastAsia="仿宋_GB2312"/>
                      <w:sz w:val="24"/>
                    </w:rPr>
                    <w:t>≥20000Mah,带双充电线</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r>
            <w:tr>
              <w:tc>
                <w:tcPr>
                  <w:tcW w:type="dxa" w:w="28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2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鼠标垫</w:t>
                  </w: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天然橡胶，约</w:t>
                  </w:r>
                  <w:r>
                    <w:rPr>
                      <w:rFonts w:ascii="仿宋_GB2312" w:hAnsi="仿宋_GB2312" w:cs="仿宋_GB2312" w:eastAsia="仿宋_GB2312"/>
                      <w:sz w:val="24"/>
                    </w:rPr>
                    <w:t>250*420*2mm，背景色锁边</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r>
            <w:tr>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秦小卫文创盒</w:t>
                  </w: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茶具组合一壶两杯</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秦岭盛景变色马克杯文创盒</w:t>
                  </w: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定制瓷杯可变色材质，杯口约</w:t>
                  </w:r>
                  <w:r>
                    <w:rPr>
                      <w:rFonts w:ascii="仿宋_GB2312" w:hAnsi="仿宋_GB2312" w:cs="仿宋_GB2312" w:eastAsia="仿宋_GB2312"/>
                      <w:sz w:val="24"/>
                    </w:rPr>
                    <w:t>8.3厘米，杯高约9.3，带手柄直接约13.5，带盖子过滤网整高约11.8厘米</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“秦岭”邮册套装</w:t>
                  </w: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秦岭龙脉邮册</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环保帆布袋</w:t>
                  </w: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约</w:t>
                  </w:r>
                  <w:r>
                    <w:rPr>
                      <w:rFonts w:ascii="仿宋_GB2312" w:hAnsi="仿宋_GB2312" w:cs="仿宋_GB2312" w:eastAsia="仿宋_GB2312"/>
                      <w:sz w:val="24"/>
                    </w:rPr>
                    <w:t>310*360*100mm，主材质：帆布</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r>
            <w:tr>
              <w:tc>
                <w:tcPr>
                  <w:tcW w:type="dxa" w:w="28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秦岭保护登山杖</w:t>
                  </w: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铝合金</w:t>
                  </w:r>
                  <w:r>
                    <w:rPr>
                      <w:rFonts w:ascii="仿宋_GB2312" w:hAnsi="仿宋_GB2312" w:cs="仿宋_GB2312" w:eastAsia="仿宋_GB2312"/>
                      <w:sz w:val="24"/>
                    </w:rPr>
                    <w:t>+钨钢，收纳：36cm，使用：115-135cm</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r>
            <w:tr>
              <w:tc>
                <w:tcPr>
                  <w:tcW w:type="dxa" w:w="28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秦岭保护遮阳帽</w:t>
                  </w: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尼龙材质头围</w:t>
                  </w:r>
                  <w:r>
                    <w:rPr>
                      <w:rFonts w:ascii="仿宋_GB2312" w:hAnsi="仿宋_GB2312" w:cs="仿宋_GB2312" w:eastAsia="仿宋_GB2312"/>
                      <w:sz w:val="24"/>
                    </w:rPr>
                    <w:t>54-58cm、帽檐：13cm</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r>
            <w:tr>
              <w:tc>
                <w:tcPr>
                  <w:tcW w:type="dxa" w:w="28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软胶钥匙扣</w:t>
                  </w: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软胶材质</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r>
            <w:tr>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“自然探索”儿童科普文具套装</w:t>
                  </w: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包含尺子（印有海拔刻度）、橡皮（动物造型）、铅笔、</w:t>
                  </w:r>
                  <w:r>
                    <w:rPr>
                      <w:rFonts w:ascii="仿宋_GB2312" w:hAnsi="仿宋_GB2312" w:cs="仿宋_GB2312" w:eastAsia="仿宋_GB2312"/>
                      <w:sz w:val="24"/>
                    </w:rPr>
                    <w:t>20cm尺装；橡皮8-10cm、铅笔：18cm</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秦小卫魔方</w:t>
                  </w: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环保塑胶约</w:t>
                  </w:r>
                  <w:r>
                    <w:rPr>
                      <w:rFonts w:ascii="仿宋_GB2312" w:hAnsi="仿宋_GB2312" w:cs="仿宋_GB2312" w:eastAsia="仿宋_GB2312"/>
                      <w:sz w:val="24"/>
                    </w:rPr>
                    <w:t>69.6*69.6*69.6mm</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科普贴纸套装</w:t>
                  </w: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A4:约210*297不干胶贴纸类（秦岭科普）</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雨伞</w:t>
                  </w: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伞杆材质：不锈钢，伞布：碰击布，收纳：</w:t>
                  </w:r>
                  <w:r>
                    <w:rPr>
                      <w:rFonts w:ascii="仿宋_GB2312" w:hAnsi="仿宋_GB2312" w:cs="仿宋_GB2312" w:eastAsia="仿宋_GB2312"/>
                      <w:sz w:val="24"/>
                    </w:rPr>
                    <w:t>25cm、开伞直径：98-110cm</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秦岭饮用水宣传</w:t>
                  </w: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饮用水</w:t>
                  </w:r>
                  <w:r>
                    <w:rPr>
                      <w:rFonts w:ascii="仿宋_GB2312" w:hAnsi="仿宋_GB2312" w:cs="仿宋_GB2312" w:eastAsia="仿宋_GB2312"/>
                      <w:sz w:val="24"/>
                    </w:rPr>
                    <w:t>≥375ml，水瓶上印制秦岭保护宣传内容</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880"/>
                    <w:jc w:val="center"/>
                  </w:pPr>
                  <w:r>
                    <w:rPr>
                      <w:rFonts w:ascii="仿宋_GB2312" w:hAnsi="仿宋_GB2312" w:cs="仿宋_GB2312" w:eastAsia="仿宋_GB2312"/>
                      <w:sz w:val="24"/>
                    </w:rPr>
                    <w:t>19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秦岭（林业）保护工作宣传</w:t>
                  </w: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在全市公共场所利用便民多媒体公益募捐箱屏幕播放秦岭（林业）保护图像或视频。</w:t>
                  </w:r>
                  <w:r>
                    <w:rPr>
                      <w:rFonts w:ascii="仿宋_GB2312" w:hAnsi="仿宋_GB2312" w:cs="仿宋_GB2312" w:eastAsia="仿宋_GB2312"/>
                      <w:sz w:val="24"/>
                    </w:rPr>
                    <w:t>(投放时长&gt;30秒，每天轮播120次，时间8周），不少于28个场所。</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bl>
          <w:p>
            <w:pPr>
              <w:pStyle w:val="null3"/>
              <w:ind w:firstLine="480"/>
            </w:pPr>
            <w:r>
              <w:rPr>
                <w:rFonts w:ascii="仿宋_GB2312" w:hAnsi="仿宋_GB2312" w:cs="仿宋_GB2312" w:eastAsia="仿宋_GB2312"/>
                <w:sz w:val="24"/>
              </w:rPr>
              <w:t>3.设计要求：本项目旨在通过一系列高品质、广覆盖的宣传用品，向公众有效传递秦岭作为国家重要生态安全屏障的深远意义，普及生态保护法律法规，展示秦岭丰富的生物多样性与独特的自然文化遗产，全面提升社会各界的生态保护意识和参与热情，营造“坚决守护好我国中央水塔和中华民族祖脉”的良好社会氛围。</w:t>
            </w:r>
          </w:p>
          <w:p>
            <w:pPr>
              <w:pStyle w:val="null3"/>
              <w:ind w:firstLine="480"/>
            </w:pPr>
            <w:r>
              <w:rPr>
                <w:rFonts w:ascii="仿宋_GB2312" w:hAnsi="仿宋_GB2312" w:cs="仿宋_GB2312" w:eastAsia="仿宋_GB2312"/>
                <w:sz w:val="24"/>
              </w:rPr>
              <w:t>4.设计原则</w:t>
            </w:r>
          </w:p>
          <w:p>
            <w:pPr>
              <w:pStyle w:val="null3"/>
              <w:ind w:firstLine="480"/>
            </w:pPr>
            <w:r>
              <w:rPr>
                <w:rFonts w:ascii="仿宋_GB2312" w:hAnsi="仿宋_GB2312" w:cs="仿宋_GB2312" w:eastAsia="仿宋_GB2312"/>
                <w:sz w:val="24"/>
              </w:rPr>
              <w:t>主题鲜明性：所有设计必须紧扣</w:t>
            </w:r>
            <w:r>
              <w:rPr>
                <w:rFonts w:ascii="仿宋_GB2312" w:hAnsi="仿宋_GB2312" w:cs="仿宋_GB2312" w:eastAsia="仿宋_GB2312"/>
                <w:sz w:val="24"/>
              </w:rPr>
              <w:t>“秦岭生态保护”核心主题，突出“绿水青山就是金山银山”的生态文明理念，内容积极、健康、向上。</w:t>
            </w:r>
          </w:p>
          <w:p>
            <w:pPr>
              <w:pStyle w:val="null3"/>
              <w:ind w:firstLine="480"/>
            </w:pPr>
            <w:r>
              <w:rPr>
                <w:rFonts w:ascii="仿宋_GB2312" w:hAnsi="仿宋_GB2312" w:cs="仿宋_GB2312" w:eastAsia="仿宋_GB2312"/>
                <w:sz w:val="24"/>
              </w:rPr>
              <w:t>艺术性与专业性：设计作品需兼具美感与创意，构图新颖、色彩协调、排版精良，具有强烈的视觉冲击力和艺术感染力。</w:t>
            </w:r>
          </w:p>
          <w:p>
            <w:pPr>
              <w:pStyle w:val="null3"/>
              <w:ind w:firstLine="480"/>
            </w:pPr>
            <w:r>
              <w:rPr>
                <w:rFonts w:ascii="仿宋_GB2312" w:hAnsi="仿宋_GB2312" w:cs="仿宋_GB2312" w:eastAsia="仿宋_GB2312"/>
                <w:sz w:val="24"/>
              </w:rPr>
              <w:t>准确性与科学性：所涉及的秦岭地理信息、动植物物种、生态知识等内容必须严谨准确，符合科学常识，不得出现误导性信息。</w:t>
            </w:r>
          </w:p>
          <w:p>
            <w:pPr>
              <w:pStyle w:val="null3"/>
              <w:ind w:firstLine="480"/>
            </w:pPr>
            <w:r>
              <w:rPr>
                <w:rFonts w:ascii="仿宋_GB2312" w:hAnsi="仿宋_GB2312" w:cs="仿宋_GB2312" w:eastAsia="仿宋_GB2312"/>
                <w:sz w:val="24"/>
              </w:rPr>
              <w:t>实用性与传播性：设计应充分考虑宣传用品的最终用途、使用场景与受众群体（如市民、游客、学生等），确保信息传递高效、直观，易于理解和记忆。</w:t>
            </w:r>
          </w:p>
          <w:p>
            <w:pPr>
              <w:pStyle w:val="null3"/>
              <w:ind w:firstLine="480"/>
            </w:pPr>
            <w:r>
              <w:rPr>
                <w:rFonts w:ascii="仿宋_GB2312" w:hAnsi="仿宋_GB2312" w:cs="仿宋_GB2312" w:eastAsia="仿宋_GB2312"/>
                <w:sz w:val="24"/>
              </w:rPr>
              <w:t>环保性：鼓励使用可再生、可降解或环保的物料进行制作，践行绿色采购理念，与本项目生态保护的内核相一致。</w:t>
            </w:r>
          </w:p>
          <w:p>
            <w:pPr>
              <w:pStyle w:val="null3"/>
              <w:ind w:firstLine="482"/>
            </w:pPr>
            <w:r>
              <w:rPr>
                <w:rFonts w:ascii="仿宋_GB2312" w:hAnsi="仿宋_GB2312" w:cs="仿宋_GB2312" w:eastAsia="仿宋_GB2312"/>
                <w:sz w:val="24"/>
                <w:b/>
              </w:rPr>
              <w:t>二、服务要求</w:t>
            </w:r>
          </w:p>
          <w:p>
            <w:pPr>
              <w:pStyle w:val="null3"/>
              <w:ind w:firstLine="480"/>
              <w:jc w:val="both"/>
            </w:pPr>
            <w:r>
              <w:rPr>
                <w:rFonts w:ascii="仿宋_GB2312" w:hAnsi="仿宋_GB2312" w:cs="仿宋_GB2312" w:eastAsia="仿宋_GB2312"/>
                <w:sz w:val="24"/>
              </w:rPr>
              <w:t>1）所有设计方案须经甲方审定后实施，如有变动，不得低于原要求质量与标准；</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项目完成</w:t>
            </w:r>
            <w:r>
              <w:rPr>
                <w:rFonts w:ascii="仿宋_GB2312" w:hAnsi="仿宋_GB2312" w:cs="仿宋_GB2312" w:eastAsia="仿宋_GB2312"/>
                <w:sz w:val="24"/>
              </w:rPr>
              <w:t>后，收集、整理完整的文字、图片、音像资料，整理成册归档；</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对年度工作开展绩效评估，形成年度宣传绩效报告；</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绩效报告及工作档册一式</w:t>
            </w:r>
            <w:r>
              <w:rPr>
                <w:rFonts w:ascii="仿宋_GB2312" w:hAnsi="仿宋_GB2312" w:cs="仿宋_GB2312" w:eastAsia="仿宋_GB2312"/>
                <w:sz w:val="24"/>
              </w:rPr>
              <w:t>伍</w:t>
            </w:r>
            <w:r>
              <w:rPr>
                <w:rFonts w:ascii="仿宋_GB2312" w:hAnsi="仿宋_GB2312" w:cs="仿宋_GB2312" w:eastAsia="仿宋_GB2312"/>
                <w:sz w:val="24"/>
              </w:rPr>
              <w:t>份，年底前报给市秦岭保护局。</w:t>
            </w:r>
          </w:p>
          <w:p>
            <w:pPr>
              <w:pStyle w:val="null3"/>
              <w:ind w:firstLine="480"/>
              <w:jc w:val="both"/>
            </w:pPr>
            <w:r>
              <w:rPr>
                <w:rFonts w:ascii="仿宋_GB2312" w:hAnsi="仿宋_GB2312" w:cs="仿宋_GB2312" w:eastAsia="仿宋_GB2312"/>
                <w:sz w:val="24"/>
                <w:b/>
              </w:rPr>
              <w:t>三、商务要求</w:t>
            </w:r>
          </w:p>
          <w:p>
            <w:pPr>
              <w:pStyle w:val="null3"/>
              <w:ind w:firstLine="480"/>
              <w:jc w:val="both"/>
            </w:pPr>
            <w:r>
              <w:rPr>
                <w:rFonts w:ascii="仿宋_GB2312" w:hAnsi="仿宋_GB2312" w:cs="仿宋_GB2312" w:eastAsia="仿宋_GB2312"/>
                <w:sz w:val="24"/>
              </w:rPr>
              <w:t>1、服务</w:t>
            </w:r>
            <w:r>
              <w:rPr>
                <w:rFonts w:ascii="仿宋_GB2312" w:hAnsi="仿宋_GB2312" w:cs="仿宋_GB2312" w:eastAsia="仿宋_GB2312"/>
                <w:sz w:val="24"/>
              </w:rPr>
              <w:t>期限</w:t>
            </w:r>
            <w:r>
              <w:rPr>
                <w:rFonts w:ascii="仿宋_GB2312" w:hAnsi="仿宋_GB2312" w:cs="仿宋_GB2312" w:eastAsia="仿宋_GB2312"/>
                <w:sz w:val="24"/>
              </w:rPr>
              <w:t>：合同签订之日起至</w:t>
            </w:r>
            <w:r>
              <w:rPr>
                <w:rFonts w:ascii="仿宋_GB2312" w:hAnsi="仿宋_GB2312" w:cs="仿宋_GB2312" w:eastAsia="仿宋_GB2312"/>
                <w:sz w:val="24"/>
              </w:rPr>
              <w:t>202</w:t>
            </w:r>
            <w:r>
              <w:rPr>
                <w:rFonts w:ascii="仿宋_GB2312" w:hAnsi="仿宋_GB2312" w:cs="仿宋_GB2312" w:eastAsia="仿宋_GB2312"/>
                <w:sz w:val="24"/>
              </w:rPr>
              <w:t>6</w:t>
            </w:r>
            <w:r>
              <w:rPr>
                <w:rFonts w:ascii="仿宋_GB2312" w:hAnsi="仿宋_GB2312" w:cs="仿宋_GB2312" w:eastAsia="仿宋_GB2312"/>
                <w:sz w:val="24"/>
              </w:rPr>
              <w:t>年</w:t>
            </w:r>
            <w:r>
              <w:rPr>
                <w:rFonts w:ascii="仿宋_GB2312" w:hAnsi="仿宋_GB2312" w:cs="仿宋_GB2312" w:eastAsia="仿宋_GB2312"/>
                <w:sz w:val="24"/>
              </w:rPr>
              <w:t>12月31日</w:t>
            </w:r>
          </w:p>
          <w:p>
            <w:pPr>
              <w:pStyle w:val="null3"/>
              <w:ind w:firstLine="480"/>
              <w:jc w:val="both"/>
            </w:pPr>
            <w:r>
              <w:rPr>
                <w:rFonts w:ascii="仿宋_GB2312" w:hAnsi="仿宋_GB2312" w:cs="仿宋_GB2312" w:eastAsia="仿宋_GB2312"/>
                <w:sz w:val="24"/>
              </w:rPr>
              <w:t>2、服务地点：采购人指定地点</w:t>
            </w:r>
          </w:p>
          <w:p>
            <w:pPr>
              <w:pStyle w:val="null3"/>
            </w:pPr>
            <w:r>
              <w:rPr>
                <w:rFonts w:ascii="仿宋_GB2312" w:hAnsi="仿宋_GB2312" w:cs="仿宋_GB2312" w:eastAsia="仿宋_GB2312"/>
              </w:rPr>
              <w:t xml:space="preserve">    </w:t>
            </w:r>
            <w:r>
              <w:rPr>
                <w:rFonts w:ascii="仿宋_GB2312" w:hAnsi="仿宋_GB2312" w:cs="仿宋_GB2312" w:eastAsia="仿宋_GB2312"/>
                <w:sz w:val="24"/>
              </w:rPr>
              <w:t>3、付款方式：合同签订后 ，达到付款条件起 30 日内，支付合同总金额的 60.00%；项目完成验收合格后 ，达到付款条件起 30 日内，支付合同总金额的 40.00%。以签订合同为准。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其他，项目完成验收合格后，达到付款条件起30个工作日内，支付合同总金额的40.0%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其他，项目完成验收合格后，达到付款条件起30个工作日内，支付合同总金额的40.0%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成交供应商在成交结果公示后线下递交纸质响应文件正本壹份、副本壹份，递交文件地点：陕西省西安市国家民用航天产业基地神舟大道1666号新经济产业园北区3幢2层。2、本项3.3.5支付约定中的付款时间以技术参数与性能指标中的时间为准。3、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提供2025年12月至今已缴纳任意一个月纳税证明或税务机关开具的完税证明（时间以税款所属日期为准，凭据应有税务机关或代收机关的公章或业务专用章。）依法免税或无须缴纳税收的单位应提供相应证明文件；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提供2025年12月至今已缴存任意一个月社会保障资金缴存单据或社保机构开具的社会保险参保缴费证明，依法不需要缴纳社会保障资金的单位应提供相应证明文件；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提供2025年12月至今已缴纳任意一个月纳税证明或税务机关开具的完税证明（时间以税款所属日期为准，凭据应有税务机关或代收机关的公章或业务专用章。）依法免税或无须缴纳税收的单位应提供相应证明文件；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提供2025年12月至今已缴存任意一个月社会保障资金缴存单据或社保机构开具的社会保险参保缴费证明，依法不需要缴纳社会保障资金的单位应提供相应证明文件；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满足本磋商文件中的实质性条款（服务期限、服务地点、付款方式）要求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满足本磋商文件中的实质性条款（服务期限、服务地点、付款方式）要求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对本项目的实施背景、实施目的、实施意义等具备充分的认识。对本项目的总体认识定位准确，理解深刻，表述清晰，对项目实施的重点、难点把握精准计10分；对本项目的总体认识定位基本准确，表述较清晰，对项目实施的重点、难点具有一定的认识计7分；对本项目的总体认识定位较准确，表述一般，对项目实施的重点、难点认识欠缺计4分；对本项目的总体认识定位不准确，理解不深刻，表述不清晰，对项目实施的重点、难点把握偏离计1分；相关内容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供应商提供针对本项目的服务方案，包括①开展志愿活动组织方案；②宣传服务方案；③对项目成效把控跟踪。 二、评审标准 方案内容专门针对本项目编制，切合本项目实际情况及实施要求，内容与要点相符、每个要点均有展开详细的阐述且能够适用于本项目的计15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供应商提供针对本项目的质量保障措施，包括①质量控制管理方案；②后期服务保障措施。 二、评审标准 方案内容专门针对本项目编制，切合本项目实际情况及实施要求，内容与要点相符、每个要点均有展开详细的阐述且能够适用于本项目的计10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进度计划方案</w:t>
            </w:r>
          </w:p>
        </w:tc>
        <w:tc>
          <w:tcPr>
            <w:tcW w:type="dxa" w:w="2492"/>
          </w:tcPr>
          <w:p>
            <w:pPr>
              <w:pStyle w:val="null3"/>
            </w:pPr>
            <w:r>
              <w:rPr>
                <w:rFonts w:ascii="仿宋_GB2312" w:hAnsi="仿宋_GB2312" w:cs="仿宋_GB2312" w:eastAsia="仿宋_GB2312"/>
              </w:rPr>
              <w:t>一、评审内容 供应商提供针对本项目的进度计划方案，包括①项目服务期间的时间节点安排；②各阶段的资源投入实施计划及进度保障措施。 二、评审标准 方案内容专门针对本项目编制，切合本项目实际情况及实施要求，与要点相符、每个要点均有展开详细的阐述且能够适用于本项目的计10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一、评审内容 供应商提供针对本项目的项目团队配置方案，包括①团队人员各专业岗位配置及人员职责；②团队人员管理制度。 二、评审标准 方案内容专门针对本项目编制，切合本项目实际情况及实施要求，与要点相符、每个要点均有展开详细的阐述且能够适用于本项目的计10分；评审内容每缺一项扣5分，扣完为止；评审内容有缺陷的每任意一项缺陷扣1分，扣完为止。（缺陷是指：内容不完整或缺少关键点；逻辑混乱、前后表述矛盾；职责不明确；制度不合理；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供应商提供针对本项目的应急方案，包括①应急保障方案；②未达到预期效果的补救措施。 二、评审标准 方案内容专门针对本项目编制，切合本项目实际情况及实施要求，内容与要点相符、每个要点均有展开详细的阐述且能够适用于本项目的计10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供应商针对本项目的合理化建议、增值服务等内容进行阐述。 建议可行、增值服务合理、有可实施性计6分； 建议基本可行、增值服务一般计4分；建议可行性差、无增值服务计1分。未提供不计分。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供应商提供针对本项目的服务承诺，包括①与采购人配合的服务承诺；②对本项目周期、计划、服务时限内团队稳定性、人员到位情况等相关内容做出承诺；③不能完全履行承诺时愿意接受相关处罚等。 二、评审标准 服务承诺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供应商提供自2023年1月1日至今（以合同签订时间为准）类似项目业绩，响应文件中附有其业绩证明材料，业绩以合同为依据，每提供一个计2分，满分10分。 （注：响应文件中提供复印件加盖供应商公章）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对本项目的实施背景、实施目的、实施意义等具备充分的认识。对本项目的总体认识定位准确，理解深刻，表述清晰，对项目实施的重点、难点把握精准计8分；对本项目的总体认识定位基本准确，表述较清晰，对项目实施的重点、难点具有一定的认识计5分；对本项目的总体认识定位较准确，表述一般，对项目实施的重点、难点认识欠缺计3分；对本项目的总体认识定位不准确，理解不深刻，表述不清晰，对项目实施的重点、难点把握偏离计1分；相关内容未提供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供应商提供针对本项目的服务方案，包括①宣传用品设计方案；②宣传用品制作方案；③生产工艺及标准；④公共场所宣传播放方案。 二、评审标准 方案内容专门针对本项目编制，切合本项目实际情况及实施要求，内容与要点相符、每个要点均有展开详细的阐述且能够适用于本项目的计20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供应商提供针对本项目的质量保障措施，包括①质量控制管理方案；②后期成效把控的保障措施。 二、评审标准 方案内容专门针对本项目编制，切合本项目实际情况及实施要求，内容与要点相符、每个要点均有展开详细的阐述且能够适用于本项目的计10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进度计划方案</w:t>
            </w:r>
          </w:p>
        </w:tc>
        <w:tc>
          <w:tcPr>
            <w:tcW w:type="dxa" w:w="2492"/>
          </w:tcPr>
          <w:p>
            <w:pPr>
              <w:pStyle w:val="null3"/>
            </w:pPr>
            <w:r>
              <w:rPr>
                <w:rFonts w:ascii="仿宋_GB2312" w:hAnsi="仿宋_GB2312" w:cs="仿宋_GB2312" w:eastAsia="仿宋_GB2312"/>
              </w:rPr>
              <w:t>一、评审内容 供应商提供针对本项目的进度计划方案，包括①项目服务期间的时间节点安排；②各阶段的资源投入实施计划及进度保障措施。 二、评审标准 方案内容专门针对本项目编制，切合本项目实际情况及实施要求，与要点相符、每个要点均有展开详细的阐述且能够适用于本项目的计10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一、评审内容 供应商提供针对本项目的项目团队配置方案，包括①团队人员各专业岗位配置及人员职责；②团队人员管理制度。 二、评审标准 方案内容专门针对本项目编制，切合本项目实际情况及实施要求，与要点相符、每个要点均有展开详细的阐述且能够适用于本项目的计10分；评审内容每缺一项扣5分，扣完为止；评审内容有缺陷的每任意一项缺陷扣1分，扣完为止。（缺陷是指：内容不完整或缺少关键点；逻辑混乱、前后表述矛盾；职责不明确；制度不合理；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供应商提供针对本项目的应急方案，包括①未达到预期效果的补救措施；②制作质量残次、残损等情况的措施。 二、评审标准 方案内容专门针对本项目编制，切合本项目实际情况及实施要求，内容与要点相符、每个要点均有展开详细的阐述且能够适用于本项目的计8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供应商针对本项目的合理化建议、增值服务等内容进行阐述。 建议可行、增值服务合理、有可实施性计6分； 建议基本可行、增值服务一般计3分；建议可行性差、无增值服务计1分。未提供不计分。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供应商提供针对本项目的服务承诺，包括①与采购人配合的服务承诺；②对本项目周期、计划、服务时限内团队稳定性、人员到位情况等相关内容做出承诺；③不能完全履行承诺时愿意接受相关处罚等。 二、评审标准 服务承诺内容专门针对本项目编制，切合本项目实际情况及实施要求，内容与要点相符、每个要点均有展开详细的阐述且能够适用于本项目的计12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供应商提供自2023年1月1日至今（以合同签订时间为准）类似项目业绩，响应文件中附有其业绩证明材料，业绩以合同为依据，每提供一个计2分，满分6分。 （注：响应文件中提供复印件加盖供应商公章）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