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BB6086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合同文本</w:t>
      </w:r>
    </w:p>
    <w:p w14:paraId="69132231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（本格式合同条款供双方签订合同参考，采购人可根据项目的实际情况增减条款和内容）</w:t>
      </w:r>
    </w:p>
    <w:p w14:paraId="2821F1A6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48"/>
          <w:szCs w:val="48"/>
          <w:u w:val="none"/>
          <w:shd w:val="clear" w:color="auto" w:fill="auto"/>
          <w:lang w:val="en-US" w:eastAsia="zh-CN" w:bidi="en-US"/>
        </w:rPr>
      </w:pPr>
      <w:r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48"/>
          <w:szCs w:val="48"/>
          <w:u w:val="none"/>
          <w:shd w:val="clear" w:color="auto" w:fill="auto"/>
          <w:lang w:val="en-US" w:eastAsia="zh-CN" w:bidi="en-US"/>
        </w:rPr>
        <w:br w:type="page"/>
      </w:r>
    </w:p>
    <w:p w14:paraId="009024E3">
      <w:pPr>
        <w:keepNext/>
        <w:keepLines/>
        <w:spacing w:after="120" w:line="360" w:lineRule="auto"/>
        <w:ind w:left="620" w:firstLine="1160" w:firstLineChars="200"/>
        <w:jc w:val="center"/>
        <w:outlineLvl w:val="0"/>
        <w:rPr>
          <w:rFonts w:hint="eastAsia" w:ascii="仿宋" w:hAnsi="仿宋" w:eastAsia="仿宋" w:cs="仿宋"/>
          <w:kern w:val="2"/>
          <w:sz w:val="58"/>
          <w:szCs w:val="58"/>
          <w:highlight w:val="none"/>
          <w:lang w:bidi="en-US"/>
        </w:rPr>
      </w:pPr>
    </w:p>
    <w:p w14:paraId="6A4CC49F">
      <w:pPr>
        <w:spacing w:line="360" w:lineRule="auto"/>
        <w:jc w:val="both"/>
        <w:outlineLvl w:val="2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  <w:b/>
          <w:bCs/>
          <w:kern w:val="2"/>
          <w:sz w:val="44"/>
          <w:szCs w:val="44"/>
          <w:highlight w:val="none"/>
          <w:lang w:val="en-US" w:eastAsia="zh-CN" w:bidi="zh-TW"/>
        </w:rPr>
        <w:t>秦岭(林业)保护七进系列宣传项目</w:t>
      </w:r>
    </w:p>
    <w:p w14:paraId="47290C62">
      <w:pPr>
        <w:keepNext/>
        <w:keepLines/>
        <w:spacing w:after="120" w:line="360" w:lineRule="auto"/>
        <w:ind w:firstLine="0" w:firstLineChars="0"/>
        <w:jc w:val="center"/>
        <w:outlineLvl w:val="0"/>
        <w:rPr>
          <w:rFonts w:hint="eastAsia" w:ascii="仿宋" w:hAnsi="仿宋" w:eastAsia="仿宋" w:cs="仿宋"/>
          <w:b/>
          <w:bCs/>
          <w:kern w:val="2"/>
          <w:sz w:val="44"/>
          <w:szCs w:val="44"/>
          <w:highlight w:val="none"/>
          <w:lang w:val="zh-TW" w:eastAsia="zh-TW" w:bidi="zh-TW"/>
        </w:rPr>
      </w:pPr>
    </w:p>
    <w:p w14:paraId="72986BB4">
      <w:pPr>
        <w:keepNext/>
        <w:keepLines/>
        <w:spacing w:after="120" w:line="360" w:lineRule="auto"/>
        <w:ind w:firstLine="0" w:firstLineChars="0"/>
        <w:jc w:val="center"/>
        <w:outlineLvl w:val="0"/>
        <w:rPr>
          <w:rFonts w:hint="eastAsia" w:ascii="仿宋" w:hAnsi="仿宋" w:eastAsia="仿宋" w:cs="仿宋"/>
          <w:b/>
          <w:bCs/>
          <w:color w:val="000000"/>
          <w:spacing w:val="0"/>
          <w:w w:val="100"/>
          <w:position w:val="0"/>
          <w:sz w:val="72"/>
          <w:szCs w:val="72"/>
          <w:u w:val="none"/>
          <w:shd w:val="clear" w:color="auto" w:fill="auto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kern w:val="2"/>
          <w:sz w:val="72"/>
          <w:szCs w:val="72"/>
          <w:highlight w:val="none"/>
          <w:lang w:val="zh-TW" w:eastAsia="zh-TW" w:bidi="zh-TW"/>
        </w:rPr>
        <w:t>服</w:t>
      </w:r>
      <w:r>
        <w:rPr>
          <w:rFonts w:hint="eastAsia" w:ascii="仿宋" w:hAnsi="仿宋" w:eastAsia="仿宋" w:cs="仿宋"/>
          <w:b/>
          <w:bCs/>
          <w:kern w:val="2"/>
          <w:sz w:val="72"/>
          <w:szCs w:val="72"/>
          <w:highlight w:val="none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kern w:val="2"/>
          <w:sz w:val="72"/>
          <w:szCs w:val="72"/>
          <w:highlight w:val="none"/>
          <w:lang w:val="zh-TW" w:eastAsia="zh-TW" w:bidi="zh-TW"/>
        </w:rPr>
        <w:t>务</w:t>
      </w:r>
      <w:r>
        <w:rPr>
          <w:rFonts w:hint="eastAsia" w:ascii="仿宋" w:hAnsi="仿宋" w:eastAsia="仿宋" w:cs="仿宋"/>
          <w:b/>
          <w:bCs/>
          <w:kern w:val="2"/>
          <w:sz w:val="72"/>
          <w:szCs w:val="72"/>
          <w:highlight w:val="none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kern w:val="2"/>
          <w:sz w:val="72"/>
          <w:szCs w:val="72"/>
          <w:highlight w:val="none"/>
          <w:lang w:val="zh-TW" w:eastAsia="zh-TW" w:bidi="zh-TW"/>
        </w:rPr>
        <w:t>合</w:t>
      </w:r>
      <w:r>
        <w:rPr>
          <w:rFonts w:hint="eastAsia" w:ascii="仿宋" w:hAnsi="仿宋" w:eastAsia="仿宋" w:cs="仿宋"/>
          <w:b/>
          <w:bCs/>
          <w:kern w:val="2"/>
          <w:sz w:val="72"/>
          <w:szCs w:val="72"/>
          <w:highlight w:val="none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kern w:val="2"/>
          <w:sz w:val="72"/>
          <w:szCs w:val="72"/>
          <w:highlight w:val="none"/>
          <w:lang w:val="zh-TW" w:eastAsia="zh-TW" w:bidi="zh-TW"/>
        </w:rPr>
        <w:t>同</w:t>
      </w:r>
      <w:bookmarkEnd w:id="0"/>
    </w:p>
    <w:p w14:paraId="7F26509E">
      <w:pPr>
        <w:keepNext w:val="0"/>
        <w:keepLines w:val="0"/>
        <w:widowControl w:val="0"/>
        <w:shd w:val="clear" w:color="auto" w:fill="auto"/>
        <w:bidi w:val="0"/>
        <w:spacing w:before="0" w:after="120" w:line="360" w:lineRule="auto"/>
        <w:ind w:left="0" w:right="0" w:firstLine="1500" w:firstLineChars="500"/>
        <w:jc w:val="both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u w:val="none"/>
          <w:shd w:val="clear" w:color="auto" w:fill="auto"/>
          <w:lang w:val="en-US" w:eastAsia="en-US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  <w:t>（编号：HYTF-202605025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u w:val="none"/>
          <w:shd w:val="clear" w:color="auto" w:fill="auto"/>
          <w:lang w:val="zh-TW" w:eastAsia="zh-CN" w:bidi="zh-TW"/>
        </w:rPr>
        <w:t>、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u w:val="none"/>
          <w:shd w:val="clear" w:color="auto" w:fill="auto"/>
          <w:lang w:val="en-US" w:eastAsia="zh-CN" w:bidi="zh-TW"/>
        </w:rPr>
        <w:t>采购包1/2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u w:val="none"/>
          <w:shd w:val="clear" w:color="auto" w:fill="auto"/>
          <w:lang w:val="en-US" w:eastAsia="en-US" w:bidi="zh-TW"/>
        </w:rPr>
        <w:t>）</w:t>
      </w:r>
    </w:p>
    <w:p w14:paraId="39C67B23">
      <w:pPr>
        <w:keepNext w:val="0"/>
        <w:keepLines w:val="0"/>
        <w:widowControl w:val="0"/>
        <w:shd w:val="clear" w:color="auto" w:fill="auto"/>
        <w:bidi w:val="0"/>
        <w:spacing w:before="0" w:after="460" w:line="360" w:lineRule="auto"/>
        <w:ind w:left="1360" w:right="0" w:firstLine="2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</w:pPr>
    </w:p>
    <w:p w14:paraId="70C38F2A">
      <w:pPr>
        <w:keepNext w:val="0"/>
        <w:keepLines w:val="0"/>
        <w:widowControl w:val="0"/>
        <w:shd w:val="clear" w:color="auto" w:fill="auto"/>
        <w:bidi w:val="0"/>
        <w:spacing w:before="0" w:after="460" w:line="360" w:lineRule="auto"/>
        <w:ind w:left="1360" w:right="0" w:firstLine="2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</w:pPr>
    </w:p>
    <w:p w14:paraId="2F497C80">
      <w:pPr>
        <w:keepNext w:val="0"/>
        <w:keepLines w:val="0"/>
        <w:widowControl w:val="0"/>
        <w:shd w:val="clear" w:color="auto" w:fill="auto"/>
        <w:bidi w:val="0"/>
        <w:spacing w:before="0" w:after="460" w:line="360" w:lineRule="auto"/>
        <w:ind w:left="1360" w:right="0" w:firstLine="20"/>
        <w:jc w:val="left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0"/>
          <w:szCs w:val="30"/>
          <w:u w:val="none"/>
          <w:shd w:val="clear" w:color="auto" w:fill="auto"/>
          <w:lang w:val="zh-TW" w:eastAsia="zh-TW" w:bidi="zh-TW"/>
        </w:rPr>
      </w:pPr>
    </w:p>
    <w:p w14:paraId="5C965E4A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kern w:val="2"/>
          <w:sz w:val="30"/>
          <w:szCs w:val="30"/>
          <w:highlight w:val="none"/>
          <w:lang w:bidi="zh-TW"/>
        </w:rPr>
      </w:pPr>
      <w:bookmarkStart w:id="1" w:name="bookmark4"/>
      <w:bookmarkStart w:id="2" w:name="bookmark5"/>
      <w:bookmarkStart w:id="3" w:name="bookmark3"/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val="zh-TW" w:eastAsia="zh-TW" w:bidi="zh-TW"/>
        </w:rPr>
        <w:t>甲方：</w:t>
      </w: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val="en-US" w:eastAsia="zh-CN" w:bidi="zh-TW"/>
        </w:rPr>
        <w:t>西安市秦岭生态环境保护管理局</w:t>
      </w:r>
    </w:p>
    <w:p w14:paraId="7E2030EF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kern w:val="2"/>
          <w:sz w:val="30"/>
          <w:szCs w:val="30"/>
          <w:highlight w:val="none"/>
          <w:u w:val="single"/>
          <w:lang w:bidi="zh-TW"/>
        </w:rPr>
      </w:pP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val="zh-TW" w:eastAsia="zh-TW" w:bidi="zh-TW"/>
        </w:rPr>
        <w:t>乙方:</w:t>
      </w: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bidi="zh-TW"/>
        </w:rPr>
        <w:t xml:space="preserve"> </w:t>
      </w:r>
    </w:p>
    <w:p w14:paraId="64B7936A">
      <w:pPr>
        <w:spacing w:line="360" w:lineRule="auto"/>
        <w:jc w:val="center"/>
        <w:rPr>
          <w:rFonts w:hint="eastAsia" w:ascii="仿宋" w:hAnsi="仿宋" w:eastAsia="仿宋" w:cs="仿宋"/>
          <w:kern w:val="2"/>
          <w:sz w:val="30"/>
          <w:szCs w:val="30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bidi="en-US"/>
        </w:rPr>
        <w:t>202</w:t>
      </w: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val="en-US" w:eastAsia="zh-CN" w:bidi="en-US"/>
        </w:rPr>
        <w:t>6</w:t>
      </w: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val="zh-TW" w:eastAsia="zh-TW" w:bidi="zh-TW"/>
        </w:rPr>
        <w:t>年</w:t>
      </w: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val="zh-TW" w:eastAsia="zh-TW" w:bidi="zh-TW"/>
        </w:rPr>
        <w:t>月</w:t>
      </w:r>
    </w:p>
    <w:p w14:paraId="1FD08E97">
      <w:pPr>
        <w:spacing w:line="360" w:lineRule="auto"/>
        <w:jc w:val="center"/>
        <w:rPr>
          <w:rFonts w:hint="eastAsia" w:ascii="仿宋" w:hAnsi="仿宋" w:eastAsia="仿宋" w:cs="仿宋"/>
          <w:kern w:val="2"/>
          <w:sz w:val="30"/>
          <w:szCs w:val="30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val="zh-TW" w:eastAsia="zh-TW" w:bidi="zh-TW"/>
        </w:rPr>
        <w:t>中国</w:t>
      </w: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bidi="zh-TW"/>
        </w:rPr>
        <w:t xml:space="preserve">  </w:t>
      </w:r>
      <w:r>
        <w:rPr>
          <w:rFonts w:hint="eastAsia" w:ascii="仿宋" w:hAnsi="仿宋" w:eastAsia="仿宋" w:cs="仿宋"/>
          <w:kern w:val="2"/>
          <w:sz w:val="30"/>
          <w:szCs w:val="30"/>
          <w:highlight w:val="none"/>
          <w:lang w:val="zh-TW" w:eastAsia="zh-TW" w:bidi="zh-TW"/>
        </w:rPr>
        <w:t>西安</w:t>
      </w:r>
    </w:p>
    <w:p w14:paraId="325CB61C">
      <w:pPr>
        <w:keepNext w:val="0"/>
        <w:keepLines w:val="0"/>
        <w:shd w:val="clear" w:color="auto" w:fill="auto"/>
        <w:bidi w:val="0"/>
        <w:spacing w:before="0" w:after="0" w:line="360" w:lineRule="auto"/>
        <w:ind w:left="0" w:right="0" w:firstLine="0"/>
        <w:jc w:val="left"/>
        <w:rPr>
          <w:rFonts w:hint="eastAsia" w:ascii="仿宋" w:hAnsi="仿宋" w:eastAsia="仿宋" w:cs="仿宋"/>
          <w:color w:val="000000"/>
          <w:spacing w:val="0"/>
          <w:w w:val="100"/>
          <w:kern w:val="0"/>
          <w:position w:val="0"/>
          <w:sz w:val="24"/>
          <w:szCs w:val="24"/>
          <w:shd w:val="clear" w:color="auto" w:fill="auto"/>
          <w:lang w:eastAsia="en-US" w:bidi="en-US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kern w:val="0"/>
          <w:position w:val="0"/>
          <w:sz w:val="24"/>
          <w:szCs w:val="24"/>
          <w:shd w:val="clear" w:color="auto" w:fill="auto"/>
          <w:lang w:eastAsia="en-US" w:bidi="en-US"/>
        </w:rPr>
        <w:br w:type="page"/>
      </w:r>
    </w:p>
    <w:bookmarkEnd w:id="1"/>
    <w:bookmarkEnd w:id="2"/>
    <w:bookmarkEnd w:id="3"/>
    <w:p w14:paraId="2060699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甲方（采购人名称全称）：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西安市秦岭生态环境保护管理局</w:t>
      </w:r>
    </w:p>
    <w:p w14:paraId="5753469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乙方（供应商名称全称）：</w:t>
      </w:r>
    </w:p>
    <w:p w14:paraId="41BF71AE">
      <w:pPr>
        <w:spacing w:line="360" w:lineRule="auto"/>
        <w:jc w:val="both"/>
        <w:outlineLvl w:val="2"/>
        <w:rPr>
          <w:rFonts w:hint="eastAsia" w:ascii="仿宋" w:hAnsi="仿宋" w:eastAsia="仿宋" w:cs="仿宋"/>
          <w:sz w:val="24"/>
          <w:lang w:val="zh-TW" w:eastAsia="zh-Hans" w:bidi="zh-TW"/>
        </w:rPr>
      </w:pPr>
      <w:r>
        <w:rPr>
          <w:rFonts w:hint="eastAsia" w:ascii="仿宋" w:hAnsi="仿宋" w:eastAsia="仿宋" w:cs="仿宋"/>
          <w:sz w:val="24"/>
          <w:lang w:val="en-US" w:eastAsia="zh-CN" w:bidi="zh-TW"/>
        </w:rPr>
        <w:t>秦岭(林业)保护七进系列宣传项目（项目编号：HYTF-202605025），在西安市财政局的监督管理下，按照政府采购程序组织竞争性磋商，确定乙方为成交供应商。依据《中华人民共和国政府采购法》、《中华人民共和国民法典》以及竞争性磋商文件、成交通知书，经甲、乙双方协商，达成如下合同条款。</w:t>
      </w:r>
    </w:p>
    <w:p w14:paraId="17A1BBA3">
      <w:pPr>
        <w:spacing w:line="360" w:lineRule="auto"/>
        <w:jc w:val="both"/>
        <w:outlineLvl w:val="2"/>
        <w:rPr>
          <w:rFonts w:hint="eastAsia" w:ascii="仿宋" w:hAnsi="仿宋" w:eastAsia="仿宋" w:cs="仿宋"/>
          <w:sz w:val="24"/>
          <w:lang w:val="zh-TW" w:eastAsia="zh-CN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一、合同标的物内容及数量（以响应文件正本和澄清表〈函〉为准）</w:t>
      </w:r>
    </w:p>
    <w:tbl>
      <w:tblPr>
        <w:tblStyle w:val="2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58"/>
        <w:gridCol w:w="1315"/>
        <w:gridCol w:w="1315"/>
        <w:gridCol w:w="1315"/>
        <w:gridCol w:w="1315"/>
        <w:gridCol w:w="950"/>
        <w:gridCol w:w="1094"/>
        <w:gridCol w:w="1094"/>
      </w:tblGrid>
      <w:tr w14:paraId="56FCC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98" w:hRule="exact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280BF381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序号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2528D4B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服务名称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0B309DB0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服务内容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164612C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计量单位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47C0728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服务时间</w:t>
            </w:r>
          </w:p>
        </w:tc>
        <w:tc>
          <w:tcPr>
            <w:tcW w:w="950" w:type="dxa"/>
            <w:shd w:val="clear" w:color="auto" w:fill="auto"/>
            <w:vAlign w:val="center"/>
          </w:tcPr>
          <w:p w14:paraId="22F9AF13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数量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FC2E79C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单价</w:t>
            </w:r>
          </w:p>
          <w:p w14:paraId="05368D4E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（元）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0FEAFC1B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总价</w:t>
            </w:r>
          </w:p>
          <w:p w14:paraId="6E5D3171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（元）</w:t>
            </w:r>
          </w:p>
        </w:tc>
      </w:tr>
      <w:tr w14:paraId="0CFC9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12B2CC9A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1</w:t>
            </w:r>
          </w:p>
        </w:tc>
        <w:tc>
          <w:tcPr>
            <w:tcW w:w="1315" w:type="dxa"/>
            <w:shd w:val="clear" w:color="auto" w:fill="auto"/>
          </w:tcPr>
          <w:p w14:paraId="2D340DE8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53933504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2A7AE1F1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4634E478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50" w:type="dxa"/>
            <w:shd w:val="clear" w:color="auto" w:fill="auto"/>
          </w:tcPr>
          <w:p w14:paraId="7B0C1E42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65F8FB2A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063EF93E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B792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58" w:type="dxa"/>
            <w:shd w:val="clear" w:color="auto" w:fill="auto"/>
            <w:vAlign w:val="bottom"/>
          </w:tcPr>
          <w:p w14:paraId="51A08114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2</w:t>
            </w:r>
          </w:p>
        </w:tc>
        <w:tc>
          <w:tcPr>
            <w:tcW w:w="1315" w:type="dxa"/>
            <w:shd w:val="clear" w:color="auto" w:fill="auto"/>
          </w:tcPr>
          <w:p w14:paraId="41DDF26D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09B1FB4A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0CDD3273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1F626F1C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50" w:type="dxa"/>
            <w:shd w:val="clear" w:color="auto" w:fill="auto"/>
          </w:tcPr>
          <w:p w14:paraId="59B5000A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1E6ECCAF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45AC41D0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22E0E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58" w:type="dxa"/>
            <w:shd w:val="clear" w:color="auto" w:fill="auto"/>
            <w:vAlign w:val="bottom"/>
          </w:tcPr>
          <w:p w14:paraId="3CCF7096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3</w:t>
            </w:r>
          </w:p>
        </w:tc>
        <w:tc>
          <w:tcPr>
            <w:tcW w:w="1315" w:type="dxa"/>
            <w:shd w:val="clear" w:color="auto" w:fill="auto"/>
          </w:tcPr>
          <w:p w14:paraId="46593CEE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79676E4E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56A560BC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461DB5E7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50" w:type="dxa"/>
            <w:shd w:val="clear" w:color="auto" w:fill="auto"/>
          </w:tcPr>
          <w:p w14:paraId="216803AD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7AD24CCD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45192D9F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1FA9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758" w:type="dxa"/>
            <w:shd w:val="clear" w:color="auto" w:fill="auto"/>
            <w:vAlign w:val="center"/>
          </w:tcPr>
          <w:p w14:paraId="63231D23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4</w:t>
            </w:r>
          </w:p>
        </w:tc>
        <w:tc>
          <w:tcPr>
            <w:tcW w:w="1315" w:type="dxa"/>
            <w:shd w:val="clear" w:color="auto" w:fill="auto"/>
          </w:tcPr>
          <w:p w14:paraId="5B9A351C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3A45589A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34C320EB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37B8267E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50" w:type="dxa"/>
            <w:shd w:val="clear" w:color="auto" w:fill="auto"/>
          </w:tcPr>
          <w:p w14:paraId="084B5D6E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7A8BF71A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183970F7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3F81A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758" w:type="dxa"/>
            <w:shd w:val="clear" w:color="auto" w:fill="auto"/>
            <w:vAlign w:val="bottom"/>
          </w:tcPr>
          <w:p w14:paraId="604B71AA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5</w:t>
            </w:r>
          </w:p>
        </w:tc>
        <w:tc>
          <w:tcPr>
            <w:tcW w:w="1315" w:type="dxa"/>
            <w:shd w:val="clear" w:color="auto" w:fill="auto"/>
          </w:tcPr>
          <w:p w14:paraId="43BC76D7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76B2C4DA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17B207FC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46670EF7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50" w:type="dxa"/>
            <w:shd w:val="clear" w:color="auto" w:fill="auto"/>
          </w:tcPr>
          <w:p w14:paraId="6EEF1FC7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1E1B8EB1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38C53A5A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03B94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58" w:type="dxa"/>
            <w:shd w:val="clear" w:color="auto" w:fill="auto"/>
            <w:vAlign w:val="bottom"/>
          </w:tcPr>
          <w:p w14:paraId="09E8B5E0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6</w:t>
            </w:r>
          </w:p>
        </w:tc>
        <w:tc>
          <w:tcPr>
            <w:tcW w:w="1315" w:type="dxa"/>
            <w:shd w:val="clear" w:color="auto" w:fill="auto"/>
          </w:tcPr>
          <w:p w14:paraId="583ADCAD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2DDAB2AB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3A93B37E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51713D54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50" w:type="dxa"/>
            <w:shd w:val="clear" w:color="auto" w:fill="auto"/>
          </w:tcPr>
          <w:p w14:paraId="317AC03E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6B4A1D05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575C2F6F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556F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758" w:type="dxa"/>
            <w:shd w:val="clear" w:color="auto" w:fill="auto"/>
            <w:vAlign w:val="bottom"/>
          </w:tcPr>
          <w:p w14:paraId="7E452F2F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7</w:t>
            </w:r>
          </w:p>
        </w:tc>
        <w:tc>
          <w:tcPr>
            <w:tcW w:w="1315" w:type="dxa"/>
            <w:shd w:val="clear" w:color="auto" w:fill="auto"/>
          </w:tcPr>
          <w:p w14:paraId="283366F4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2367F1D6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5B6A1D8C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045ADA23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50" w:type="dxa"/>
            <w:shd w:val="clear" w:color="auto" w:fill="auto"/>
          </w:tcPr>
          <w:p w14:paraId="535F6393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7D4FEB94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404E16CF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28A10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758" w:type="dxa"/>
            <w:shd w:val="clear" w:color="auto" w:fill="auto"/>
            <w:vAlign w:val="bottom"/>
          </w:tcPr>
          <w:p w14:paraId="06183384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 w:bidi="zh-TW"/>
              </w:rPr>
              <w:t>...</w:t>
            </w:r>
          </w:p>
        </w:tc>
        <w:tc>
          <w:tcPr>
            <w:tcW w:w="1315" w:type="dxa"/>
            <w:shd w:val="clear" w:color="auto" w:fill="auto"/>
          </w:tcPr>
          <w:p w14:paraId="39C49AF9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2A7A7EA9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10E2C0C3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13D20E62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50" w:type="dxa"/>
            <w:shd w:val="clear" w:color="auto" w:fill="auto"/>
          </w:tcPr>
          <w:p w14:paraId="6B389762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5A1C5D91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4F989B52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0127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758" w:type="dxa"/>
            <w:shd w:val="clear" w:color="auto" w:fill="auto"/>
            <w:vAlign w:val="bottom"/>
          </w:tcPr>
          <w:p w14:paraId="5EB5FF54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CN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 w:bidi="zh-TW"/>
              </w:rPr>
              <w:t>N</w:t>
            </w:r>
          </w:p>
        </w:tc>
        <w:tc>
          <w:tcPr>
            <w:tcW w:w="1315" w:type="dxa"/>
            <w:shd w:val="clear" w:color="auto" w:fill="auto"/>
          </w:tcPr>
          <w:p w14:paraId="4637D283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788E8973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62BBEBE6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315" w:type="dxa"/>
            <w:shd w:val="clear" w:color="auto" w:fill="auto"/>
          </w:tcPr>
          <w:p w14:paraId="3F3119B6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50" w:type="dxa"/>
            <w:shd w:val="clear" w:color="auto" w:fill="auto"/>
          </w:tcPr>
          <w:p w14:paraId="19FEE170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7A4FE38D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94" w:type="dxa"/>
            <w:shd w:val="clear" w:color="auto" w:fill="auto"/>
          </w:tcPr>
          <w:p w14:paraId="269A37C6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1BC8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58" w:type="dxa"/>
            <w:shd w:val="clear" w:color="auto" w:fill="auto"/>
            <w:vAlign w:val="bottom"/>
          </w:tcPr>
          <w:p w14:paraId="330082BD">
            <w:pPr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合计</w:t>
            </w:r>
          </w:p>
        </w:tc>
        <w:tc>
          <w:tcPr>
            <w:tcW w:w="8398" w:type="dxa"/>
            <w:gridSpan w:val="7"/>
            <w:shd w:val="clear" w:color="auto" w:fill="auto"/>
          </w:tcPr>
          <w:p w14:paraId="00D58114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7F65D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28" w:hRule="exact"/>
          <w:jc w:val="center"/>
        </w:trPr>
        <w:tc>
          <w:tcPr>
            <w:tcW w:w="758" w:type="dxa"/>
            <w:shd w:val="clear" w:color="auto" w:fill="auto"/>
          </w:tcPr>
          <w:p w14:paraId="51BE6EC2">
            <w:pPr>
              <w:spacing w:before="120"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备注</w:t>
            </w:r>
          </w:p>
        </w:tc>
        <w:tc>
          <w:tcPr>
            <w:tcW w:w="8398" w:type="dxa"/>
            <w:gridSpan w:val="7"/>
            <w:shd w:val="clear" w:color="auto" w:fill="auto"/>
          </w:tcPr>
          <w:p w14:paraId="4DE5F527">
            <w:pPr>
              <w:spacing w:line="360" w:lineRule="auto"/>
              <w:ind w:firstLine="0" w:firstLineChars="0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</w:tbl>
    <w:p w14:paraId="15BF35B3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（上表仅供参考,应根据项目具体内容修改填写，详细服务内容及明细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标准可附附件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或详见响应文件，需说明清楚）</w:t>
      </w:r>
    </w:p>
    <w:p w14:paraId="1E1EA4E1">
      <w:pPr>
        <w:spacing w:after="80"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服务条件及内容要求</w:t>
      </w:r>
    </w:p>
    <w:p w14:paraId="0FB17F4D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服务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期限</w:t>
      </w:r>
      <w:r>
        <w:rPr>
          <w:rFonts w:hint="eastAsia" w:ascii="仿宋" w:hAnsi="仿宋" w:eastAsia="仿宋" w:cs="仿宋"/>
          <w:sz w:val="24"/>
          <w:lang w:bidi="zh-TW"/>
        </w:rPr>
        <w:t>：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</w:t>
      </w:r>
    </w:p>
    <w:p w14:paraId="14909158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（二）服务内容：</w:t>
      </w:r>
      <w:r>
        <w:rPr>
          <w:rFonts w:hint="eastAsia" w:ascii="仿宋" w:hAnsi="仿宋" w:eastAsia="仿宋" w:cs="仿宋"/>
          <w:sz w:val="24"/>
          <w:u w:val="single"/>
          <w:lang w:val="en-US" w:eastAsia="zh-CN" w:bidi="zh-TW"/>
        </w:rPr>
        <w:t xml:space="preserve">             </w:t>
      </w:r>
    </w:p>
    <w:p w14:paraId="68A7A3A0">
      <w:pPr>
        <w:spacing w:line="360" w:lineRule="auto"/>
        <w:ind w:firstLine="241" w:firstLineChars="1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46C3F5A2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（一）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合同价款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：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（大写）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          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      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 xml:space="preserve"> 元）。</w:t>
      </w:r>
    </w:p>
    <w:p w14:paraId="2CAF6E2B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（二）合同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总价</w:t>
      </w:r>
      <w:r>
        <w:rPr>
          <w:rFonts w:hint="eastAsia" w:ascii="仿宋" w:hAnsi="仿宋" w:eastAsia="仿宋" w:cs="仿宋"/>
          <w:sz w:val="24"/>
          <w:lang w:bidi="zh-TW"/>
        </w:rPr>
        <w:t>包括：为完成合同全部服务内容可能发生的全部费用，同时还包含为完成本项目所需的一切成本、利润、税金和服务期内的全部风险。</w:t>
      </w:r>
    </w:p>
    <w:p w14:paraId="7CDD3CD8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（三）合同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总价</w:t>
      </w:r>
      <w:r>
        <w:rPr>
          <w:rFonts w:hint="eastAsia" w:ascii="仿宋" w:hAnsi="仿宋" w:eastAsia="仿宋" w:cs="仿宋"/>
          <w:sz w:val="24"/>
          <w:lang w:bidi="zh-TW"/>
        </w:rPr>
        <w:t>不受市场价格变化因素的影响，一次性包死。</w:t>
      </w:r>
    </w:p>
    <w:p w14:paraId="54FD2649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72B3804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TW" w:eastAsia="zh-TW" w:bidi="zh-TW"/>
        </w:rPr>
        <w:t>合同款的支付：</w:t>
      </w:r>
    </w:p>
    <w:p w14:paraId="20222C0B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合同签订后，达到付款条件起30日内，支付合同总金额的60.00%；项目完成验收合格后，达到付款条件起30日内，支付合同总金额的40.00%。以签订合同为准。</w:t>
      </w:r>
    </w:p>
    <w:p w14:paraId="2B5EC55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szCs w:val="24"/>
          <w:lang w:val="zh-TW" w:eastAsia="zh-TW" w:bidi="zh-TW"/>
        </w:rPr>
        <w:t>方式：银行转账。</w:t>
      </w:r>
    </w:p>
    <w:p w14:paraId="6AE4386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szCs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szCs w:val="24"/>
          <w:lang w:bidi="zh-TW"/>
        </w:rPr>
        <w:t>结算方式：付款前乙方应向甲</w:t>
      </w:r>
      <w:r>
        <w:rPr>
          <w:rFonts w:hint="eastAsia" w:ascii="仿宋" w:hAnsi="仿宋" w:eastAsia="仿宋" w:cs="仿宋"/>
          <w:sz w:val="24"/>
          <w:lang w:bidi="zh-TW"/>
        </w:rPr>
        <w:t>方提供合法有效的发票。乙方持成交通知书、服务合同、发票，与甲方结算。</w:t>
      </w:r>
    </w:p>
    <w:p w14:paraId="4FDDB0B1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52AADC9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甲方的权利和义务</w:t>
      </w:r>
    </w:p>
    <w:p w14:paraId="5E4E53D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46DB19A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2、负责检查监督乙方管理工作的实施及制度的执行情况。</w:t>
      </w:r>
    </w:p>
    <w:p w14:paraId="1B7DDB3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3、根据本合同规定，按时向乙方支付应付服务费用。</w:t>
      </w:r>
    </w:p>
    <w:p w14:paraId="0BE1157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4、国家法律、法规所规定由甲方承担的其它责任。</w:t>
      </w:r>
    </w:p>
    <w:p w14:paraId="0F748E7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（二）乙方的权利和义务</w:t>
      </w:r>
    </w:p>
    <w:p w14:paraId="2B5A39A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1、对本合同规定的委托服务范围内的项目享有管理权及服务义务。</w:t>
      </w:r>
    </w:p>
    <w:p w14:paraId="3171C6D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2、根据本合同的规定向甲方收取相关服务费用，并有权在本项目管理范围内管理及合理使用。</w:t>
      </w:r>
    </w:p>
    <w:p w14:paraId="36820B6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3、及时向甲方通告本项目服务范围内有关服务的重大事项，及时配合处理投诉。</w:t>
      </w:r>
    </w:p>
    <w:p w14:paraId="043E6E9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4、在服务过程中接受项目行业管理部门及政府有关部门的指导，接受甲方的监督。</w:t>
      </w:r>
    </w:p>
    <w:p w14:paraId="54CD33C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5、国家法律、法规所规定由乙方承担的其它责任。</w:t>
      </w:r>
    </w:p>
    <w:p w14:paraId="06A7F3C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6、乙方应按国家技术规范、标准、规程和甲方的需求展开工作。</w:t>
      </w:r>
    </w:p>
    <w:p w14:paraId="7D21BC3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7、乙方在进行服务过程中，需遵守甲方的规章制度，接受甲方的安排与协调。</w:t>
      </w:r>
    </w:p>
    <w:p w14:paraId="17ABF00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8、如因乙方原因导致服务工作无法开展，乙方应承担相应的责任，并采取积极的补救措施。</w:t>
      </w:r>
    </w:p>
    <w:p w14:paraId="2FB3CB1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9、在服务工作开展过程中，如出现意外事故，由乙方自行承担。</w:t>
      </w:r>
    </w:p>
    <w:p w14:paraId="0470081C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六、质量保证</w:t>
      </w:r>
    </w:p>
    <w:p w14:paraId="534D35E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乙方所供服务必须执行下列条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款：</w:t>
      </w:r>
    </w:p>
    <w:p w14:paraId="099A587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（一）服务方案和方式科学、可行，人员配置合理，全面满足要求。</w:t>
      </w:r>
    </w:p>
    <w:p w14:paraId="1BCABC9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（二）符合国家有关服务规范要求，确保各项服务达到最佳效果。</w:t>
      </w:r>
    </w:p>
    <w:p w14:paraId="4071CA6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（三）乙方提供的服务，若发生侵权而产生的一切后果，由乙方负责。甲方保留索赔权。</w:t>
      </w:r>
    </w:p>
    <w:p w14:paraId="174A090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（四）服务承诺内容：以响应文件承诺为准。</w:t>
      </w:r>
    </w:p>
    <w:p w14:paraId="43532AE5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七、验收</w:t>
      </w:r>
    </w:p>
    <w:p w14:paraId="05D9F78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（一）服务内容完成后先由乙方进行自检，自检合格后邀请甲方进行验收。甲方确认乙方的自检内容后，组织乙方进行最终验收，验收时乙方应派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人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员参加，共同对验收结果进行确认，并承担相关责任。</w:t>
      </w:r>
    </w:p>
    <w:p w14:paraId="3E768A4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 xml:space="preserve">（二）乙方向甲方提交服务实施过程中的所有资料。以便甲方日后管理。 </w:t>
      </w:r>
    </w:p>
    <w:p w14:paraId="71F4CEA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（三）验收依据：</w:t>
      </w:r>
    </w:p>
    <w:p w14:paraId="4C947AA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1、竞争性磋商文件、响应文件、澄清表（函）；</w:t>
      </w:r>
    </w:p>
    <w:p w14:paraId="7F30CF0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 xml:space="preserve">2、本合同及附件文本； </w:t>
      </w:r>
    </w:p>
    <w:p w14:paraId="66F5E95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3、国家相应的标准、规范。</w:t>
      </w:r>
    </w:p>
    <w:p w14:paraId="58606F5F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、违约责任</w:t>
      </w:r>
    </w:p>
    <w:p w14:paraId="4E096D78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（一）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合同中未约定的，按《民法典》中的相关条款执行。</w:t>
      </w:r>
      <w:bookmarkStart w:id="4" w:name="bookmark15"/>
    </w:p>
    <w:p w14:paraId="4883D53E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（</w:t>
      </w:r>
      <w:bookmarkEnd w:id="4"/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二）未按合同要求提供服务或服务质量不能满足合同要求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甲方应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当将乙方违约的情况以及拟釆取的措施以书面形式报政府釆购监管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部门，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根据政府采购监管部门的处理意见，甲方有权依据《民法典》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有关条款及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合同约定解除合同，乙方应向甲方支付合同总价款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%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的违约金。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同时，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政府釆购监管部门有权依据《政府釆购法》及相关法律法规对乙方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的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违法行为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进行相应的处罚。</w:t>
      </w:r>
    </w:p>
    <w:p w14:paraId="1A75CCE5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bookmarkStart w:id="5" w:name="bookmark16"/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（</w:t>
      </w:r>
      <w:bookmarkEnd w:id="5"/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三）在本合同履行过程中，双方因违约或造成对方经济、社会效益等损失的应当赔偿合同总价款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      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%的违约金。</w:t>
      </w:r>
    </w:p>
    <w:p w14:paraId="54684558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CN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四</w:t>
      </w:r>
      <w:r>
        <w:rPr>
          <w:rFonts w:hint="eastAsia" w:ascii="仿宋" w:hAnsi="仿宋" w:eastAsia="仿宋" w:cs="仿宋"/>
          <w:sz w:val="24"/>
          <w:highlight w:val="none"/>
          <w:lang w:val="zh-CN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乙方提供的服务不符合本项目相关文件和本合同规定的，甲方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有权拒绝，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并且乙方须向甲方支付本合同总价款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 w:bidi="zh-TW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 w:bidi="zh-TW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zh-CN" w:bidi="zh-TW"/>
        </w:rPr>
        <w:tab/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%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的违约金。</w:t>
      </w:r>
    </w:p>
    <w:p w14:paraId="3A678610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五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乙方未能按照本合同约定时间提供服务或完成约定的项目服务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内容的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从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逾期之日起每日按本合同总价款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%的数额向甲方支付违约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金；逾期</w:t>
      </w:r>
      <w:r>
        <w:rPr>
          <w:rFonts w:hint="eastAsia" w:ascii="仿宋" w:hAnsi="仿宋" w:eastAsia="仿宋" w:cs="仿宋"/>
          <w:sz w:val="24"/>
          <w:highlight w:val="none"/>
          <w:u w:val="single"/>
          <w:lang w:val="en-US" w:eastAsia="zh-CN" w:bidi="zh-TW"/>
        </w:rPr>
        <w:t xml:space="preserve"> 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   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日以上的，甲方有权终止合同，由此造成的甲方经济损失由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乙方承担。</w:t>
      </w:r>
    </w:p>
    <w:p w14:paraId="60150458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六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未经甲方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书面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同意，乙方不得擅自将本合同服务分包或转包第三方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承担。</w:t>
      </w:r>
    </w:p>
    <w:p w14:paraId="4AD916DA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七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本合同中各条款约定的违约金可自甲方未支付款项中直接扣除，违约金若不能弥补甲方损失的，乙方还应赔偿甲方超出部分的损失。</w:t>
      </w:r>
    </w:p>
    <w:p w14:paraId="09D76711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CN" w:bidi="zh-TW"/>
        </w:rPr>
      </w:pP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八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）因违约方的违约行为给守约方造成损失的，应当按照本条所列违约情形支付违约金，并承担守约方因维权产生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的</w:t>
      </w:r>
      <w:r>
        <w:rPr>
          <w:rFonts w:hint="eastAsia" w:ascii="仿宋" w:hAnsi="仿宋" w:eastAsia="仿宋" w:cs="仿宋"/>
          <w:sz w:val="24"/>
          <w:highlight w:val="none"/>
          <w:lang w:eastAsia="zh-CN" w:bidi="zh-TW"/>
        </w:rPr>
        <w:t>合理支出，包括但不限于诉讼费、律师费、保全费、保全保险费等。</w:t>
      </w:r>
    </w:p>
    <w:p w14:paraId="467C92DE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条款</w:t>
      </w:r>
    </w:p>
    <w:p w14:paraId="580FC1D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情况，甲方有权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索赔。</w:t>
      </w:r>
    </w:p>
    <w:p w14:paraId="5ED8919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二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甲方有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。</w:t>
      </w:r>
    </w:p>
    <w:p w14:paraId="4E280466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三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本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影响本条款的效力。</w:t>
      </w:r>
    </w:p>
    <w:p w14:paraId="7E770DF3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bidi="zh-TW"/>
        </w:rPr>
        <w:t>十、争议解决</w:t>
      </w:r>
    </w:p>
    <w:p w14:paraId="191D273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一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本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种方式解决：</w:t>
      </w:r>
    </w:p>
    <w:p w14:paraId="6C729D2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1、提交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西安仲裁委员会仲裁；</w:t>
      </w:r>
    </w:p>
    <w:p w14:paraId="1330648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甲方所在地人民法院起诉。</w:t>
      </w:r>
    </w:p>
    <w:p w14:paraId="2E5C37A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二</w:t>
      </w:r>
      <w:r>
        <w:rPr>
          <w:rFonts w:hint="eastAsia" w:ascii="仿宋" w:hAnsi="仿宋" w:eastAsia="仿宋" w:cs="仿宋"/>
          <w:sz w:val="24"/>
          <w:highlight w:val="none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本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效力。</w:t>
      </w:r>
    </w:p>
    <w:p w14:paraId="0E10BE6E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、合同变更</w:t>
      </w:r>
    </w:p>
    <w:p w14:paraId="764131D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需求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后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行，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否则视为违约）。</w:t>
      </w:r>
    </w:p>
    <w:p w14:paraId="061CFFE1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en-US" w:eastAsia="zh-CN"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highlight w:val="none"/>
          <w:lang w:val="zh-TW" w:eastAsia="zh-TW" w:bidi="zh-TW"/>
        </w:rPr>
        <w:t>、合同生效</w:t>
      </w:r>
    </w:p>
    <w:p w14:paraId="08ACB35C">
      <w:pPr>
        <w:spacing w:after="100"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highlight w:val="none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sz w:val="24"/>
          <w:highlight w:val="none"/>
          <w:lang w:val="en-US" w:eastAsia="zh-CN" w:bidi="zh-TW"/>
        </w:rPr>
        <w:t>双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方签字并盖章后生效，</w:t>
      </w:r>
      <w:r>
        <w:rPr>
          <w:rFonts w:hint="eastAsia" w:ascii="仿宋" w:hAnsi="仿宋" w:eastAsia="仿宋" w:cs="仿宋"/>
          <w:sz w:val="24"/>
          <w:highlight w:val="none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highlight w:val="none"/>
          <w:lang w:val="zh-TW" w:eastAsia="zh-TW" w:bidi="zh-TW"/>
        </w:rPr>
        <w:t>失效（合同的服务承诺则长期有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效）。</w:t>
      </w:r>
    </w:p>
    <w:p w14:paraId="4B853389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</w:t>
      </w:r>
      <w:r>
        <w:rPr>
          <w:rFonts w:hint="eastAsia" w:ascii="仿宋" w:hAnsi="仿宋" w:eastAsia="仿宋" w:cs="仿宋"/>
          <w:b/>
          <w:bCs/>
          <w:sz w:val="24"/>
          <w:lang w:val="en-US" w:eastAsia="zh-CN" w:bidi="en-US"/>
        </w:rPr>
        <w:t>三</w:t>
      </w:r>
      <w:r>
        <w:rPr>
          <w:rFonts w:hint="eastAsia" w:ascii="仿宋" w:hAnsi="仿宋" w:eastAsia="仿宋" w:cs="仿宋"/>
          <w:b/>
          <w:bCs/>
          <w:sz w:val="24"/>
          <w:lang w:bidi="en-US"/>
        </w:rPr>
        <w:t>、其他事项</w:t>
      </w:r>
    </w:p>
    <w:p w14:paraId="1407C65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一</w:t>
      </w:r>
      <w:r>
        <w:rPr>
          <w:rFonts w:hint="eastAsia" w:ascii="仿宋" w:hAnsi="仿宋" w:eastAsia="仿宋" w:cs="仿宋"/>
          <w:sz w:val="24"/>
          <w:lang w:bidi="zh-TW"/>
        </w:rPr>
        <w:t>）</w:t>
      </w:r>
      <w:r>
        <w:rPr>
          <w:rFonts w:hint="eastAsia" w:ascii="仿宋" w:hAnsi="仿宋" w:eastAsia="仿宋" w:cs="仿宋"/>
          <w:kern w:val="0"/>
          <w:sz w:val="24"/>
        </w:rPr>
        <w:t>西安市财政局</w:t>
      </w:r>
      <w:r>
        <w:rPr>
          <w:rFonts w:hint="eastAsia" w:ascii="仿宋" w:hAnsi="仿宋" w:eastAsia="仿宋" w:cs="仿宋"/>
          <w:sz w:val="24"/>
          <w:lang w:bidi="zh-TW"/>
        </w:rPr>
        <w:t>在合同的履行期间以及履行期后，可以随时检查项目的执行情况，对采购标准、釆购内容进行调查核实，并对发现的问题进行处理。</w:t>
      </w:r>
    </w:p>
    <w:p w14:paraId="44B2232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竞争性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27864E2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天内书面通知对方，以减轻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438C69E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val="en-US" w:eastAsia="zh-CN"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p w14:paraId="7275F2AB">
      <w:pPr>
        <w:widowControl w:val="0"/>
        <w:adjustRightInd w:val="0"/>
        <w:spacing w:line="360" w:lineRule="auto"/>
        <w:ind w:left="420" w:right="33" w:firstLine="0" w:firstLineChars="0"/>
        <w:jc w:val="left"/>
        <w:rPr>
          <w:rFonts w:hint="eastAsia" w:ascii="仿宋" w:hAnsi="仿宋" w:eastAsia="仿宋" w:cs="仿宋"/>
          <w:kern w:val="0"/>
          <w:sz w:val="24"/>
          <w:szCs w:val="20"/>
          <w:lang w:val="zh-TW" w:eastAsia="zh-CN" w:bidi="zh-TW"/>
        </w:rPr>
      </w:pPr>
    </w:p>
    <w:tbl>
      <w:tblPr>
        <w:tblStyle w:val="2"/>
        <w:tblpPr w:leftFromText="181" w:rightFromText="181" w:vertAnchor="text" w:horzAnchor="margin" w:tblpXSpec="center" w:tblpY="24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5"/>
        <w:gridCol w:w="4035"/>
      </w:tblGrid>
      <w:tr w14:paraId="02CBE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31127F72">
            <w:pPr>
              <w:overflowPunct w:val="0"/>
              <w:topLinePunct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2367" w:type="pct"/>
          </w:tcPr>
          <w:p w14:paraId="614197A7">
            <w:pPr>
              <w:overflowPunct w:val="0"/>
              <w:topLinePunct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095C0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2632" w:type="pct"/>
            <w:vAlign w:val="center"/>
          </w:tcPr>
          <w:p w14:paraId="63D7B0F1">
            <w:pPr>
              <w:overflowPunct w:val="0"/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采购人全称</w:t>
            </w:r>
          </w:p>
          <w:p w14:paraId="0D8D5897">
            <w:pPr>
              <w:overflowPunct w:val="0"/>
              <w:topLinePunct/>
              <w:spacing w:line="36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2367" w:type="pct"/>
            <w:vAlign w:val="center"/>
          </w:tcPr>
          <w:p w14:paraId="66900D1C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5160C63D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39EE4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3D39940E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2367" w:type="pct"/>
          </w:tcPr>
          <w:p w14:paraId="771D87FE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38214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76F09864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2367" w:type="pct"/>
          </w:tcPr>
          <w:p w14:paraId="13F02299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2BEFE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2632" w:type="pct"/>
          </w:tcPr>
          <w:p w14:paraId="2532E0C7">
            <w:pPr>
              <w:overflowPunct w:val="0"/>
              <w:topLinePunct/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 w:cs="仿宋"/>
                <w:sz w:val="24"/>
              </w:rPr>
              <w:t xml:space="preserve">）： </w:t>
            </w:r>
          </w:p>
        </w:tc>
        <w:tc>
          <w:tcPr>
            <w:tcW w:w="2367" w:type="pct"/>
          </w:tcPr>
          <w:p w14:paraId="0A8D07F4">
            <w:pPr>
              <w:overflowPunct w:val="0"/>
              <w:topLinePunct/>
              <w:spacing w:line="360" w:lineRule="auto"/>
              <w:ind w:firstLine="0" w:firstLineChars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或盖章</w:t>
            </w:r>
            <w:r>
              <w:rPr>
                <w:rFonts w:hint="eastAsia" w:ascii="仿宋" w:hAnsi="仿宋" w:eastAsia="仿宋" w:cs="仿宋"/>
                <w:sz w:val="24"/>
              </w:rPr>
              <w:t>）：</w:t>
            </w:r>
          </w:p>
        </w:tc>
      </w:tr>
      <w:tr w14:paraId="07D36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2632" w:type="pct"/>
          </w:tcPr>
          <w:p w14:paraId="47EA7AA9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2367" w:type="pct"/>
          </w:tcPr>
          <w:p w14:paraId="6C7C326D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633F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2632" w:type="pct"/>
          </w:tcPr>
          <w:p w14:paraId="469A3A08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2367" w:type="pct"/>
          </w:tcPr>
          <w:p w14:paraId="4DE62B18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0F579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2632" w:type="pct"/>
          </w:tcPr>
          <w:p w14:paraId="540E63B1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2367" w:type="pct"/>
          </w:tcPr>
          <w:p w14:paraId="2AB34BE5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7E284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2632" w:type="pct"/>
          </w:tcPr>
          <w:p w14:paraId="7070B877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2367" w:type="pct"/>
          </w:tcPr>
          <w:p w14:paraId="2668E5E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4A880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5000" w:type="pct"/>
            <w:gridSpan w:val="2"/>
          </w:tcPr>
          <w:p w14:paraId="5A2E9064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5082971F">
      <w:pPr>
        <w:rPr>
          <w:rFonts w:hint="eastAsia" w:ascii="仿宋" w:hAnsi="仿宋" w:eastAsia="仿宋" w:cs="仿宋"/>
        </w:rPr>
      </w:pPr>
    </w:p>
    <w:p w14:paraId="1B337119">
      <w:pPr>
        <w:pStyle w:val="4"/>
        <w:rPr>
          <w:rFonts w:hint="eastAsia" w:ascii="仿宋" w:hAnsi="仿宋" w:eastAsia="仿宋" w:cs="仿宋"/>
          <w:lang w:val="en-US" w:eastAsia="zh-Hans"/>
        </w:rPr>
      </w:pPr>
    </w:p>
    <w:p w14:paraId="2EF421C1">
      <w:bookmarkStart w:id="6" w:name="_GoBack"/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231844"/>
    <w:rsid w:val="7A231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76" w:lineRule="exact"/>
      <w:ind w:firstLine="880" w:firstLineChars="200"/>
      <w:jc w:val="both"/>
    </w:pPr>
    <w:rPr>
      <w:rFonts w:ascii="仿宋_GB2312" w:hAnsi="仿宋_GB2312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2026-06-12T05:27:00Z</dcterms:created>
  <dc:creator>四方衡裕</dc:creator>
  <cp:lastModifiedBy>四方衡裕</cp:lastModifiedBy>
  <dcterms:modified xsi:type="dcterms:W3CDTF">2026-06-12T05:27:54Z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87245B08F7B747718B5C3F36997D8996_11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