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版本号：MSXDZB-03120260805002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政务服务“一窗受理”改革项目服务外包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MSXDZB-031</w:t>
      </w:r>
      <w:r>
        <w:br/>
      </w:r>
      <w:r>
        <w:br/>
      </w:r>
      <w:r>
        <w:br/>
      </w:r>
    </w:p>
    <w:p>
      <w:pPr>
        <w:pStyle w:val="null3"/>
        <w:jc w:val="center"/>
        <w:outlineLvl w:val="2"/>
      </w:pPr>
      <w:r>
        <w:rPr>
          <w:rFonts w:ascii="仿宋_GB2312" w:hAnsi="仿宋_GB2312" w:cs="仿宋_GB2312" w:eastAsia="仿宋_GB2312"/>
          <w:sz w:val="28"/>
          <w:b/>
        </w:rPr>
        <w:t>西安市长安区政务服务中心</w:t>
      </w:r>
    </w:p>
    <w:p>
      <w:pPr>
        <w:pStyle w:val="null3"/>
        <w:jc w:val="center"/>
        <w:outlineLvl w:val="2"/>
      </w:pPr>
      <w:r>
        <w:rPr>
          <w:rFonts w:ascii="仿宋_GB2312" w:hAnsi="仿宋_GB2312" w:cs="仿宋_GB2312" w:eastAsia="仿宋_GB2312"/>
          <w:sz w:val="28"/>
          <w:b/>
        </w:rPr>
        <w:t>铭森信达（陕西）项目管理有限公司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铭森信达（陕西）项目管理有限公司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西安市长安区政务服务中心</w:t>
      </w:r>
      <w:r>
        <w:rPr>
          <w:rFonts w:ascii="仿宋_GB2312" w:hAnsi="仿宋_GB2312" w:cs="仿宋_GB2312" w:eastAsia="仿宋_GB2312"/>
        </w:rPr>
        <w:t>委托，拟对</w:t>
      </w:r>
      <w:r>
        <w:rPr>
          <w:rFonts w:ascii="仿宋_GB2312" w:hAnsi="仿宋_GB2312" w:cs="仿宋_GB2312" w:eastAsia="仿宋_GB2312"/>
        </w:rPr>
        <w:t>政务服务“一窗受理”改革项目服务外包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MSXDZB-031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政务服务“一窗受理”改革项目服务外包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长安区政务服务中心拟通过政务服务“一窗受理”改革项目服务外包，按照“业务关联、办件均衡、留有余量”的原则，科学设置政务中心“一窗受理”窗口，配备与之相适应的“业务精、素质高、数智化”的工作人员，充分运用人工智能大模型、数据要素运营等技术手段，不断提升建设集约化、管理规范化、服务便利化、决策科学化水平，实现长安区政务服务优质高效办理和智慧化转型。</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采购包1（政务服务“一窗受理”改革项目服务外包）：属于专门面向中小企业采购。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及授权书：法定代表人直接投标须提交其身份证明材料，法定代表人授权代表参加投标的，须出具授权书及被授权人身份证，供应商需在项目电子化交易系统中按要求上传相应证明文件并进行电子签章；</w:t>
      </w:r>
    </w:p>
    <w:p>
      <w:pPr>
        <w:pStyle w:val="null3"/>
      </w:pPr>
      <w:r>
        <w:rPr>
          <w:rFonts w:ascii="仿宋_GB2312" w:hAnsi="仿宋_GB2312" w:cs="仿宋_GB2312" w:eastAsia="仿宋_GB2312"/>
        </w:rPr>
        <w:t>3、审计报告：供应商提供财务状况报告（二选一）：①供应商提供近三年任一年度经会计事务所或审计机构审计的完整的财务审计报告（成立时间至提供响应文件截止时间不足一年的可提供成立后任意时段的资产负债表）；②在投标截止时间前三个月内其开户银行出具的资信证明（附开户许可证或基本账户存款信息）。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12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保缴纳凭证：供应商须提供投标截止时间前12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6、履约承诺函：供应商须提供具有履行合同所必需的设备和专业技术能力的承诺函，供应商需在项目电子化交易系统中按要求上传相应承诺文件并进行电子签章；</w:t>
      </w:r>
    </w:p>
    <w:p>
      <w:pPr>
        <w:pStyle w:val="null3"/>
      </w:pPr>
      <w:r>
        <w:rPr>
          <w:rFonts w:ascii="仿宋_GB2312" w:hAnsi="仿宋_GB2312" w:cs="仿宋_GB2312" w:eastAsia="仿宋_GB2312"/>
        </w:rPr>
        <w:t>7、信誉声明：供应商应具备良好的商业信誉，提供参加政府采购活动前3年内在经营活动中没有重大违法记录的书面声明，供应商需在项目电子化交易系统中按要求上传相应承诺文件并进行电子签章；</w:t>
      </w:r>
    </w:p>
    <w:p>
      <w:pPr>
        <w:pStyle w:val="null3"/>
      </w:pPr>
      <w:r>
        <w:rPr>
          <w:rFonts w:ascii="仿宋_GB2312" w:hAnsi="仿宋_GB2312" w:cs="仿宋_GB2312" w:eastAsia="仿宋_GB2312"/>
        </w:rPr>
        <w:t>8、信用声明：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当日网上查询结果为评审依据）；</w:t>
      </w:r>
    </w:p>
    <w:p>
      <w:pPr>
        <w:pStyle w:val="null3"/>
      </w:pPr>
      <w:r>
        <w:rPr>
          <w:rFonts w:ascii="仿宋_GB2312" w:hAnsi="仿宋_GB2312" w:cs="仿宋_GB2312" w:eastAsia="仿宋_GB2312"/>
        </w:rPr>
        <w:t>9、中小企业声明函：本项目专门面向中小企业采购，仅限符合《政府采购促进中小企业发展管理办法》（财库〔2020〕46号）条件的企业参与，供应商应填写中小企业声明函并对真实性负责（残疾人福利性单位及监狱企业视同为小型、微型企业），供应商需在项目电子化交易系统中按要求上传相应证明文件并进行电子签章。</w:t>
      </w:r>
    </w:p>
    <w:p>
      <w:pPr>
        <w:pStyle w:val="null3"/>
      </w:pPr>
      <w:r>
        <w:rPr>
          <w:rFonts w:ascii="仿宋_GB2312" w:hAnsi="仿宋_GB2312" w:cs="仿宋_GB2312" w:eastAsia="仿宋_GB2312"/>
        </w:rPr>
        <w:t>10、非联合体：本项目不接受联合体响应。供应商需在项目电子化交易系统中按要求上传相应承诺文件并进行电子签章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西安市长安区政务服务中心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长安区西长安街669号行政中心二楼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西安市长安区政务服务中心经办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13991244119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铭森信达（陕西）项目管理有限公司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陕西省西安市市辖区陕西省西安市高新区唐延路1号旺座国际城1幢2单元22902—B080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李娜、王晓娟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17802937022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及《国家发展改革委办公厅关于招标代理服务收费有关问题的通知》（发改办价格[2003]857号）文件规定的取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西安市长安区政务服务中心</w:t>
      </w:r>
      <w:r>
        <w:rPr>
          <w:rFonts w:ascii="仿宋_GB2312" w:hAnsi="仿宋_GB2312" w:cs="仿宋_GB2312" w:eastAsia="仿宋_GB2312"/>
        </w:rPr>
        <w:t>和</w:t>
      </w:r>
      <w:r>
        <w:rPr>
          <w:rFonts w:ascii="仿宋_GB2312" w:hAnsi="仿宋_GB2312" w:cs="仿宋_GB2312" w:eastAsia="仿宋_GB2312"/>
        </w:rPr>
        <w:t>铭森信达（陕西）项目管理有限公司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西安市长安区政务服务中心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铭森信达（陕西）项目管理有限公司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西安市长安区政务服务中心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铭森信达（陕西）项目管理有限公司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服务质量合格，完全满足招标文件采购需求、投标文件承诺及国家政务服务相关行业规范，符合采购人实际业务运行要求；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铭森信达（陕西）项目管理有限公司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铭森信达（陕西）项目管理有限公司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铭森信达（陕西）项目管理有限公司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联系人：李娜、王晓娟</w:t>
      </w:r>
    </w:p>
    <w:p>
      <w:pPr>
        <w:pStyle w:val="null3"/>
      </w:pPr>
      <w:r>
        <w:rPr>
          <w:rFonts w:ascii="仿宋_GB2312" w:hAnsi="仿宋_GB2312" w:cs="仿宋_GB2312" w:eastAsia="仿宋_GB2312"/>
        </w:rPr>
        <w:t>联系电话：17802937022</w:t>
      </w:r>
    </w:p>
    <w:p>
      <w:pPr>
        <w:pStyle w:val="null3"/>
      </w:pPr>
      <w:r>
        <w:rPr>
          <w:rFonts w:ascii="仿宋_GB2312" w:hAnsi="仿宋_GB2312" w:cs="仿宋_GB2312" w:eastAsia="仿宋_GB2312"/>
        </w:rPr>
        <w:t>地址：陕西省西安市高新区唐延路1号旺座国际城1幢2单元22902-B080</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政务服务中心拟通过政务服务"一窗受理"改革项目服务外包，按照“业务关联、办件均衡、留有余量”的原则，科学设置政务中心“一窗受理”窗口，配备与之相适应的“业务精、素质高、数智化”的工作人员，充分运用人工智能大模型、数据要素运营等技术手段，不断提升建设集约化、管理规范化、服务便利化、决策科学化水平，实现长安区政务服务优质高效办理和智慧化转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5,320,000.00</w:t>
      </w:r>
    </w:p>
    <w:p>
      <w:pPr>
        <w:pStyle w:val="null3"/>
      </w:pPr>
      <w:r>
        <w:rPr>
          <w:rFonts w:ascii="仿宋_GB2312" w:hAnsi="仿宋_GB2312" w:cs="仿宋_GB2312" w:eastAsia="仿宋_GB2312"/>
        </w:rPr>
        <w:t>采购包最高限价（元）: 5,320,000.00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政务服务“一窗受理”改革项目服务外包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标的名称：政务服务“一窗受理”改革项目服务外包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项目名称：西安市长安区政务服务中心政务服务</w:t>
            </w:r>
            <w:r>
              <w:rPr>
                <w:rFonts w:ascii="仿宋_GB2312" w:hAnsi="仿宋_GB2312" w:cs="仿宋_GB2312" w:eastAsia="仿宋_GB2312"/>
              </w:rPr>
              <w:t>“一窗受理”改革项目服务外包；</w:t>
            </w:r>
          </w:p>
          <w:p>
            <w:pPr>
              <w:pStyle w:val="null3"/>
            </w:pPr>
            <w:r>
              <w:rPr>
                <w:rFonts w:ascii="仿宋_GB2312" w:hAnsi="仿宋_GB2312" w:cs="仿宋_GB2312" w:eastAsia="仿宋_GB2312"/>
              </w:rPr>
              <w:t>项目实施地点：西安市长安区政务服务中心。</w:t>
            </w:r>
          </w:p>
          <w:p>
            <w:pPr>
              <w:pStyle w:val="null3"/>
            </w:pPr>
            <w:r>
              <w:rPr>
                <w:rFonts w:ascii="仿宋_GB2312" w:hAnsi="仿宋_GB2312" w:cs="仿宋_GB2312" w:eastAsia="仿宋_GB2312"/>
              </w:rPr>
              <w:t>为深入贯彻落实《国务院办公厅关于健全</w:t>
            </w:r>
            <w:r>
              <w:rPr>
                <w:rFonts w:ascii="仿宋_GB2312" w:hAnsi="仿宋_GB2312" w:cs="仿宋_GB2312" w:eastAsia="仿宋_GB2312"/>
              </w:rPr>
              <w:t>“高效办成一件事”重点事项常态化推进机制的意见》（国发〔2025〕24号）、《国务院关于进一步优化政务服务提升行政效能推动“高效办成一件事”的指导意见》（国发〔2024〕3号）及《陕西省人民政府办公厅关于印发2025年推进政府职能转变工作要点的通知》（陕政办发〔2025〕2号）中关于扎实推进“高效办成一件事”、持续深化行政审批制度改革、推进数字政府建设等相关要求，西安市长安区政务服务中心拟通过政务服务“一窗受理”改革项目服务外包，按照“业务关联、办件均衡、留有余量”的原则，科学设置政务中心“一窗受理”窗口，配备与之相适应的“业务精、素质高、数智化”的工作人员，充分运用人工智能大模型、数据要素运营等技术手段，不断提升建设集约化、管理规范化、服务便利化、决策科学化水平，实现长安区政务服务优质高效办理和智慧化转型。</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1、人员配备方面。配备76名“一窗受理”工作人员，全面负责与服务人员的劳动合同签订、薪酬社保、考核考勤管理、福利待遇兑现等。</w:t>
            </w:r>
          </w:p>
          <w:p>
            <w:pPr>
              <w:pStyle w:val="null3"/>
            </w:pPr>
            <w:r>
              <w:rPr>
                <w:rFonts w:ascii="仿宋_GB2312" w:hAnsi="仿宋_GB2312" w:cs="仿宋_GB2312" w:eastAsia="仿宋_GB2312"/>
              </w:rPr>
              <w:t>2、运营管理方面。提供“招聘到岗、培训先行、工作承办、全面管理”的全流程外包服务等，建立健全标准化建设场景。承担大厅咨询引导、帮办代办、事项接件、材料内部流转、结果出件全链条服务及辅助性工作。</w:t>
            </w:r>
          </w:p>
          <w:p>
            <w:pPr>
              <w:pStyle w:val="null3"/>
            </w:pPr>
            <w:r>
              <w:rPr>
                <w:rFonts w:ascii="仿宋_GB2312" w:hAnsi="仿宋_GB2312" w:cs="仿宋_GB2312" w:eastAsia="仿宋_GB2312"/>
              </w:rPr>
              <w:t>3、信息化支撑方面。完成事项梳理系统、智能导办系统、预约取叫号系统、数据可视化系统、人员培训系统、往期创新举措功能及各类系统的持续运维及服务。</w:t>
            </w:r>
          </w:p>
          <w:p>
            <w:pPr>
              <w:pStyle w:val="null3"/>
            </w:pPr>
            <w:r>
              <w:rPr>
                <w:rFonts w:ascii="仿宋_GB2312" w:hAnsi="仿宋_GB2312" w:cs="仿宋_GB2312" w:eastAsia="仿宋_GB2312"/>
              </w:rPr>
              <w:t>4、业务创新方面。根据政务服务行业发展需要和国家最新政策导向，聚焦以下方向适时提出2026年度创新计划项目并执行：（1）长小安“政务向导”；（2）长小安AI数字员工伙伴；（3）产业服务知识图谱。</w:t>
            </w:r>
          </w:p>
          <w:p>
            <w:pPr>
              <w:pStyle w:val="null3"/>
            </w:pPr>
            <w:r>
              <w:rPr>
                <w:rFonts w:ascii="仿宋_GB2312" w:hAnsi="仿宋_GB2312" w:cs="仿宋_GB2312" w:eastAsia="仿宋_GB2312"/>
              </w:rPr>
              <w:t>三、技术</w:t>
            </w:r>
            <w:r>
              <w:rPr>
                <w:rFonts w:ascii="仿宋_GB2312" w:hAnsi="仿宋_GB2312" w:cs="仿宋_GB2312" w:eastAsia="仿宋_GB2312"/>
              </w:rPr>
              <w:t>/服务要求</w:t>
            </w:r>
          </w:p>
          <w:p>
            <w:pPr>
              <w:pStyle w:val="null3"/>
            </w:pPr>
            <w:r>
              <w:rPr>
                <w:rFonts w:ascii="仿宋_GB2312" w:hAnsi="仿宋_GB2312" w:cs="仿宋_GB2312" w:eastAsia="仿宋_GB2312"/>
              </w:rPr>
              <w:t>（一）人员配备方面</w:t>
            </w:r>
          </w:p>
          <w:p>
            <w:pPr>
              <w:pStyle w:val="null3"/>
            </w:pPr>
            <w:r>
              <w:rPr>
                <w:rFonts w:ascii="仿宋_GB2312" w:hAnsi="仿宋_GB2312" w:cs="仿宋_GB2312" w:eastAsia="仿宋_GB2312"/>
              </w:rPr>
              <w:t>1、招聘与配置。结合“一窗受理”改革工作要求，坚持“业务关联、办件均衡、留有余量”的原则，根据办件量、办理时长、办理流程等数据，科学测算综合受理窗口数量，实行集约化管理，随业务办理量动态调整。提供政务服务中心采购年度“一窗受理”工作人员的招聘录用、入离调转等服务。</w:t>
            </w:r>
          </w:p>
          <w:p>
            <w:pPr>
              <w:pStyle w:val="null3"/>
            </w:pPr>
            <w:r>
              <w:rPr>
                <w:rFonts w:ascii="仿宋_GB2312" w:hAnsi="仿宋_GB2312" w:cs="仿宋_GB2312" w:eastAsia="仿宋_GB2312"/>
              </w:rPr>
              <w:t>2、人事管理全周期服务。承担76人的入转调离全流程管理，包括入职手续办理、劳动合同签订、岗位异动协调、离职交接监督等；建立并执行合理薪酬福利体系，负责薪酬核算与代发、社会保险及公积金申报缴纳；制定人事管理制度对考勤、请假等进行日常管理；定期反馈人员状态，保障团队稳定与高效运作。</w:t>
            </w:r>
          </w:p>
          <w:p>
            <w:pPr>
              <w:pStyle w:val="null3"/>
            </w:pPr>
            <w:r>
              <w:rPr>
                <w:rFonts w:ascii="仿宋_GB2312" w:hAnsi="仿宋_GB2312" w:cs="仿宋_GB2312" w:eastAsia="仿宋_GB2312"/>
              </w:rPr>
              <w:t>（二）运营管理方面</w:t>
            </w:r>
          </w:p>
          <w:p>
            <w:pPr>
              <w:pStyle w:val="null3"/>
            </w:pPr>
            <w:r>
              <w:rPr>
                <w:rFonts w:ascii="仿宋_GB2312" w:hAnsi="仿宋_GB2312" w:cs="仿宋_GB2312" w:eastAsia="仿宋_GB2312"/>
              </w:rPr>
              <w:t>1、承担政务服务中心大厅的全流程服务工作，包括为企业和群众提供咨询引导、帮办代办、事项接件、材料内部流转、结果出件等全链条服务，同时负责大厅设备维护、环境整理、秩序维护等辅助性工作，确保群众办事顺畅高效，大厅运转有序。</w:t>
            </w:r>
          </w:p>
          <w:p>
            <w:pPr>
              <w:pStyle w:val="null3"/>
            </w:pPr>
            <w:r>
              <w:rPr>
                <w:rFonts w:ascii="仿宋_GB2312" w:hAnsi="仿宋_GB2312" w:cs="仿宋_GB2312" w:eastAsia="仿宋_GB2312"/>
              </w:rPr>
              <w:t>2、围绕大厅服务的事项支撑、服务规范、运行流程等核心环节，设计并完善全套管理制度体系。每年度需结合大厅实际运行情况，对制度进行迭代优化，重点解决服务过程中出现的新问题、新需求，通过制度明确服务标准、责任分工和协同机制，保障服务体系长期高效运转。</w:t>
            </w:r>
          </w:p>
          <w:p>
            <w:pPr>
              <w:pStyle w:val="null3"/>
            </w:pPr>
            <w:r>
              <w:rPr>
                <w:rFonts w:ascii="仿宋_GB2312" w:hAnsi="仿宋_GB2312" w:cs="仿宋_GB2312" w:eastAsia="仿宋_GB2312"/>
              </w:rPr>
              <w:t>3、针对每年度“一窗受理”工作人员新老结构制定《岗前培训方案》和《日常培训方案》，严格参照行政办事员国家技能标准设置培训内容。岗前培训覆盖政务服务基础知识、礼仪规范、大厅规章制度、业务办理流程及信息化系统操作等，确保新员工快速上岗；日常培训定期开展政策更新、复杂事项办理技巧、应急处理等专项内容，形成"新老共进"的业务成长机制。</w:t>
            </w:r>
          </w:p>
          <w:p>
            <w:pPr>
              <w:pStyle w:val="null3"/>
            </w:pPr>
            <w:r>
              <w:rPr>
                <w:rFonts w:ascii="仿宋_GB2312" w:hAnsi="仿宋_GB2312" w:cs="仿宋_GB2312" w:eastAsia="仿宋_GB2312"/>
              </w:rPr>
              <w:t>4、建立科学的员工晋升通道和考核机制，制定与绩效紧密挂钩的薪酬方案，明确考核指标（如服务满意度、业务办理准确率、群众评价等），实现“多劳多得、优绩优酬”。每季度需对员工表现进行全面考评，根据考评结果兑现奖惩，同时动态优化绩效制度，激发员工工作积极性，保障团队稳定性和服务质量。</w:t>
            </w:r>
          </w:p>
          <w:p>
            <w:pPr>
              <w:pStyle w:val="null3"/>
            </w:pPr>
            <w:r>
              <w:rPr>
                <w:rFonts w:ascii="仿宋_GB2312" w:hAnsi="仿宋_GB2312" w:cs="仿宋_GB2312" w:eastAsia="仿宋_GB2312"/>
              </w:rPr>
              <w:t>5、坚持宣传推广优秀做法，长期培养固定宣传小组，负责撰写服务案例并发布于主流媒体。</w:t>
            </w:r>
          </w:p>
          <w:p>
            <w:pPr>
              <w:pStyle w:val="null3"/>
            </w:pPr>
            <w:r>
              <w:rPr>
                <w:rFonts w:ascii="仿宋_GB2312" w:hAnsi="仿宋_GB2312" w:cs="仿宋_GB2312" w:eastAsia="仿宋_GB2312"/>
              </w:rPr>
              <w:t>6、收集大厅日常运行各类数据，定期汇总分析形成成效报告，明确服务亮点、存在问题及改进方向，为大厅优化提供数据支撑。</w:t>
            </w:r>
          </w:p>
          <w:p>
            <w:pPr>
              <w:pStyle w:val="null3"/>
            </w:pPr>
            <w:r>
              <w:rPr>
                <w:rFonts w:ascii="仿宋_GB2312" w:hAnsi="仿宋_GB2312" w:cs="仿宋_GB2312" w:eastAsia="仿宋_GB2312"/>
              </w:rPr>
              <w:t>7、按“管理型、业务型、综合型”分类配置窗口人员，依据能力画像动态分配岗位，推动人才结构焕新，强化人岗匹配与梯次配置；建立“岗位练兵+导师结对”机制，由优秀人员担任导师，制定带训清单并将效果纳入考核，对优秀导师给予奖励；实行积分制管理，按业务量、准确率等指标量化积分，设置月度奖励基金，开展“服务之星”“流动红旗”评比；每年组织不少于4场业务竞赛，设置实战环节，对优秀者给予表彰奖励；建立“异常服务行为通报”机制，依托系统监测窗口异常行为，通报并限期整改；每年度开展至少2场团建活动及“窗口关爱日”，配套心理疏导培训。打造一支业务精、服务优、凝聚力强的窗口队伍，实现人员稳定高效、服务规范暖心、品牌形象凸显的目标，提升群众企业满意度。</w:t>
            </w:r>
          </w:p>
          <w:p>
            <w:pPr>
              <w:pStyle w:val="null3"/>
            </w:pPr>
            <w:r>
              <w:rPr>
                <w:rFonts w:ascii="仿宋_GB2312" w:hAnsi="仿宋_GB2312" w:cs="仿宋_GB2312" w:eastAsia="仿宋_GB2312"/>
              </w:rPr>
              <w:t>（三）信息化支撑方面</w:t>
            </w:r>
          </w:p>
          <w:p>
            <w:pPr>
              <w:pStyle w:val="null3"/>
            </w:pPr>
            <w:r>
              <w:rPr>
                <w:rFonts w:ascii="仿宋_GB2312" w:hAnsi="仿宋_GB2312" w:cs="仿宋_GB2312" w:eastAsia="仿宋_GB2312"/>
              </w:rPr>
              <w:t>1、事项梳理系统。作为事项标准化、情形化、颗粒化梳理的使用工具及事项库，除满足标准化的事项梳理、管理、导入导出等日常事项维护管理功能外，满足对事项情形拆分配置、材料数字化深度梳理等功能，实现情形化、颗粒度梳理。</w:t>
            </w:r>
          </w:p>
          <w:p>
            <w:pPr>
              <w:pStyle w:val="null3"/>
            </w:pPr>
            <w:r>
              <w:rPr>
                <w:rFonts w:ascii="仿宋_GB2312" w:hAnsi="仿宋_GB2312" w:cs="仿宋_GB2312" w:eastAsia="仿宋_GB2312"/>
              </w:rPr>
              <w:t>2、智能导办系统。持续优化综窗辅助系统，统一办理界面、要素及流程，实现事项精准推送、路径可视、材料清单智能匹配，发挥事项更新维护、高频问题与知识点归集的功能，支撑“无差别受理”业务场景。</w:t>
            </w:r>
          </w:p>
          <w:p>
            <w:pPr>
              <w:pStyle w:val="null3"/>
            </w:pPr>
            <w:r>
              <w:rPr>
                <w:rFonts w:ascii="仿宋_GB2312" w:hAnsi="仿宋_GB2312" w:cs="仿宋_GB2312" w:eastAsia="仿宋_GB2312"/>
              </w:rPr>
              <w:t>3、预约取叫号系统。提供配置简便，汇聚业务、窗口、人员信息的预约取叫号系统。支持大厅取号设备、微信公众号、二维码扫描等多形式预约取号，短信叫号提醒，显示屏滚动显示叫号信息；群众端可查看排队情况、办事进度等信息；全面覆盖预约、叫号、重呼、办理、办结、转号等窗口功能；管理人员端支持按周期查阅取叫号量、办件量数据。</w:t>
            </w:r>
          </w:p>
          <w:p>
            <w:pPr>
              <w:pStyle w:val="null3"/>
            </w:pPr>
            <w:r>
              <w:rPr>
                <w:rFonts w:ascii="仿宋_GB2312" w:hAnsi="仿宋_GB2312" w:cs="仿宋_GB2312" w:eastAsia="仿宋_GB2312"/>
              </w:rPr>
              <w:t>4、数据可视化系统。建立数据仓库模型，对办件趋势、运行分析、效能分析、窗口忙闲度、大厅人流量、排队叫号情况、平均等待时长、群众满意度等多维度数据进行深入分析与可视化呈现，为中心决策提供依据。</w:t>
            </w:r>
          </w:p>
          <w:p>
            <w:pPr>
              <w:pStyle w:val="null3"/>
            </w:pPr>
            <w:r>
              <w:rPr>
                <w:rFonts w:ascii="仿宋_GB2312" w:hAnsi="仿宋_GB2312" w:cs="仿宋_GB2312" w:eastAsia="仿宋_GB2312"/>
              </w:rPr>
              <w:t>5、人员培训系统。由后台管理系统与移动端学习平台构成，后台包括学员管理、学习等级配置、培训分类设置、教材管理、讲师管理等模块；移动端支持学员查看热门课程、学习政务公开课等。</w:t>
            </w:r>
          </w:p>
          <w:p>
            <w:pPr>
              <w:pStyle w:val="null3"/>
            </w:pPr>
            <w:r>
              <w:rPr>
                <w:rFonts w:ascii="仿宋_GB2312" w:hAnsi="仿宋_GB2312" w:cs="仿宋_GB2312" w:eastAsia="仿宋_GB2312"/>
              </w:rPr>
              <w:t>6、系统部署与运维。按要求完成相关系统的安装、调试、配置及上线部署工作，确保系统正常运行；提供常态化运维服务，涵盖系统日常监控、故障排查与修复、性能优化、安全补丁更新等，保障系统稳定可靠；建立应急响应机制，对系统突发问题快速响应并妥善处理，同时定期提交运维报告。通过专业的部署与运维服务，确保各类系统持续高效运转，为业务开展提供稳定技术支撑。做好与市级对口部门数据平台相关业务必要碰口对接，确保市级平台部署任务能够顺利接入落地。</w:t>
            </w:r>
          </w:p>
          <w:p>
            <w:pPr>
              <w:pStyle w:val="null3"/>
            </w:pPr>
            <w:r>
              <w:rPr>
                <w:rFonts w:ascii="仿宋_GB2312" w:hAnsi="仿宋_GB2312" w:cs="仿宋_GB2312" w:eastAsia="仿宋_GB2312"/>
              </w:rPr>
              <w:t>（四）业务创新方面</w:t>
            </w:r>
          </w:p>
          <w:p>
            <w:pPr>
              <w:pStyle w:val="null3"/>
            </w:pPr>
            <w:r>
              <w:rPr>
                <w:rFonts w:ascii="仿宋_GB2312" w:hAnsi="仿宋_GB2312" w:cs="仿宋_GB2312" w:eastAsia="仿宋_GB2312"/>
              </w:rPr>
              <w:t>1、打造长小安“政务向导”。以企业群众“办事第一问”为核心，围绕政务咨询、政策解读、智能指引等高频需求，将“长小安”升级为全场景、多触点的“政务向导”，实现“扫一次码、知所有事”。</w:t>
            </w:r>
          </w:p>
          <w:p>
            <w:pPr>
              <w:pStyle w:val="null3"/>
            </w:pPr>
            <w:r>
              <w:rPr>
                <w:rFonts w:ascii="仿宋_GB2312" w:hAnsi="仿宋_GB2312" w:cs="仿宋_GB2312" w:eastAsia="仿宋_GB2312"/>
              </w:rPr>
              <w:t>2、打造面向全体政务工作者的AI 数字员工伙伴，同一知识图谱，双端能力输出。通过 AI 数字员工实现人力成本优化与效能提升。在群众端，智能导办与自助预审减轻导办人员和窗口人员工作负荷；在员工端，政策智能解读、疑难事项智能校验等功能大幅降低培训成本和人工审核时间。</w:t>
            </w:r>
          </w:p>
          <w:p>
            <w:pPr>
              <w:pStyle w:val="null3"/>
            </w:pPr>
            <w:r>
              <w:rPr>
                <w:rFonts w:ascii="仿宋_GB2312" w:hAnsi="仿宋_GB2312" w:cs="仿宋_GB2312" w:eastAsia="仿宋_GB2312"/>
              </w:rPr>
              <w:t>3、打造“产业服务知识图谱”。围绕本地特色产业（首批选择1-2类）发展需要，坚持从企业全生命周期视角出发，持续拓展服务场景、延伸服务链条，将审前辅导范围覆盖至生活服务、产业扶持、工程建设、城市更新等高频重点领域，搭建标准化、场景化、通俗易懂的“产业服务知识图谱”。</w:t>
            </w:r>
          </w:p>
          <w:p>
            <w:pPr>
              <w:pStyle w:val="null3"/>
            </w:pPr>
            <w:r>
              <w:rPr>
                <w:rFonts w:ascii="仿宋_GB2312" w:hAnsi="仿宋_GB2312" w:cs="仿宋_GB2312" w:eastAsia="仿宋_GB2312"/>
              </w:rPr>
              <w:t>（五）其他常规服务要求</w:t>
            </w:r>
          </w:p>
          <w:p>
            <w:pPr>
              <w:pStyle w:val="null3"/>
            </w:pPr>
            <w:r>
              <w:rPr>
                <w:rFonts w:ascii="仿宋_GB2312" w:hAnsi="仿宋_GB2312" w:cs="仿宋_GB2312" w:eastAsia="仿宋_GB2312"/>
              </w:rPr>
              <w:t>当因事项入驻需增加人员配置或改造大厅时，协助政务服务中心完成人员配备方案及大厅功能布局和现场设备摆放方案。</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合格且满足招标人要求</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1.服务期：1年。</w:t>
            </w:r>
          </w:p>
          <w:p>
            <w:pPr>
              <w:pStyle w:val="null3"/>
            </w:pPr>
            <w:r>
              <w:rPr>
                <w:rFonts w:ascii="仿宋_GB2312" w:hAnsi="仿宋_GB2312" w:cs="仿宋_GB2312" w:eastAsia="仿宋_GB2312"/>
              </w:rPr>
              <w:t>2.服务质量：合格且满足招标人要求。</w:t>
            </w:r>
          </w:p>
          <w:p>
            <w:pPr>
              <w:pStyle w:val="null3"/>
            </w:pPr>
            <w:r>
              <w:rPr>
                <w:rFonts w:ascii="仿宋_GB2312" w:hAnsi="仿宋_GB2312" w:cs="仿宋_GB2312" w:eastAsia="仿宋_GB2312"/>
              </w:rPr>
              <w:t>3.服务保障：</w:t>
            </w:r>
          </w:p>
          <w:p>
            <w:pPr>
              <w:pStyle w:val="null3"/>
            </w:pPr>
            <w:r>
              <w:rPr>
                <w:rFonts w:ascii="仿宋_GB2312" w:hAnsi="仿宋_GB2312" w:cs="仿宋_GB2312" w:eastAsia="仿宋_GB2312"/>
              </w:rPr>
              <w:t>中标</w:t>
            </w:r>
            <w:r>
              <w:rPr>
                <w:rFonts w:ascii="仿宋_GB2312" w:hAnsi="仿宋_GB2312" w:cs="仿宋_GB2312" w:eastAsia="仿宋_GB2312"/>
              </w:rPr>
              <w:t>/成交供应商应就本项目招标文件中的要求配合采购人做好服务工作，且应提供及时周到的售后服务，在接采购人通知 1 小时做出响应，12小时内到达现场，24小时内问题解决完毕，解决不了的须提供备选方案。</w:t>
            </w:r>
          </w:p>
          <w:p>
            <w:pPr>
              <w:pStyle w:val="null3"/>
            </w:pPr>
            <w:r>
              <w:rPr>
                <w:rFonts w:ascii="仿宋_GB2312" w:hAnsi="仿宋_GB2312" w:cs="仿宋_GB2312" w:eastAsia="仿宋_GB2312"/>
              </w:rPr>
              <w:t>六、其他</w:t>
            </w:r>
          </w:p>
          <w:p>
            <w:pPr>
              <w:pStyle w:val="null3"/>
            </w:pPr>
            <w:r>
              <w:rPr>
                <w:rFonts w:ascii="仿宋_GB2312" w:hAnsi="仿宋_GB2312" w:cs="仿宋_GB2312" w:eastAsia="仿宋_GB2312"/>
                <w:sz w:val="21"/>
              </w:rPr>
              <w:t>无</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配备76名“一窗受理”工作人员，全面负责与服务人员的劳动合同签订、薪酬社保、考核考勤管理、福利待遇兑现等。</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一年（具体以合同签订日期为准）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服务质量合格，完全满足招标文件采购需求、投标文件承诺及国家政务服务相关行业规范，符合采购人实际业务运行要求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其他，采购人按财政部门的相关规定及采购合同的约定进行支付，达到付款条件起15个工作日内，支付合同总金额的100.0%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一、合同一经签订，双方应严格履行合同规定的义务。 二、在合同履行过程中，如发生合同纠纷，合同双方应按照《中华人民共和国民法典》规定及合同条款约定进行处理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1、服务名称：政务服务“一窗受理”改革项目服务外包； 服务范围：政务服务“一窗受理”改革项目服务外包； 服务要求：合格且满足招标人要求； 服务期限：1年； 服务标准：满足项目采购需求，符合国家相关规定及行业标准，验收合格。 2、中标供应商在领取中标通知书前，需向招标代理机构提交加盖公章的纸质版投标文件三套，中标供应商应保持投标文件纸质版内容与系统上传内容完全一致。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供应商需在项目电子化交易系统中按要求填写《投标函》完成承诺并进行电子签章。提供《基本资格条件承诺函》。</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供应商需在项目电子化交易系统中按要求上传相应证明文件并进行电子签章。供应商需在项目电子化交易系统中按要求上传相应证明文件并进行电子签章。提供《基本资格条件承诺函》。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法定代表人身份证明书及授权书</w:t>
            </w:r>
          </w:p>
        </w:tc>
        <w:tc>
          <w:tcPr>
            <w:tcW w:type="dxa" w:w="3322"/>
          </w:tcPr>
          <w:p>
            <w:pPr>
              <w:pStyle w:val="null3"/>
            </w:pPr>
            <w:r>
              <w:rPr>
                <w:rFonts w:ascii="仿宋_GB2312" w:hAnsi="仿宋_GB2312" w:cs="仿宋_GB2312" w:eastAsia="仿宋_GB2312"/>
              </w:rPr>
              <w:t>法定代表人直接投标须提交其身份证明材料，法定代表人授权代表参加投标的，须出具授权书及被授权人身份证，供应商需在项目电子化交易系统中按要求上传相应证明文件并进行电子签章；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供应商提供财务状况报告（二选一）：①供应商提供近三年任一年度经会计事务所或审计机构审计的完整的财务审计报告（成立时间至提供响应文件截止时间不足一年的可提供成立后任意时段的资产负债表）；②在投标截止时间前三个月内其开户银行出具的资信证明（附开户许可证或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12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供应商须提供投标截止时间前12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当日网上查询结果为评审依据）；</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本项目不接受联合体响应。供应商需在项目电子化交易系统中按要求上传相应承诺文件并进行电子签章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响应文件签署、盖章符合采购文件要求；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采购内容</w:t>
            </w:r>
          </w:p>
        </w:tc>
        <w:tc>
          <w:tcPr>
            <w:tcW w:type="dxa" w:w="3322"/>
          </w:tcPr>
          <w:p>
            <w:pPr>
              <w:pStyle w:val="null3"/>
            </w:pPr>
            <w:r>
              <w:rPr>
                <w:rFonts w:ascii="仿宋_GB2312" w:hAnsi="仿宋_GB2312" w:cs="仿宋_GB2312" w:eastAsia="仿宋_GB2312"/>
              </w:rPr>
              <w:t>服务内容及商务要求应符合采购文件要求；</w:t>
            </w:r>
          </w:p>
        </w:tc>
        <w:tc>
          <w:tcPr>
            <w:tcW w:type="dxa" w:w="1661"/>
          </w:tcPr>
          <w:p>
            <w:pPr>
              <w:pStyle w:val="null3"/>
            </w:pPr>
            <w:r>
              <w:rPr>
                <w:rFonts w:ascii="仿宋_GB2312" w:hAnsi="仿宋_GB2312" w:cs="仿宋_GB2312" w:eastAsia="仿宋_GB2312"/>
              </w:rPr>
              <w:t>技术方案 技术、服务及其他商务要求应答表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技术、服务及其他商务要求应答表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“无效投标”的情形及未实质性响应招标文件的情况</w:t>
            </w:r>
          </w:p>
        </w:tc>
        <w:tc>
          <w:tcPr>
            <w:tcW w:type="dxa" w:w="3322"/>
          </w:tcPr>
          <w:p>
            <w:pPr>
              <w:pStyle w:val="null3"/>
            </w:pPr>
            <w:r>
              <w:rPr>
                <w:rFonts w:ascii="仿宋_GB2312" w:hAnsi="仿宋_GB2312" w:cs="仿宋_GB2312" w:eastAsia="仿宋_GB2312"/>
              </w:rPr>
              <w:t>没有出现法律法规或招标文件明确规定的其他被视为“无效投标”的情形及未实质性响应招标文件的情况。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评审内容：供应商针对本项目76人“一窗受理”团队，提供下列3项实施方案：①人员配置方案——含人员招聘配置、入转调离全周期管理、薪酬福利体系设计、考勤管理、绩效考核等内容；②运营管理全流程方案——含大厅日常管理、大厅咨询引导方案、帮办代办、后台流转；③标准化建设方案——含服务规范、标准服务手册、服务质量标准等标准化制度文档（至少3类）。评审标准：上述3项内容，每提供1项内容计4分，每项内容存在1处瑕疵扣0.5分，多项瑕疵可累计扣分（扣减以本项分值为限，不出现负分）；满分12分。（本文所称“瑕疵”是指：内容缺少关键要点、方案未结合项目实际场景、照搬通用模板、内容前后表述矛盾、存在逻辑或常识错误、方案不利于项目正常履约。下述评分标准中，针对瑕疵的定义同此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业务创新与服务提升方案</w:t>
            </w:r>
          </w:p>
        </w:tc>
        <w:tc>
          <w:tcPr>
            <w:tcW w:type="dxa" w:w="2492"/>
          </w:tcPr>
          <w:p>
            <w:pPr>
              <w:pStyle w:val="null3"/>
            </w:pPr>
            <w:r>
              <w:rPr>
                <w:rFonts w:ascii="仿宋_GB2312" w:hAnsi="仿宋_GB2312" w:cs="仿宋_GB2312" w:eastAsia="仿宋_GB2312"/>
              </w:rPr>
              <w:t>评审内容：供应商针对本项目需求围绕下列3项创新方向提出本年度提升方案：①长小安“政务向导”；②长小安AI数字员工伙伴；③产业服务知识图谱。每项方案须包含：实施目标、技术方法、执行步骤、预期成果、时间进度，且与本项目实际场景契合、做好本地化适配考虑。评审标准：上述3项内容，每提供1项内容的创新提升方案计3分，每项内容存在1处瑕疵扣0.5分，多项瑕疵可累计扣分（扣减以本项分值为限，不出现负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服务质量保障与培训方案</w:t>
            </w:r>
          </w:p>
        </w:tc>
        <w:tc>
          <w:tcPr>
            <w:tcW w:type="dxa" w:w="2492"/>
          </w:tcPr>
          <w:p>
            <w:pPr>
              <w:pStyle w:val="null3"/>
            </w:pPr>
            <w:r>
              <w:rPr>
                <w:rFonts w:ascii="仿宋_GB2312" w:hAnsi="仿宋_GB2312" w:cs="仿宋_GB2312" w:eastAsia="仿宋_GB2312"/>
              </w:rPr>
              <w:t>评审内容：供应商针对本项目需求提供下列2项内容：①服务质量管控措施——含投诉处理机制（明确分级响应时限）、保密制度及措施（含保密范围、保密承诺、保密措施）；②人员培训体系及措施——含岗前培训（政务服务基础、礼仪规范、系统操作、业务流程、应急处理等课程，列明学时与考核方式）与日常培训（覆盖培训计划、方式含理论+实操+考核、效果评估标准）。评审标准：上述2项内容，每提供1项内容计5分，每项内容存在1处瑕疵扣0.5分，多项瑕疵可累计扣分（扣减以本项分值为限，不出现负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应急管理与合理化建议</w:t>
            </w:r>
          </w:p>
        </w:tc>
        <w:tc>
          <w:tcPr>
            <w:tcW w:type="dxa" w:w="2492"/>
          </w:tcPr>
          <w:p>
            <w:pPr>
              <w:pStyle w:val="null3"/>
            </w:pPr>
            <w:r>
              <w:rPr>
                <w:rFonts w:ascii="仿宋_GB2312" w:hAnsi="仿宋_GB2312" w:cs="仿宋_GB2312" w:eastAsia="仿宋_GB2312"/>
              </w:rPr>
              <w:t>评审内容：针对本项目实际业务场景，供应商提供下列3项内容：①突发事件预警判断方案：覆盖系统故障、网络中断、群众纠纷、舆论事件、突发公共卫生事件、自然灾害等场景的预警信号判定标准；②处置措施流程：上述各类场景的处置流程（含决策层级、责任分工、物资储备、事后恢复程序）；③合理化建议：针对本项目提出的改进建议（含现状分析、改进思路、预期效果，具实操价值）。评审标准：上述3项内容，每提供1项内容计3分，每项内容存在1处瑕疵扣0.5分，多项瑕疵可累计扣分（扣减以本项分值为限，不出现负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企业综合管理体系认证</w:t>
            </w:r>
          </w:p>
        </w:tc>
        <w:tc>
          <w:tcPr>
            <w:tcW w:type="dxa" w:w="2492"/>
          </w:tcPr>
          <w:p>
            <w:pPr>
              <w:pStyle w:val="null3"/>
            </w:pPr>
            <w:r>
              <w:rPr>
                <w:rFonts w:ascii="仿宋_GB2312" w:hAnsi="仿宋_GB2312" w:cs="仿宋_GB2312" w:eastAsia="仿宋_GB2312"/>
              </w:rPr>
              <w:t>供应商具有下列认证证书，每提供一项有效证书得2分，本项满分8分：①质量管理体系认证（ISO 9001）；②职业健康安全管理体系认证（ISO 45001）；③信息安全管理体系认证（ISO 27001）；④信息技术服务管理体系认证（ISO 20000）。投标文件中须提供证书复印件并加盖供应商公章，证书信息可在全国认证认可信息公共服务平台查询核验有效，同步提供平台查询截图并加盖公章。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廉洁制度及服务承诺</w:t>
            </w:r>
          </w:p>
        </w:tc>
        <w:tc>
          <w:tcPr>
            <w:tcW w:type="dxa" w:w="2492"/>
          </w:tcPr>
          <w:p>
            <w:pPr>
              <w:pStyle w:val="null3"/>
            </w:pPr>
            <w:r>
              <w:rPr>
                <w:rFonts w:ascii="仿宋_GB2312" w:hAnsi="仿宋_GB2312" w:cs="仿宋_GB2312" w:eastAsia="仿宋_GB2312"/>
              </w:rPr>
              <w:t>供应商需针对本项目提出专项廉洁风险防控制度文件，包括窗口岗位廉洁风险点排查制度、办事纪律规范制度、严禁吃拿卡要制度、杜绝人情办件制度、违规行为分级处置与内部惩戒制度、日常廉洁巡查管控制度，每提供1项制度内容得1分，最高得5分，未提供不得分。 供应商需针对本项目提供项目专项履约服务承诺，包含人员配置足额稳定履约承诺、大厅运营规范服务履约承诺、全流程培训落地履约承诺、信息化系统运维履约承诺、年度业务创新落地履约承诺，承诺每涵盖一项内容得1分，最高得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项目业绩与服务评价</w:t>
            </w:r>
          </w:p>
        </w:tc>
        <w:tc>
          <w:tcPr>
            <w:tcW w:type="dxa" w:w="2492"/>
          </w:tcPr>
          <w:p>
            <w:pPr>
              <w:pStyle w:val="null3"/>
            </w:pPr>
            <w:r>
              <w:rPr>
                <w:rFonts w:ascii="仿宋_GB2312" w:hAnsi="仿宋_GB2312" w:cs="仿宋_GB2312" w:eastAsia="仿宋_GB2312"/>
              </w:rPr>
              <w:t>①业绩：供应商自2023年1月1日以来承担过综合窗口受理服务外包项目，每提供1个有效业绩得1分，最高5分（合同服务内容含综合窗口、帮办代办、咨询引导中任一内容即认定为有效业绩）；需在投标文件中提供合同扫描件并加盖公章，合同中应能体现所需服务内容，合同日期以签署日期为准。 ②服务评价：供应商具有上述同类窗口服务外包项目委托方出具的书面评价表或满意度评价报告（评价满意或合格及以上），每提供1份得1分，最高4分。须提供证明材料复印件并加盖公章。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项目业绩与服务评价</w:t>
            </w:r>
          </w:p>
        </w:tc>
      </w:tr>
      <w:tr>
        <w:tc>
          <w:tcPr>
            <w:tcW w:type="dxa" w:w="831"/>
            <w:vMerge/>
          </w:tcPr>
          <w:p/>
        </w:tc>
        <w:tc>
          <w:tcPr>
            <w:tcW w:type="dxa" w:w="1661"/>
          </w:tcPr>
          <w:p>
            <w:pPr>
              <w:pStyle w:val="null3"/>
            </w:pPr>
            <w:r>
              <w:rPr>
                <w:rFonts w:ascii="仿宋_GB2312" w:hAnsi="仿宋_GB2312" w:cs="仿宋_GB2312" w:eastAsia="仿宋_GB2312"/>
              </w:rPr>
              <w:t>服务团队人员资质</w:t>
            </w:r>
          </w:p>
        </w:tc>
        <w:tc>
          <w:tcPr>
            <w:tcW w:type="dxa" w:w="2492"/>
          </w:tcPr>
          <w:p>
            <w:pPr>
              <w:pStyle w:val="null3"/>
            </w:pPr>
            <w:r>
              <w:rPr>
                <w:rFonts w:ascii="仿宋_GB2312" w:hAnsi="仿宋_GB2312" w:cs="仿宋_GB2312" w:eastAsia="仿宋_GB2312"/>
              </w:rPr>
              <w:t>①拟派项目负责人学历:具备本科及以上学历得3分；具备专科学历得1分；高中及以下学历不得分。须提供毕业证书复印件加盖公章。 ②拟派项目负责人职称：具备人力资源相关专业中级及以上职称得2分；无对应职称不得分。须提供职称证书复印件加盖公章。 ③拟派团队人员持有企业人力资源管理师二级或以上证书，每具备1人得1分，最高2分。须提供职业技能证书复印件加盖公章。 ④项目负责人在岗承诺：供应商应提供项目负责人全服务周期在岗承诺书，承诺服务期内不擅自更换、全程驻场履职，提供承诺书并加盖公章得3分；未提供承诺书或承诺不全不得分。 ⑤拟派团队人员取得行政办事员（政务服务综合窗口办事员）职业技能等级证书，每具备1人得1分，最高5分。须提供对应人员有效证书复印件加盖公章。 以上人员须提供身份证、劳动合同复印件或社保缴纳证明，同一人不重复计分。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项目负责人及拟派团队情况</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信息化支撑能力</w:t>
            </w:r>
          </w:p>
        </w:tc>
        <w:tc>
          <w:tcPr>
            <w:tcW w:type="dxa" w:w="2492"/>
          </w:tcPr>
          <w:p>
            <w:pPr>
              <w:pStyle w:val="null3"/>
            </w:pPr>
            <w:r>
              <w:rPr>
                <w:rFonts w:ascii="仿宋_GB2312" w:hAnsi="仿宋_GB2312" w:cs="仿宋_GB2312" w:eastAsia="仿宋_GB2312"/>
              </w:rPr>
              <w:t>供应商针对本项目需求提供的信息化系统功能介绍材料，按以下标准计分：提供4个及以上系统的完整演示材料，得8分；提供3个系统的完整演示材料，得6分；提供2个系统的完整演示材料，得4分；提供1个系统的完整演示材料，得2分；未提供或所提供材料不满足"完整演示材料"要求的，得0分。说明：①"完整演示材料" 指同一系统同时具备以下三项内容（a）系统功能界面截图；（b）文字版操作流程说明；（c）与招标文件信息化支撑要求功能对应的说明；缺任一项该系统的材料不计分。②演示材料须在投标文件中提供并加盖公章。③可围绕智能导办、预约取叫号、数据可视化、人员培训系统等本项目需求方向提供。</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采用基准价法计算：通过资格审查且符合性审查合格、投标报价最低的有效供应商为评标基准价，其价格分为满分10分。其他供应商价格分＝（评标基准价／投标报价）×10分。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详见附件：技术、服务及其他商务要求应答表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详见附件：项目负责人及拟派团队情况</w:t>
      </w:r>
    </w:p>
    <w:p>
      <w:pPr>
        <w:pStyle w:val="null3"/>
        <w:ind w:firstLine="960"/>
      </w:pPr>
      <w:r>
        <w:rPr>
          <w:rFonts w:ascii="仿宋_GB2312" w:hAnsi="仿宋_GB2312" w:cs="仿宋_GB2312" w:eastAsia="仿宋_GB2312"/>
        </w:rPr>
        <w:t>详见附件：项目业绩与服务评价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