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版本号：XMZB-202600920260528001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2025年度大中型水库移民后期扶持政策实施情况省级监测评估项目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XMZB-2026009</w:t>
      </w:r>
      <w:r>
        <w:br/>
      </w:r>
      <w:r>
        <w:br/>
      </w:r>
      <w:r>
        <w:br/>
      </w:r>
    </w:p>
    <w:p>
      <w:pPr>
        <w:pStyle w:val="null3"/>
        <w:jc w:val="center"/>
        <w:outlineLvl w:val="2"/>
      </w:pPr>
      <w:r>
        <w:rPr>
          <w:rFonts w:ascii="仿宋_GB2312" w:hAnsi="仿宋_GB2312" w:cs="仿宋_GB2312" w:eastAsia="仿宋_GB2312"/>
          <w:sz w:val="28"/>
          <w:b/>
        </w:rPr>
        <w:t>陕西省水土保持和移民工作中心</w:t>
      </w:r>
    </w:p>
    <w:p>
      <w:pPr>
        <w:pStyle w:val="null3"/>
        <w:jc w:val="center"/>
        <w:outlineLvl w:val="2"/>
      </w:pPr>
      <w:r>
        <w:rPr>
          <w:rFonts w:ascii="仿宋_GB2312" w:hAnsi="仿宋_GB2312" w:cs="仿宋_GB2312" w:eastAsia="仿宋_GB2312"/>
          <w:sz w:val="28"/>
          <w:b/>
        </w:rPr>
        <w:t>陕西雄迈工程项目管理有限公司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陕西雄迈工程项目管理有限公司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陕西省水土保持和移民工作中心</w:t>
      </w:r>
      <w:r>
        <w:rPr>
          <w:rFonts w:ascii="仿宋_GB2312" w:hAnsi="仿宋_GB2312" w:cs="仿宋_GB2312" w:eastAsia="仿宋_GB2312"/>
        </w:rPr>
        <w:t>委托，拟对</w:t>
      </w:r>
      <w:r>
        <w:rPr>
          <w:rFonts w:ascii="仿宋_GB2312" w:hAnsi="仿宋_GB2312" w:cs="仿宋_GB2312" w:eastAsia="仿宋_GB2312"/>
        </w:rPr>
        <w:t>2025年度大中型水库移民后期扶持政策实施情况省级监测评估项目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XMZB-2026009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2025年度大中型水库移民后期扶持政策实施情况省级监测评估项目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16个县（区）开展监测评估。其中，西安市临潼区等11个县为长期跟踪县，5个县为轮换县；主要功能或目标:开展监测评估工作，对大中型水库移民后期扶持政策实施情况进行跟踪监测，及时掌握情况，评估实施效果，保障资金使用安全和后期扶持政策顺利实施，对维护移民群众合法权益，促进库区和移民安置区经济发展和社会稳定具有十分重要的意义。需满足的要求:以《关于开展大中型水库移民后期扶持政策实施情况监测评估工作的通知》（发改农经〔2011〕1033号）规定的内容为基础，结合监测评估导则要求，围绕我省十四五规划和中长期目标要求，将水库移民产业升级和增收致富、移民创业就业培训、美丽家园建设等作为本次监测评估的重要内容，加大对移民收入水平和生产生活条件的变化情况的分析深度，重点关注机构改革后市、县在后期扶持项目的立项、审批、投资方向是否符合要求，及时发现后期扶持政策实施中存在的困难和问题，并研究提出解决问题的意见和建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供应商在项目电子化交易系统中按要求上传提供统一社会信用代码的营业执照、事业单位须提供事业单位法人证、组织机构代码证等证明文件、其他组织应提供合法证明文件、自然人参与的提供其身份证并进行电子签章；</w:t>
      </w:r>
    </w:p>
    <w:p>
      <w:pPr>
        <w:pStyle w:val="null3"/>
      </w:pPr>
      <w:r>
        <w:rPr>
          <w:rFonts w:ascii="仿宋_GB2312" w:hAnsi="仿宋_GB2312" w:cs="仿宋_GB2312" w:eastAsia="仿宋_GB2312"/>
        </w:rPr>
        <w:t>2、财务状况报告：提供2024年度或2025年度的经会计师事务所审计的财务报告复印件，或其开标前三个月内基本存款账户开户银行出具的资信证明及基本存款账户开户信息，其他组织和自然人提供银行出具的资信证明或财务报表：供应商需在项目电子化交易系统中按要求上传相应证明文件并进行电子签章；</w:t>
      </w:r>
    </w:p>
    <w:p>
      <w:pPr>
        <w:pStyle w:val="null3"/>
      </w:pPr>
      <w:r>
        <w:rPr>
          <w:rFonts w:ascii="仿宋_GB2312" w:hAnsi="仿宋_GB2312" w:cs="仿宋_GB2312" w:eastAsia="仿宋_GB2312"/>
        </w:rPr>
        <w:t>3、社保缴纳证明：提供响应文件递交截止时间前六个月内任意一月已缴存的社会保障资金缴费证明或参保证明，依法不需要缴纳社会保障资金的供应商应提供相关证明文件：供应商需在项目电子化交易系统中按要求上传提供响应文件递交截止时间前六个月内任意一月已缴存的社会保障资金缴费证明或参保证明，依法不需要缴纳社会保障资金的供应商应提供相关证明文件。相应证明文件需进行电子签章；</w:t>
      </w:r>
    </w:p>
    <w:p>
      <w:pPr>
        <w:pStyle w:val="null3"/>
      </w:pPr>
      <w:r>
        <w:rPr>
          <w:rFonts w:ascii="仿宋_GB2312" w:hAnsi="仿宋_GB2312" w:cs="仿宋_GB2312" w:eastAsia="仿宋_GB2312"/>
        </w:rPr>
        <w:t>4、税收缴纳证明：提供响应文件递交截止时间前六个月内任意一月已缴纳的纳税证明或完税证明，依法免税的供应商应提供相关证明文件：供应商在项目电子化交易系统中按要求上传提供响应文件递交截止时间前六个月内任意一月已缴纳的纳税证明或完税证明，依法免税的供应商应提供相关证明文件。相应证明文件需进行电子签章；</w:t>
      </w:r>
    </w:p>
    <w:p>
      <w:pPr>
        <w:pStyle w:val="null3"/>
      </w:pPr>
      <w:r>
        <w:rPr>
          <w:rFonts w:ascii="仿宋_GB2312" w:hAnsi="仿宋_GB2312" w:cs="仿宋_GB2312" w:eastAsia="仿宋_GB2312"/>
        </w:rPr>
        <w:t>5、具有履行本合同所必需的设备和专业技术能力：具有履行合同所必需的设备和专业技术能力，提供承诺书：供应商在项目电子化交易系统中按要求上传提供承诺书并进行电子签章；</w:t>
      </w:r>
    </w:p>
    <w:p>
      <w:pPr>
        <w:pStyle w:val="null3"/>
      </w:pPr>
      <w:r>
        <w:rPr>
          <w:rFonts w:ascii="仿宋_GB2312" w:hAnsi="仿宋_GB2312" w:cs="仿宋_GB2312" w:eastAsia="仿宋_GB2312"/>
        </w:rPr>
        <w:t>6、参加政府采购活动前三年内，在经营活动中没有重大违法记录：参加政府采购活动前3年内，在经营活动中没有重大违法记录的书面声明：供应商需在项目电子化交易系统中按要求上传书面声明并进行电子签章；</w:t>
      </w:r>
    </w:p>
    <w:p>
      <w:pPr>
        <w:pStyle w:val="null3"/>
      </w:pPr>
      <w:r>
        <w:rPr>
          <w:rFonts w:ascii="仿宋_GB2312" w:hAnsi="仿宋_GB2312" w:cs="仿宋_GB2312" w:eastAsia="仿宋_GB2312"/>
        </w:rPr>
        <w:t>7、信用查询：供应商不得为“信用中国”网站（www.creditchina.gov.cn）中列入重大税收违法失信主体名单的供应商、不得为“中国执行信息公开网”网站（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授权委托人身份证明：供应商应授权合法的人员参加磋商，法定代表人（或单位负责人）直接参加的，须出具法定代表人（或单位负责人）身份证明及身份证，并与营业执照上信息一致；授权代表参加的，须出具法定代表人（或单位负责人）授权委托书及被授权人身份证：供应商在项目电子化交易系统中按要求上传提供法定代表人（或单位负责人）身份证明及身份证或法定代表人（或单位负责人）授权委托书及被授权人身份证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供应商在项目电子化交易系统中按要求上传提供统一社会信用代码的营业执照、事业单位须提供事业单位法人证、组织机构代码证等证明文件、其他组织应提供合法证明文件、自然人参与的提供其身份证并进行电子签章；</w:t>
      </w:r>
    </w:p>
    <w:p>
      <w:pPr>
        <w:pStyle w:val="null3"/>
      </w:pPr>
      <w:r>
        <w:rPr>
          <w:rFonts w:ascii="仿宋_GB2312" w:hAnsi="仿宋_GB2312" w:cs="仿宋_GB2312" w:eastAsia="仿宋_GB2312"/>
        </w:rPr>
        <w:t>2、财务状况报告：提供2024年度或2025年度的经会计师事务所审计的财务报告复印件，或其开标前三个月内基本存款账户开户银行出具的资信证明及基本存款账户开户信息，其他组织和自然人提供银行出具的资信证明或财务报表：供应商需在项目电子化交易系统中按要求上传相应证明文件并进行电子签章；</w:t>
      </w:r>
    </w:p>
    <w:p>
      <w:pPr>
        <w:pStyle w:val="null3"/>
      </w:pPr>
      <w:r>
        <w:rPr>
          <w:rFonts w:ascii="仿宋_GB2312" w:hAnsi="仿宋_GB2312" w:cs="仿宋_GB2312" w:eastAsia="仿宋_GB2312"/>
        </w:rPr>
        <w:t>3、社保缴纳证明：提供响应文件递交截止时间前六个月内任意一月已缴存的社会保障资金缴费证明或参保证明，依法不需要缴纳社会保障资金的供应商应提供相关证明文件：供应商需在项目电子化交易系统中按要求上传提供响应文件递交截止时间前六个月内任意一月已缴存的社会保障资金缴费证明或参保证明，依法不需要缴纳社会保障资金的供应商应提供相关证明文件。相应证明文件需进行电子签章；</w:t>
      </w:r>
    </w:p>
    <w:p>
      <w:pPr>
        <w:pStyle w:val="null3"/>
      </w:pPr>
      <w:r>
        <w:rPr>
          <w:rFonts w:ascii="仿宋_GB2312" w:hAnsi="仿宋_GB2312" w:cs="仿宋_GB2312" w:eastAsia="仿宋_GB2312"/>
        </w:rPr>
        <w:t>4、税收缴纳证明：提供响应文件递交截止时间前六个月内任意一月已缴纳的纳税证明或完税证明，依法免税的供应商应提供相关证明文件：供应商在项目电子化交易系统中按要求上传提供响应文件递交截止时间前六个月内任意一月已缴纳的纳税证明或完税证明，依法免税的供应商应提供相关证明文件。相应证明文件需进行电子签章；</w:t>
      </w:r>
    </w:p>
    <w:p>
      <w:pPr>
        <w:pStyle w:val="null3"/>
      </w:pPr>
      <w:r>
        <w:rPr>
          <w:rFonts w:ascii="仿宋_GB2312" w:hAnsi="仿宋_GB2312" w:cs="仿宋_GB2312" w:eastAsia="仿宋_GB2312"/>
        </w:rPr>
        <w:t>5、具有履行本合同所必需的设备和专业技术能力：具有履行合同所必需的设备和专业技术能力，提供承诺书：供应商在项目电子化交易系统中按要求上传提供承诺书并进行电子签章；</w:t>
      </w:r>
    </w:p>
    <w:p>
      <w:pPr>
        <w:pStyle w:val="null3"/>
      </w:pPr>
      <w:r>
        <w:rPr>
          <w:rFonts w:ascii="仿宋_GB2312" w:hAnsi="仿宋_GB2312" w:cs="仿宋_GB2312" w:eastAsia="仿宋_GB2312"/>
        </w:rPr>
        <w:t>6、参加政府采购活动前三年内，在经营活动中没有重大违法记录：参加政府采购活动前3年内，在经营活动中没有重大违法记录的书面声明：供应商需在项目电子化交易系统中按要求上传书面声明并进行电子签章；</w:t>
      </w:r>
    </w:p>
    <w:p>
      <w:pPr>
        <w:pStyle w:val="null3"/>
      </w:pPr>
      <w:r>
        <w:rPr>
          <w:rFonts w:ascii="仿宋_GB2312" w:hAnsi="仿宋_GB2312" w:cs="仿宋_GB2312" w:eastAsia="仿宋_GB2312"/>
        </w:rPr>
        <w:t>7、信用查询：供应商不得为“信用中国”网站（www.creditchina.gov.cn）中列入重大税收违法失信主体名单的供应商、不得为“中国执行信息公开网”网站（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授权委托人身份证明：供应商应授权合法的人员参加磋商，法定代表人（或单位负责人）直接参加的，须出具法定代表人（或单位负责人）身份证明及身份证，并与营业执照上信息一致；授权代表参加的，须出具法定代表人（或单位负责人）授权委托书及被授权人身份证：供应商在项目电子化交易系统中按要求上传提供法定代表人（或单位负责人）身份证明及身份证或法定代表人（或单位负责人）授权委托书及被授权人身份证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陕西省水土保持和移民工作中心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西一路73#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赵亚红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87385592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陕西雄迈工程项目管理有限公司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电子三路西京国际电气中心A座906室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029-68969891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采购包1：1,442,700.00元</w:t>
            </w:r>
          </w:p>
          <w:p>
            <w:pPr>
              <w:pStyle w:val="null3"/>
            </w:pPr>
            <w:r>
              <w:rPr>
                <w:rFonts w:ascii="仿宋_GB2312" w:hAnsi="仿宋_GB2312" w:cs="仿宋_GB2312" w:eastAsia="仿宋_GB2312"/>
              </w:rPr>
              <w:t>采购包2：1,450,000.00元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代理服务费收费标准：采购代理服务费参照原国家计委《招标代理服务收费管理暂行办法》 (计价格[2002]1980号）文件计取。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陕西省水土保持和移民工作中心</w:t>
      </w:r>
      <w:r>
        <w:rPr>
          <w:rFonts w:ascii="仿宋_GB2312" w:hAnsi="仿宋_GB2312" w:cs="仿宋_GB2312" w:eastAsia="仿宋_GB2312"/>
        </w:rPr>
        <w:t>和</w:t>
      </w:r>
      <w:r>
        <w:rPr>
          <w:rFonts w:ascii="仿宋_GB2312" w:hAnsi="仿宋_GB2312" w:cs="仿宋_GB2312" w:eastAsia="仿宋_GB2312"/>
        </w:rPr>
        <w:t>陕西雄迈工程项目管理有限公司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陕西省水土保持和移民工作中心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陕西雄迈工程项目管理有限公司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陕西省水土保持和移民工作中心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陕西雄迈工程项目管理有限公司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满足2025年度大中型水库移民后期扶持政策实施情况省级监测评估项目及国家移民后扶有关政策的要求。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满足2025年度大中型水库移民后期扶持政策实施情况省级监测评估项目及国家移民后扶有关政策的要求。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联系人：王伟</w:t>
      </w:r>
    </w:p>
    <w:p>
      <w:pPr>
        <w:pStyle w:val="null3"/>
      </w:pPr>
      <w:r>
        <w:rPr>
          <w:rFonts w:ascii="仿宋_GB2312" w:hAnsi="仿宋_GB2312" w:cs="仿宋_GB2312" w:eastAsia="仿宋_GB2312"/>
        </w:rPr>
        <w:t>联系电话：029-68969891</w:t>
      </w:r>
    </w:p>
    <w:p>
      <w:pPr>
        <w:pStyle w:val="null3"/>
      </w:pPr>
      <w:r>
        <w:rPr>
          <w:rFonts w:ascii="仿宋_GB2312" w:hAnsi="仿宋_GB2312" w:cs="仿宋_GB2312" w:eastAsia="仿宋_GB2312"/>
        </w:rPr>
        <w:t>地址：电子三路西京国际电气中心A座906室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16个县（区）开展监测评估。其中，西安市临潼区等11个县为长期跟踪县，5个县为轮换县；主要功能或目标:开展监测评估工作，对大中型水库移民后期扶持政策实施情况进行跟踪监测，及时掌握情况，评估实施效果，保障资金使用安全和后期扶持政策顺利实施，对维护移民群众合法权益，促进库区和移民安置区经济发展和社会稳定具有十分重要的意义。需满足的要求:以《关于开展大中型水库移民后期扶持政策实施情况监测评估工作的通知》（发改农经〔2011〕1033号）规定的内容为基础，结合监测评估导则要求，围绕我省十四五规划和中长期目标要求，将水库移民产业升级和增收致富、移民创业就业培训、美丽家园建设等作为本次监测评估的重要内容，加大对移民收入水平和生产生活条件的变化情况的分析深度，重点关注机构改革后市、县在后期扶持项目的立项、审批、投资方向是否符合要求，及时发现后期扶持政策实施中存在的困难和问题，并研究提出解决问题的意见和建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1,442,700.00</w:t>
      </w:r>
    </w:p>
    <w:p>
      <w:pPr>
        <w:pStyle w:val="null3"/>
      </w:pPr>
      <w:r>
        <w:rPr>
          <w:rFonts w:ascii="仿宋_GB2312" w:hAnsi="仿宋_GB2312" w:cs="仿宋_GB2312" w:eastAsia="仿宋_GB2312"/>
        </w:rPr>
        <w:t>采购包最高限价（元）: 1,442,700.00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1,442,700.00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1"/>
                <w:b/>
              </w:rPr>
              <w:t>、采购项目概况</w:t>
            </w:r>
          </w:p>
          <w:p>
            <w:pPr>
              <w:pStyle w:val="null3"/>
              <w:ind w:firstLine="480"/>
            </w:pPr>
            <w:r>
              <w:rPr>
                <w:rFonts w:ascii="仿宋_GB2312" w:hAnsi="仿宋_GB2312" w:cs="仿宋_GB2312" w:eastAsia="仿宋_GB2312"/>
                <w:sz w:val="21"/>
              </w:rPr>
              <w:t>对</w:t>
            </w:r>
            <w:r>
              <w:rPr>
                <w:rFonts w:ascii="仿宋_GB2312" w:hAnsi="仿宋_GB2312" w:cs="仿宋_GB2312" w:eastAsia="仿宋_GB2312"/>
                <w:sz w:val="21"/>
              </w:rPr>
              <w:t>16</w:t>
            </w:r>
            <w:r>
              <w:rPr>
                <w:rFonts w:ascii="仿宋_GB2312" w:hAnsi="仿宋_GB2312" w:cs="仿宋_GB2312" w:eastAsia="仿宋_GB2312"/>
                <w:sz w:val="21"/>
              </w:rPr>
              <w:t>个县（区）开展监测评估。其中，西安市临潼区等</w:t>
            </w:r>
            <w:r>
              <w:rPr>
                <w:rFonts w:ascii="仿宋_GB2312" w:hAnsi="仿宋_GB2312" w:cs="仿宋_GB2312" w:eastAsia="仿宋_GB2312"/>
                <w:sz w:val="21"/>
              </w:rPr>
              <w:t>11</w:t>
            </w:r>
            <w:r>
              <w:rPr>
                <w:rFonts w:ascii="仿宋_GB2312" w:hAnsi="仿宋_GB2312" w:cs="仿宋_GB2312" w:eastAsia="仿宋_GB2312"/>
                <w:sz w:val="21"/>
              </w:rPr>
              <w:t>个县为长期跟踪县，</w:t>
            </w:r>
            <w:r>
              <w:rPr>
                <w:rFonts w:ascii="仿宋_GB2312" w:hAnsi="仿宋_GB2312" w:cs="仿宋_GB2312" w:eastAsia="仿宋_GB2312"/>
                <w:sz w:val="21"/>
              </w:rPr>
              <w:t>5</w:t>
            </w:r>
            <w:r>
              <w:rPr>
                <w:rFonts w:ascii="仿宋_GB2312" w:hAnsi="仿宋_GB2312" w:cs="仿宋_GB2312" w:eastAsia="仿宋_GB2312"/>
                <w:sz w:val="21"/>
              </w:rPr>
              <w:t>个县为轮换县；主要功能或目标</w:t>
            </w:r>
            <w:r>
              <w:rPr>
                <w:rFonts w:ascii="仿宋_GB2312" w:hAnsi="仿宋_GB2312" w:cs="仿宋_GB2312" w:eastAsia="仿宋_GB2312"/>
                <w:sz w:val="21"/>
              </w:rPr>
              <w:t>:</w:t>
            </w:r>
            <w:r>
              <w:rPr>
                <w:rFonts w:ascii="仿宋_GB2312" w:hAnsi="仿宋_GB2312" w:cs="仿宋_GB2312" w:eastAsia="仿宋_GB2312"/>
                <w:sz w:val="21"/>
              </w:rPr>
              <w:t>开展监测评估工作，对大中型水库移民后期扶持政策实施情况进行跟踪监测，及时掌握情况，评估实施效果，保障资金使用安全和后期扶持政策顺利实施，对维护移民群众合法权益，促进库区和移民安置区经济发展和社会稳定具有十分重要的意义。需满足的要求</w:t>
            </w:r>
            <w:r>
              <w:rPr>
                <w:rFonts w:ascii="仿宋_GB2312" w:hAnsi="仿宋_GB2312" w:cs="仿宋_GB2312" w:eastAsia="仿宋_GB2312"/>
                <w:sz w:val="21"/>
              </w:rPr>
              <w:t>:</w:t>
            </w:r>
            <w:r>
              <w:rPr>
                <w:rFonts w:ascii="仿宋_GB2312" w:hAnsi="仿宋_GB2312" w:cs="仿宋_GB2312" w:eastAsia="仿宋_GB2312"/>
                <w:sz w:val="21"/>
              </w:rPr>
              <w:t>以《关于开展大中型水库移民后期扶持政策实施情况监测评估工作的通知》（发改农经〔</w:t>
            </w:r>
            <w:r>
              <w:rPr>
                <w:rFonts w:ascii="仿宋_GB2312" w:hAnsi="仿宋_GB2312" w:cs="仿宋_GB2312" w:eastAsia="仿宋_GB2312"/>
                <w:sz w:val="21"/>
              </w:rPr>
              <w:t>2011</w:t>
            </w:r>
            <w:r>
              <w:rPr>
                <w:rFonts w:ascii="仿宋_GB2312" w:hAnsi="仿宋_GB2312" w:cs="仿宋_GB2312" w:eastAsia="仿宋_GB2312"/>
                <w:sz w:val="21"/>
              </w:rPr>
              <w:t>〕</w:t>
            </w:r>
            <w:r>
              <w:rPr>
                <w:rFonts w:ascii="仿宋_GB2312" w:hAnsi="仿宋_GB2312" w:cs="仿宋_GB2312" w:eastAsia="仿宋_GB2312"/>
                <w:sz w:val="21"/>
              </w:rPr>
              <w:t>1033</w:t>
            </w:r>
            <w:r>
              <w:rPr>
                <w:rFonts w:ascii="仿宋_GB2312" w:hAnsi="仿宋_GB2312" w:cs="仿宋_GB2312" w:eastAsia="仿宋_GB2312"/>
                <w:sz w:val="21"/>
              </w:rPr>
              <w:t>号）规定的内容为基础，结合监测评估导则要求，围绕我省十四五规划和中长期目标要求，将水库移民产业升级和增收致富、移民创业就业培训、美丽家园建设等作为本次监测评估的重要内容，加大对移民收入水平和生产生活条件的变化情况的分析深度，重点关注机构改革后市、县在后期扶持项目的立项、审批、投资方向是否符合要求，及时发现后期扶持政策实施中存在的困难和问题，并研究提出解决问题的意见和建议</w:t>
            </w:r>
            <w:r>
              <w:rPr>
                <w:rFonts w:ascii="仿宋_GB2312" w:hAnsi="仿宋_GB2312" w:cs="仿宋_GB2312" w:eastAsia="仿宋_GB2312"/>
                <w:sz w:val="21"/>
              </w:rPr>
              <w:t>。</w:t>
            </w:r>
          </w:p>
          <w:p>
            <w:pPr>
              <w:pStyle w:val="null3"/>
            </w:pPr>
            <w:r>
              <w:rPr>
                <w:rFonts w:ascii="仿宋_GB2312" w:hAnsi="仿宋_GB2312" w:cs="仿宋_GB2312" w:eastAsia="仿宋_GB2312"/>
                <w:sz w:val="21"/>
                <w:b/>
              </w:rPr>
              <w:t>二、服务内容及服务要求</w:t>
            </w:r>
          </w:p>
          <w:p>
            <w:pPr>
              <w:pStyle w:val="null3"/>
              <w:ind w:firstLine="480"/>
              <w:jc w:val="left"/>
            </w:pPr>
            <w:r>
              <w:rPr>
                <w:rFonts w:ascii="仿宋_GB2312" w:hAnsi="仿宋_GB2312" w:cs="仿宋_GB2312" w:eastAsia="仿宋_GB2312"/>
                <w:sz w:val="21"/>
                <w:b/>
              </w:rPr>
              <w:t>蒲城县、韩城市、西乡县、汉滨区、白河县、千阳县、耀州区等</w:t>
            </w:r>
            <w:r>
              <w:rPr>
                <w:rFonts w:ascii="仿宋_GB2312" w:hAnsi="仿宋_GB2312" w:cs="仿宋_GB2312" w:eastAsia="仿宋_GB2312"/>
                <w:sz w:val="21"/>
                <w:b/>
              </w:rPr>
              <w:t>7县区分报告及</w:t>
            </w:r>
            <w:r>
              <w:rPr>
                <w:rFonts w:ascii="仿宋_GB2312" w:hAnsi="仿宋_GB2312" w:cs="仿宋_GB2312" w:eastAsia="仿宋_GB2312"/>
                <w:sz w:val="21"/>
                <w:b/>
              </w:rPr>
              <w:t>全省监测评估总报告。</w:t>
            </w:r>
          </w:p>
          <w:p>
            <w:pPr>
              <w:pStyle w:val="null3"/>
            </w:pPr>
            <w:r>
              <w:rPr>
                <w:rFonts w:ascii="仿宋_GB2312" w:hAnsi="仿宋_GB2312" w:cs="仿宋_GB2312" w:eastAsia="仿宋_GB2312"/>
                <w:sz w:val="21"/>
                <w:b/>
              </w:rPr>
              <w:t>三、编制依据</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1）相关行业标准及技术规范等；</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2）各市、县（市、区）后期扶持政策实施及相关政策文件；</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3）各市、县（市、区）年度项目计划下达文件，财务会计资料及年度决算报告；</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4）各县（市、区）年度项目档案建设管理有关资料和数据等；</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5）监督检查时间范围内已形成的验收、审计、决算、监测评估、统计、工作总结等报告；</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6）经批准的各级水库移民后期扶持“十四五”规划及其他专项规划等；</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7）202</w:t>
            </w:r>
            <w:r>
              <w:rPr>
                <w:rFonts w:ascii="仿宋_GB2312" w:hAnsi="仿宋_GB2312" w:cs="仿宋_GB2312" w:eastAsia="仿宋_GB2312"/>
                <w:sz w:val="21"/>
              </w:rPr>
              <w:t>5</w:t>
            </w:r>
            <w:r>
              <w:rPr>
                <w:rFonts w:ascii="仿宋_GB2312" w:hAnsi="仿宋_GB2312" w:cs="仿宋_GB2312" w:eastAsia="仿宋_GB2312"/>
                <w:sz w:val="21"/>
              </w:rPr>
              <w:t>年度实施的所有年度计划、资金预算和统计报表等；</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8）上年度监测评估报告；</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9）涉及县（区、市）项目、资金管理办法等；</w:t>
            </w:r>
          </w:p>
          <w:p>
            <w:pPr>
              <w:pStyle w:val="null3"/>
              <w:ind w:firstLine="240"/>
            </w:pPr>
            <w:r>
              <w:rPr>
                <w:rFonts w:ascii="仿宋_GB2312" w:hAnsi="仿宋_GB2312" w:cs="仿宋_GB2312" w:eastAsia="仿宋_GB2312"/>
                <w:sz w:val="21"/>
              </w:rPr>
              <w:t>（</w:t>
            </w:r>
            <w:r>
              <w:rPr>
                <w:rFonts w:ascii="仿宋_GB2312" w:hAnsi="仿宋_GB2312" w:cs="仿宋_GB2312" w:eastAsia="仿宋_GB2312"/>
                <w:sz w:val="21"/>
              </w:rPr>
              <w:t>10）水利部、省、市近年开展的监督检查、审计、专项督导等检查工作报告以及整改落实报告等。</w:t>
            </w:r>
          </w:p>
          <w:p>
            <w:pPr>
              <w:pStyle w:val="null3"/>
            </w:pPr>
            <w:r>
              <w:rPr>
                <w:rFonts w:ascii="仿宋_GB2312" w:hAnsi="仿宋_GB2312" w:cs="仿宋_GB2312" w:eastAsia="仿宋_GB2312"/>
                <w:sz w:val="21"/>
                <w:b/>
              </w:rPr>
              <w:t>四、技术要求</w:t>
            </w:r>
          </w:p>
          <w:p>
            <w:pPr>
              <w:pStyle w:val="null3"/>
              <w:ind w:firstLine="480"/>
              <w:jc w:val="left"/>
            </w:pPr>
            <w:r>
              <w:rPr>
                <w:rFonts w:ascii="仿宋_GB2312" w:hAnsi="仿宋_GB2312" w:cs="仿宋_GB2312" w:eastAsia="仿宋_GB2312"/>
                <w:sz w:val="21"/>
              </w:rPr>
              <w:t>监测评估以《关于开展大中型水库移民后期扶持政策实施情况监测评估工作的通知》（发改农经〔</w:t>
            </w:r>
            <w:r>
              <w:rPr>
                <w:rFonts w:ascii="仿宋_GB2312" w:hAnsi="仿宋_GB2312" w:cs="仿宋_GB2312" w:eastAsia="仿宋_GB2312"/>
                <w:sz w:val="21"/>
              </w:rPr>
              <w:t>2011〕1033号）规定的内容为基础，结合监测评估导则要求，围绕我省十四五规划和中长期目标要求，将水库移民产业升级和增收致富、移民创业就业培训、美丽家园建设等作为本次监测评估的重要内容，加大对移民收入水平和生产生活条件的变化情况的分析深度，重点关注机构改革后市、县在后期扶持项目的立项、审批、投资方向是否符合要求，及时发现后期扶持政策实施中存在的困难和问题，并研究提出解决问题的意见和建议。</w:t>
            </w:r>
          </w:p>
          <w:p>
            <w:pPr>
              <w:pStyle w:val="null3"/>
              <w:ind w:firstLine="480"/>
              <w:jc w:val="left"/>
            </w:pPr>
            <w:r>
              <w:rPr>
                <w:rFonts w:ascii="仿宋_GB2312" w:hAnsi="仿宋_GB2312" w:cs="仿宋_GB2312" w:eastAsia="仿宋_GB2312"/>
                <w:sz w:val="21"/>
              </w:rPr>
              <w:t>后期扶持监测评估内容主要包括：后期扶持政策实施情况，后期扶持资金使用管理情况及后期扶持政策实施效果等方面。</w:t>
            </w:r>
          </w:p>
          <w:p>
            <w:pPr>
              <w:pStyle w:val="null3"/>
            </w:pPr>
            <w:r>
              <w:rPr>
                <w:rFonts w:ascii="仿宋_GB2312" w:hAnsi="仿宋_GB2312" w:cs="仿宋_GB2312" w:eastAsia="仿宋_GB2312"/>
                <w:sz w:val="21"/>
                <w:b/>
              </w:rPr>
              <w:t>五、实施目标</w:t>
            </w:r>
          </w:p>
          <w:p>
            <w:pPr>
              <w:pStyle w:val="null3"/>
              <w:ind w:firstLine="480"/>
              <w:jc w:val="left"/>
            </w:pPr>
            <w:r>
              <w:rPr>
                <w:rFonts w:ascii="仿宋_GB2312" w:hAnsi="仿宋_GB2312" w:cs="仿宋_GB2312" w:eastAsia="仿宋_GB2312"/>
                <w:sz w:val="21"/>
              </w:rPr>
              <w:t>我们在历年开展全省大中型水库移民后期扶持政策实施情况监测评估，继续开展全省</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年监测评估工作。</w:t>
            </w:r>
          </w:p>
          <w:p>
            <w:pPr>
              <w:pStyle w:val="null3"/>
            </w:pPr>
            <w:r>
              <w:rPr>
                <w:rFonts w:ascii="仿宋_GB2312" w:hAnsi="仿宋_GB2312" w:cs="仿宋_GB2312" w:eastAsia="仿宋_GB2312"/>
                <w:sz w:val="21"/>
                <w:b/>
              </w:rPr>
              <w:t>六、编制主要成果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年度大中型水库移民后期扶持政策实施情况</w:t>
            </w:r>
            <w:r>
              <w:rPr>
                <w:rFonts w:ascii="仿宋_GB2312" w:hAnsi="仿宋_GB2312" w:cs="仿宋_GB2312" w:eastAsia="仿宋_GB2312"/>
                <w:sz w:val="21"/>
              </w:rPr>
              <w:t>蒲城等</w:t>
            </w:r>
            <w:r>
              <w:rPr>
                <w:rFonts w:ascii="仿宋_GB2312" w:hAnsi="仿宋_GB2312" w:cs="仿宋_GB2312" w:eastAsia="仿宋_GB2312"/>
                <w:sz w:val="21"/>
              </w:rPr>
              <w:t>7</w:t>
            </w:r>
            <w:r>
              <w:rPr>
                <w:rFonts w:ascii="仿宋_GB2312" w:hAnsi="仿宋_GB2312" w:cs="仿宋_GB2312" w:eastAsia="仿宋_GB2312"/>
                <w:sz w:val="21"/>
              </w:rPr>
              <w:t>县</w:t>
            </w:r>
            <w:r>
              <w:rPr>
                <w:rFonts w:ascii="仿宋_GB2312" w:hAnsi="仿宋_GB2312" w:cs="仿宋_GB2312" w:eastAsia="仿宋_GB2312"/>
                <w:sz w:val="21"/>
              </w:rPr>
              <w:t>县</w:t>
            </w:r>
            <w:r>
              <w:rPr>
                <w:rFonts w:ascii="仿宋_GB2312" w:hAnsi="仿宋_GB2312" w:cs="仿宋_GB2312" w:eastAsia="仿宋_GB2312"/>
                <w:sz w:val="21"/>
              </w:rPr>
              <w:t>（区）</w:t>
            </w:r>
            <w:r>
              <w:rPr>
                <w:rFonts w:ascii="仿宋_GB2312" w:hAnsi="仿宋_GB2312" w:cs="仿宋_GB2312" w:eastAsia="仿宋_GB2312"/>
                <w:sz w:val="21"/>
              </w:rPr>
              <w:t>监测评估报告》；</w:t>
            </w:r>
          </w:p>
          <w:p>
            <w:pPr>
              <w:pStyle w:val="null3"/>
              <w:jc w:val="both"/>
            </w:pPr>
            <w:r>
              <w:rPr>
                <w:rFonts w:ascii="仿宋_GB2312" w:hAnsi="仿宋_GB2312" w:cs="仿宋_GB2312" w:eastAsia="仿宋_GB2312"/>
                <w:sz w:val="21"/>
              </w:rPr>
              <w:t>《陕西省</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年度大中型水库移民后期扶持政策实施情况监测评估报告》</w:t>
            </w:r>
          </w:p>
          <w:p>
            <w:pPr>
              <w:pStyle w:val="null3"/>
            </w:pPr>
            <w:r>
              <w:rPr>
                <w:rFonts w:ascii="仿宋_GB2312" w:hAnsi="仿宋_GB2312" w:cs="仿宋_GB2312" w:eastAsia="仿宋_GB2312"/>
                <w:sz w:val="21"/>
                <w:b/>
              </w:rPr>
              <w:t>七、其他要求</w:t>
            </w:r>
          </w:p>
          <w:p>
            <w:pPr>
              <w:pStyle w:val="null3"/>
            </w:pPr>
            <w:r>
              <w:rPr>
                <w:rFonts w:ascii="仿宋_GB2312" w:hAnsi="仿宋_GB2312" w:cs="仿宋_GB2312" w:eastAsia="仿宋_GB2312"/>
                <w:sz w:val="21"/>
              </w:rPr>
              <w:t>无</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1"/>
                <w:b/>
              </w:rPr>
              <w:t>、采购项目概况</w:t>
            </w:r>
          </w:p>
          <w:p>
            <w:pPr>
              <w:pStyle w:val="null3"/>
              <w:ind w:firstLine="480"/>
            </w:pPr>
            <w:r>
              <w:rPr>
                <w:rFonts w:ascii="仿宋_GB2312" w:hAnsi="仿宋_GB2312" w:cs="仿宋_GB2312" w:eastAsia="仿宋_GB2312"/>
                <w:sz w:val="21"/>
              </w:rPr>
              <w:t>对</w:t>
            </w:r>
            <w:r>
              <w:rPr>
                <w:rFonts w:ascii="仿宋_GB2312" w:hAnsi="仿宋_GB2312" w:cs="仿宋_GB2312" w:eastAsia="仿宋_GB2312"/>
                <w:sz w:val="21"/>
              </w:rPr>
              <w:t>16</w:t>
            </w:r>
            <w:r>
              <w:rPr>
                <w:rFonts w:ascii="仿宋_GB2312" w:hAnsi="仿宋_GB2312" w:cs="仿宋_GB2312" w:eastAsia="仿宋_GB2312"/>
                <w:sz w:val="21"/>
              </w:rPr>
              <w:t>个县（区）开展监测评估。其中，西安市临潼区等</w:t>
            </w:r>
            <w:r>
              <w:rPr>
                <w:rFonts w:ascii="仿宋_GB2312" w:hAnsi="仿宋_GB2312" w:cs="仿宋_GB2312" w:eastAsia="仿宋_GB2312"/>
                <w:sz w:val="21"/>
              </w:rPr>
              <w:t>11</w:t>
            </w:r>
            <w:r>
              <w:rPr>
                <w:rFonts w:ascii="仿宋_GB2312" w:hAnsi="仿宋_GB2312" w:cs="仿宋_GB2312" w:eastAsia="仿宋_GB2312"/>
                <w:sz w:val="21"/>
              </w:rPr>
              <w:t>个县为长期跟踪县，</w:t>
            </w:r>
            <w:r>
              <w:rPr>
                <w:rFonts w:ascii="仿宋_GB2312" w:hAnsi="仿宋_GB2312" w:cs="仿宋_GB2312" w:eastAsia="仿宋_GB2312"/>
                <w:sz w:val="21"/>
              </w:rPr>
              <w:t>5</w:t>
            </w:r>
            <w:r>
              <w:rPr>
                <w:rFonts w:ascii="仿宋_GB2312" w:hAnsi="仿宋_GB2312" w:cs="仿宋_GB2312" w:eastAsia="仿宋_GB2312"/>
                <w:sz w:val="21"/>
              </w:rPr>
              <w:t>个县为轮换县；主要功能或目标</w:t>
            </w:r>
            <w:r>
              <w:rPr>
                <w:rFonts w:ascii="仿宋_GB2312" w:hAnsi="仿宋_GB2312" w:cs="仿宋_GB2312" w:eastAsia="仿宋_GB2312"/>
                <w:sz w:val="21"/>
              </w:rPr>
              <w:t>:</w:t>
            </w:r>
            <w:r>
              <w:rPr>
                <w:rFonts w:ascii="仿宋_GB2312" w:hAnsi="仿宋_GB2312" w:cs="仿宋_GB2312" w:eastAsia="仿宋_GB2312"/>
                <w:sz w:val="21"/>
              </w:rPr>
              <w:t>开展监测评估工作，对大中型水库移民后期扶持政策实施情况进行跟踪监测，及时掌握情况，评估实施效果，保障资金使用安全和后期扶持政策顺利实施，对维护移民群众合法权益，促进库区和移民安置区经济发展和社会稳定具有十分重要的意义。需满足的要求</w:t>
            </w:r>
            <w:r>
              <w:rPr>
                <w:rFonts w:ascii="仿宋_GB2312" w:hAnsi="仿宋_GB2312" w:cs="仿宋_GB2312" w:eastAsia="仿宋_GB2312"/>
                <w:sz w:val="21"/>
              </w:rPr>
              <w:t>:</w:t>
            </w:r>
            <w:r>
              <w:rPr>
                <w:rFonts w:ascii="仿宋_GB2312" w:hAnsi="仿宋_GB2312" w:cs="仿宋_GB2312" w:eastAsia="仿宋_GB2312"/>
                <w:sz w:val="21"/>
              </w:rPr>
              <w:t>以《关于开展大中型水库移民后期扶持政策实施情况监测评估工作的通知》（发改农经〔</w:t>
            </w:r>
            <w:r>
              <w:rPr>
                <w:rFonts w:ascii="仿宋_GB2312" w:hAnsi="仿宋_GB2312" w:cs="仿宋_GB2312" w:eastAsia="仿宋_GB2312"/>
                <w:sz w:val="21"/>
              </w:rPr>
              <w:t>2011</w:t>
            </w:r>
            <w:r>
              <w:rPr>
                <w:rFonts w:ascii="仿宋_GB2312" w:hAnsi="仿宋_GB2312" w:cs="仿宋_GB2312" w:eastAsia="仿宋_GB2312"/>
                <w:sz w:val="21"/>
              </w:rPr>
              <w:t>〕</w:t>
            </w:r>
            <w:r>
              <w:rPr>
                <w:rFonts w:ascii="仿宋_GB2312" w:hAnsi="仿宋_GB2312" w:cs="仿宋_GB2312" w:eastAsia="仿宋_GB2312"/>
                <w:sz w:val="21"/>
              </w:rPr>
              <w:t>1033</w:t>
            </w:r>
            <w:r>
              <w:rPr>
                <w:rFonts w:ascii="仿宋_GB2312" w:hAnsi="仿宋_GB2312" w:cs="仿宋_GB2312" w:eastAsia="仿宋_GB2312"/>
                <w:sz w:val="21"/>
              </w:rPr>
              <w:t>号）规定的内容为基础，结合监测评估导则要求，围绕我省十四五规划和中长期目标要求，将水库移民产业升级和增收致富、移民创业就业培训、美丽家园建设等作为本次监测评估的重要内容，加大对移民收入水平和生产生活条件的变化情况的分析深度，重点关注机构改革后市、县在后期扶持项目的立项、审批、投资方向是否符合要求，及时发现后期扶持政策实施中存在的困难和问题，并研究提出解决问题的意见和建议</w:t>
            </w:r>
            <w:r>
              <w:rPr>
                <w:rFonts w:ascii="仿宋_GB2312" w:hAnsi="仿宋_GB2312" w:cs="仿宋_GB2312" w:eastAsia="仿宋_GB2312"/>
                <w:sz w:val="21"/>
              </w:rPr>
              <w:t>。</w:t>
            </w:r>
          </w:p>
          <w:p>
            <w:pPr>
              <w:pStyle w:val="null3"/>
            </w:pPr>
            <w:r>
              <w:rPr>
                <w:rFonts w:ascii="仿宋_GB2312" w:hAnsi="仿宋_GB2312" w:cs="仿宋_GB2312" w:eastAsia="仿宋_GB2312"/>
                <w:sz w:val="21"/>
                <w:b/>
              </w:rPr>
              <w:t>二、服务内容及服务要求</w:t>
            </w:r>
          </w:p>
          <w:p>
            <w:pPr>
              <w:pStyle w:val="null3"/>
              <w:ind w:firstLine="480"/>
              <w:jc w:val="left"/>
            </w:pPr>
            <w:r>
              <w:rPr>
                <w:rFonts w:ascii="仿宋_GB2312" w:hAnsi="仿宋_GB2312" w:cs="仿宋_GB2312" w:eastAsia="仿宋_GB2312"/>
                <w:sz w:val="21"/>
                <w:b/>
              </w:rPr>
              <w:t>安塞区、靖边县、商州区、商南县、临潼区、蓝田</w:t>
            </w:r>
            <w:r>
              <w:rPr>
                <w:rFonts w:ascii="仿宋_GB2312" w:hAnsi="仿宋_GB2312" w:cs="仿宋_GB2312" w:eastAsia="仿宋_GB2312"/>
                <w:sz w:val="21"/>
                <w:b/>
              </w:rPr>
              <w:t xml:space="preserve">   </w:t>
            </w:r>
          </w:p>
          <w:p>
            <w:pPr>
              <w:pStyle w:val="null3"/>
              <w:jc w:val="left"/>
            </w:pPr>
            <w:r>
              <w:rPr>
                <w:rFonts w:ascii="仿宋_GB2312" w:hAnsi="仿宋_GB2312" w:cs="仿宋_GB2312" w:eastAsia="仿宋_GB2312"/>
                <w:sz w:val="21"/>
                <w:b/>
              </w:rPr>
              <w:t>礼泉县、长武县、延川县</w:t>
            </w:r>
            <w:r>
              <w:rPr>
                <w:rFonts w:ascii="仿宋_GB2312" w:hAnsi="仿宋_GB2312" w:cs="仿宋_GB2312" w:eastAsia="仿宋_GB2312"/>
                <w:sz w:val="21"/>
                <w:b/>
              </w:rPr>
              <w:t>等</w:t>
            </w:r>
            <w:r>
              <w:rPr>
                <w:rFonts w:ascii="仿宋_GB2312" w:hAnsi="仿宋_GB2312" w:cs="仿宋_GB2312" w:eastAsia="仿宋_GB2312"/>
                <w:sz w:val="21"/>
                <w:b/>
              </w:rPr>
              <w:t>9县区</w:t>
            </w:r>
            <w:r>
              <w:rPr>
                <w:rFonts w:ascii="仿宋_GB2312" w:hAnsi="仿宋_GB2312" w:cs="仿宋_GB2312" w:eastAsia="仿宋_GB2312"/>
                <w:sz w:val="21"/>
                <w:b/>
              </w:rPr>
              <w:t>监测评估工作。</w:t>
            </w:r>
          </w:p>
          <w:p>
            <w:pPr>
              <w:pStyle w:val="null3"/>
            </w:pPr>
            <w:r>
              <w:rPr>
                <w:rFonts w:ascii="仿宋_GB2312" w:hAnsi="仿宋_GB2312" w:cs="仿宋_GB2312" w:eastAsia="仿宋_GB2312"/>
                <w:sz w:val="21"/>
                <w:b/>
              </w:rPr>
              <w:t>三、编制依据</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1）相关行业标准及技术规范等；</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2）各市、县（市、区）后期扶持政策实施及相关政策文件；</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3）各市、县（市、区）年度项目计划下达文件，财务会计资料及年度决算报告；</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4）各县（市、区）年度项目档案建设管理有关资料和数据等；</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5）监督检查时间范围内已形成的验收、审计、决算、监测评估、统计、工作总结等报告；</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6）经批准的各级水库移民后期扶持“十四五”规划及其他专项规划等；</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7）202</w:t>
            </w:r>
            <w:r>
              <w:rPr>
                <w:rFonts w:ascii="仿宋_GB2312" w:hAnsi="仿宋_GB2312" w:cs="仿宋_GB2312" w:eastAsia="仿宋_GB2312"/>
                <w:sz w:val="21"/>
              </w:rPr>
              <w:t>5</w:t>
            </w:r>
            <w:r>
              <w:rPr>
                <w:rFonts w:ascii="仿宋_GB2312" w:hAnsi="仿宋_GB2312" w:cs="仿宋_GB2312" w:eastAsia="仿宋_GB2312"/>
                <w:sz w:val="21"/>
              </w:rPr>
              <w:t>年度实施的所有年度计划、资金预算和统计报表等；</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8）上年度监测评估报告；</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9）涉及县（区、市）项目、资金管理办法等；</w:t>
            </w:r>
          </w:p>
          <w:p>
            <w:pPr>
              <w:pStyle w:val="null3"/>
              <w:ind w:firstLine="240"/>
            </w:pPr>
            <w:r>
              <w:rPr>
                <w:rFonts w:ascii="仿宋_GB2312" w:hAnsi="仿宋_GB2312" w:cs="仿宋_GB2312" w:eastAsia="仿宋_GB2312"/>
                <w:sz w:val="21"/>
              </w:rPr>
              <w:t>（</w:t>
            </w:r>
            <w:r>
              <w:rPr>
                <w:rFonts w:ascii="仿宋_GB2312" w:hAnsi="仿宋_GB2312" w:cs="仿宋_GB2312" w:eastAsia="仿宋_GB2312"/>
                <w:sz w:val="21"/>
              </w:rPr>
              <w:t>10）水利部、省、市近年开展的监督检查、审计、专项督导等检查工作报告以及整改落实报告等。</w:t>
            </w:r>
          </w:p>
          <w:p>
            <w:pPr>
              <w:pStyle w:val="null3"/>
            </w:pPr>
            <w:r>
              <w:rPr>
                <w:rFonts w:ascii="仿宋_GB2312" w:hAnsi="仿宋_GB2312" w:cs="仿宋_GB2312" w:eastAsia="仿宋_GB2312"/>
                <w:sz w:val="21"/>
                <w:b/>
              </w:rPr>
              <w:t>四、技术要求</w:t>
            </w:r>
          </w:p>
          <w:p>
            <w:pPr>
              <w:pStyle w:val="null3"/>
              <w:ind w:firstLine="480"/>
              <w:jc w:val="left"/>
            </w:pPr>
            <w:r>
              <w:rPr>
                <w:rFonts w:ascii="仿宋_GB2312" w:hAnsi="仿宋_GB2312" w:cs="仿宋_GB2312" w:eastAsia="仿宋_GB2312"/>
                <w:sz w:val="21"/>
              </w:rPr>
              <w:t>监测评估以《</w:t>
            </w:r>
            <w:r>
              <w:rPr>
                <w:rFonts w:ascii="仿宋_GB2312" w:hAnsi="仿宋_GB2312" w:cs="仿宋_GB2312" w:eastAsia="仿宋_GB2312"/>
                <w:sz w:val="21"/>
              </w:rPr>
              <w:t>关于开展大中型水库移民后期扶持政策实施情况监测评估工作的通知</w:t>
            </w:r>
            <w:r>
              <w:rPr>
                <w:rFonts w:ascii="仿宋_GB2312" w:hAnsi="仿宋_GB2312" w:cs="仿宋_GB2312" w:eastAsia="仿宋_GB2312"/>
                <w:sz w:val="21"/>
              </w:rPr>
              <w:t>》（发改农经〔</w:t>
            </w:r>
            <w:r>
              <w:rPr>
                <w:rFonts w:ascii="仿宋_GB2312" w:hAnsi="仿宋_GB2312" w:cs="仿宋_GB2312" w:eastAsia="仿宋_GB2312"/>
                <w:sz w:val="21"/>
              </w:rPr>
              <w:t>2011〕1033号）规定的内容为基础，结合监测评估导则要求，围绕我省十四五规划和中长期目标要求，将水库移民产业升级和增收致富、移民创业就业培训、美丽家园建设等作为本次监测评估的重要内容，加大对移民收入水平和生产生活条件的变化情况的分析深度，重点关注机构改革后市、县在后期扶持项目的立项、审批、投资方向是否符合要求，及时发现后期扶持政策实施中存在的困难和问题，并研究提出解决问题的意见和建议。</w:t>
            </w:r>
          </w:p>
          <w:p>
            <w:pPr>
              <w:pStyle w:val="null3"/>
              <w:ind w:firstLine="480"/>
              <w:jc w:val="left"/>
            </w:pPr>
            <w:r>
              <w:rPr>
                <w:rFonts w:ascii="仿宋_GB2312" w:hAnsi="仿宋_GB2312" w:cs="仿宋_GB2312" w:eastAsia="仿宋_GB2312"/>
                <w:sz w:val="21"/>
              </w:rPr>
              <w:t>后期扶持监测评估内容主要包括：后期扶持政策实施情况，后期扶持资金使用管理情况及后期扶持政策实施效果等方面。</w:t>
            </w:r>
          </w:p>
          <w:p>
            <w:pPr>
              <w:pStyle w:val="null3"/>
            </w:pPr>
            <w:r>
              <w:rPr>
                <w:rFonts w:ascii="仿宋_GB2312" w:hAnsi="仿宋_GB2312" w:cs="仿宋_GB2312" w:eastAsia="仿宋_GB2312"/>
                <w:sz w:val="21"/>
                <w:b/>
              </w:rPr>
              <w:t>五、实施目标</w:t>
            </w:r>
          </w:p>
          <w:p>
            <w:pPr>
              <w:pStyle w:val="null3"/>
              <w:ind w:firstLine="480"/>
              <w:jc w:val="left"/>
            </w:pPr>
            <w:r>
              <w:rPr>
                <w:rFonts w:ascii="仿宋_GB2312" w:hAnsi="仿宋_GB2312" w:cs="仿宋_GB2312" w:eastAsia="仿宋_GB2312"/>
                <w:sz w:val="21"/>
              </w:rPr>
              <w:t>我们在历年开展全省大中型水库移民后期扶持政策实施情况监测评估，继续开展全省</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年监测评估工作。</w:t>
            </w:r>
          </w:p>
          <w:p>
            <w:pPr>
              <w:pStyle w:val="null3"/>
            </w:pPr>
            <w:r>
              <w:rPr>
                <w:rFonts w:ascii="仿宋_GB2312" w:hAnsi="仿宋_GB2312" w:cs="仿宋_GB2312" w:eastAsia="仿宋_GB2312"/>
                <w:sz w:val="21"/>
                <w:b/>
              </w:rPr>
              <w:t>六、编制主要成果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年度大中型水库移民后期扶持政策实施情况</w:t>
            </w:r>
            <w:r>
              <w:rPr>
                <w:rFonts w:ascii="仿宋_GB2312" w:hAnsi="仿宋_GB2312" w:cs="仿宋_GB2312" w:eastAsia="仿宋_GB2312"/>
                <w:sz w:val="21"/>
              </w:rPr>
              <w:t>9县（区）</w:t>
            </w:r>
            <w:r>
              <w:rPr>
                <w:rFonts w:ascii="仿宋_GB2312" w:hAnsi="仿宋_GB2312" w:cs="仿宋_GB2312" w:eastAsia="仿宋_GB2312"/>
                <w:sz w:val="21"/>
              </w:rPr>
              <w:t>监测评估报告》；</w:t>
            </w:r>
          </w:p>
          <w:p>
            <w:pPr>
              <w:pStyle w:val="null3"/>
            </w:pPr>
            <w:r>
              <w:rPr>
                <w:rFonts w:ascii="仿宋_GB2312" w:hAnsi="仿宋_GB2312" w:cs="仿宋_GB2312" w:eastAsia="仿宋_GB2312"/>
                <w:sz w:val="21"/>
                <w:b/>
              </w:rPr>
              <w:t>七、其他要求</w:t>
            </w:r>
          </w:p>
          <w:p>
            <w:pPr>
              <w:pStyle w:val="null3"/>
            </w:pPr>
            <w:r>
              <w:rPr>
                <w:rFonts w:ascii="仿宋_GB2312" w:hAnsi="仿宋_GB2312" w:cs="仿宋_GB2312" w:eastAsia="仿宋_GB2312"/>
                <w:sz w:val="21"/>
              </w:rPr>
              <w:t>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自合同签订之日起90天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满足2025年度大中型水库移民后期扶持政策实施情况省级监测评估项目及国家移民后扶有关政策的要求。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满足2025年度大中型水库移民后期扶持政策实施情况省级监测评估项目及国家移民后扶有关政策的要求。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进度款，在成果通过技术审查后，达到付款条件起15个工作日内，支付合同总金额的50.0%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进度款，合同验收合格后，达到付款条件起15个工作日内，支付合同总金额的10.0%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进度款，在成果通过技术审查后，达到付款条件起15个工作日内，支付合同总金额的50.0%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进度款，合同验收合格后，达到付款条件起15个工作日内，支付合同总金额的10.0%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或成交供应商违反合同规定造成损失的应承担违约责任。（2）因监测评估报告深度不够、资料不足而被要求返工从而造成问题的，除由成交供应商负责继续完善报告外，采购人还可视造成的时间延误损失，计扣成交供应商合同价5%～10%的违约金。（3）采购人违约变更委托项目、规模、条件，未按期提交资料或提交资料错误及对所提资料作较大修改，以致造成成交供应商返工或增加工作量时，双方除需另行协商签订补充合同、重新明确有关条款外，采购人应按成交供应商所耗工作量向成交供应商支付返工费或追加工作量的补偿。（4）争议与索赔：采购人、成交供应商双方因合同发生争议时，双方应通过友好协商解决，协商不能达成协议，可以向采购人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采购人或成交供应商违反合同规定造成损失的应承担违约责任。（2）因监测评估报告深度不够、资料不足而被要求返工从而造成问题的，除由成交供应商负责继续完善报告外，采购人还可视造成的时间延误损失，计扣成交供应商合同价5%～10%的违约金。（3）采购人违约变更委托项目、规模、条件，未按期提交资料或提交资料错误及对所提资料作较大修改，以致造成成交供应商返工或增加工作量时，双方除需另行协商签订补充合同、重新明确有关条款外，采购人应按成交供应商所耗工作量向成交供应商支付返工费或追加工作量的补偿。（4）争议与索赔：采购人、成交供应商双方因合同发生争议时，双方应通过友好协商解决，协商不能达成协议，可以向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供应商在项目电子化交易系统中按要求上传提供统一社会信用代码的营业执照、事业单位须提供事业单位法人证、组织机构代码证等证明文件、其他组织应提供合法证明文件、自然人参与的提供其身份证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会计师事务所审计的财务报告复印件，或其开标前三个月内基本存款账户开户银行出具的资信证明及基本存款账户开户信息，其他组织和自然人提供银行出具的资信证明或财务报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响应文件递交截止时间前六个月内任意一月已缴存的社会保障资金缴费证明或参保证明，依法不需要缴纳社会保障资金的供应商应提供相关证明文件：供应商需在项目电子化交易系统中按要求上传提供响应文件递交截止时间前六个月内任意一月已缴存的社会保障资金缴费证明或参保证明，依法不需要缴纳社会保障资金的供应商应提供相关证明文件。相应证明文件需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六个月内任意一月已缴纳的纳税证明或完税证明，依法免税的供应商应提供相关证明文件：供应商在项目电子化交易系统中按要求上传提供响应文件递交截止时间前六个月内任意一月已缴纳的纳税证明或完税证明，依法免税的供应商应提供相关证明文件。相应证明文件需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具有履行合同所必需的设备和专业技术能力，提供承诺书：供应商在项目电子化交易系统中按要求上传提供承诺书并进行电子签章；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参加政府采购活动前3年内，在经营活动中没有重大违法记录的书面声明：供应商需在项目电子化交易系统中按要求上传书面声明并进行电子签章；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重大税收违法失信主体名单的供应商、不得为“中国执行信息公开网”网站（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授权委托人身份证明</w:t>
            </w:r>
          </w:p>
        </w:tc>
        <w:tc>
          <w:tcPr>
            <w:tcW w:type="dxa" w:w="3322"/>
          </w:tcPr>
          <w:p>
            <w:pPr>
              <w:pStyle w:val="null3"/>
            </w:pPr>
            <w:r>
              <w:rPr>
                <w:rFonts w:ascii="仿宋_GB2312" w:hAnsi="仿宋_GB2312" w:cs="仿宋_GB2312" w:eastAsia="仿宋_GB2312"/>
              </w:rPr>
              <w:t>供应商应授权合法的人员参加磋商，法定代表人（或单位负责人）直接参加的，须出具法定代表人（或单位负责人）身份证明及身份证，并与营业执照上信息一致；授权代表参加的，须出具法定代表人（或单位负责人）授权委托书及被授权人身份证：供应商在项目电子化交易系统中按要求上传提供法定代表人（或单位负责人）身份证明及身份证或法定代表人（或单位负责人）授权委托书及被授权人身份证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供应商在项目电子化交易系统中按要求上传提供统一社会信用代码的营业执照、事业单位须提供事业单位法人证、组织机构代码证等证明文件、其他组织应提供合法证明文件、自然人参与的提供其身份证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会计师事务所审计的财务报告复印件，或其开标前三个月内基本存款账户开户银行出具的资信证明及基本存款账户开户信息，其他组织和自然人提供银行出具的资信证明或财务报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响应文件递交截止时间前六个月内任意一月已缴存的社会保障资金缴费证明或参保证明，依法不需要缴纳社会保障资金的供应商应提供相关证明文件：供应商需在项目电子化交易系统中按要求上传提供响应文件递交截止时间前六个月内任意一月已缴存的社会保障资金缴费证明或参保证明，依法不需要缴纳社会保障资金的供应商应提供相关证明文件。相应证明文件需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六个月内任意一月已缴纳的纳税证明或完税证明，依法免税的供应商应提供相关证明文件：供应商在项目电子化交易系统中按要求上传提供响应文件递交截止时间前六个月内任意一月已缴纳的纳税证明或完税证明，依法免税的供应商应提供相关证明文件。相应证明文件需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具有履行合同所必需的设备和专业技术能力，提供承诺书：供应商在项目电子化交易系统中按要求上传提供承诺书并进行电子签章；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参加政府采购活动前3年内，在经营活动中没有重大违法记录的书面声明：供应商需在项目电子化交易系统中按要求上传书面声明并进行电子签章；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重大税收违法失信主体名单的供应商、不得为“中国执行信息公开网”网站（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授权委托人身份证明</w:t>
            </w:r>
          </w:p>
        </w:tc>
        <w:tc>
          <w:tcPr>
            <w:tcW w:type="dxa" w:w="3322"/>
          </w:tcPr>
          <w:p>
            <w:pPr>
              <w:pStyle w:val="null3"/>
            </w:pPr>
            <w:r>
              <w:rPr>
                <w:rFonts w:ascii="仿宋_GB2312" w:hAnsi="仿宋_GB2312" w:cs="仿宋_GB2312" w:eastAsia="仿宋_GB2312"/>
              </w:rPr>
              <w:t>供应商应授权合法的人员参加磋商，法定代表人（或单位负责人）直接参加的，须出具法定代表人（或单位负责人）身份证明及身份证，并与营业执照上信息一致；授权代表参加的，须出具法定代表人（或单位负责人）授权委托书及被授权人身份证：供应商在项目电子化交易系统中按要求上传提供法定代表人（或单位负责人）身份证明及身份证或法定代表人（或单位负责人）授权委托书及被授权人身份证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业绩.docx 服务内容及服务邀请应答表 中小企业声明函 项目团队.docx 商务应答表 供应商应提交的相关资格证明材料 报价表 响应文件封面 分项报价表.docx 残疾人福利性单位声明函 服务方案 标的清单 资格证明材料.docx 项目负责人简况表.docx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响应文件格式中要求法定代表人或被授权人的签字处，签字齐全，响应文件加盖电子印章。</w:t>
            </w:r>
          </w:p>
        </w:tc>
        <w:tc>
          <w:tcPr>
            <w:tcW w:type="dxa" w:w="1661"/>
          </w:tcPr>
          <w:p>
            <w:pPr>
              <w:pStyle w:val="null3"/>
            </w:pPr>
            <w:r>
              <w:rPr>
                <w:rFonts w:ascii="仿宋_GB2312" w:hAnsi="仿宋_GB2312" w:cs="仿宋_GB2312" w:eastAsia="仿宋_GB2312"/>
              </w:rPr>
              <w:t>业绩.docx 服务内容及服务邀请应答表 中小企业声明函 项目团队.docx 商务应答表 供应商应提交的相关资格证明材料 报价表 响应文件封面 分项报价表.docx 残疾人福利性单位声明函 服务方案 标的清单 资格证明材料.docx 项目负责人简况表.docx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报价的符合性</w:t>
            </w:r>
          </w:p>
        </w:tc>
        <w:tc>
          <w:tcPr>
            <w:tcW w:type="dxa" w:w="3322"/>
          </w:tcPr>
          <w:p>
            <w:pPr>
              <w:pStyle w:val="null3"/>
            </w:pPr>
            <w:r>
              <w:rPr>
                <w:rFonts w:ascii="仿宋_GB2312" w:hAnsi="仿宋_GB2312" w:cs="仿宋_GB2312" w:eastAsia="仿宋_GB2312"/>
              </w:rPr>
              <w:t>只能有一个报价，且不超过采购预算（最高限价）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自合同签订之日起120天</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业绩.docx 服务内容及服务邀请应答表 中小企业声明函 项目团队.docx 商务应答表 供应商应提交的相关资格证明材料 报价表 响应文件封面 分项报价表.docx 残疾人福利性单位声明函 服务方案 标的清单 资格证明材料.docx 项目负责人简况表.docx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响应文件格式中要求法定代表人或被授权人的签字处，签字齐全，响应文件加盖电子印章。</w:t>
            </w:r>
          </w:p>
        </w:tc>
        <w:tc>
          <w:tcPr>
            <w:tcW w:type="dxa" w:w="1661"/>
          </w:tcPr>
          <w:p>
            <w:pPr>
              <w:pStyle w:val="null3"/>
            </w:pPr>
            <w:r>
              <w:rPr>
                <w:rFonts w:ascii="仿宋_GB2312" w:hAnsi="仿宋_GB2312" w:cs="仿宋_GB2312" w:eastAsia="仿宋_GB2312"/>
              </w:rPr>
              <w:t>业绩.docx 服务内容及服务邀请应答表 中小企业声明函 项目团队.docx 商务应答表 供应商应提交的相关资格证明材料 报价表 响应文件封面 分项报价表.docx 残疾人福利性单位声明函 服务方案 标的清单 资格证明材料.docx 项目负责人简况表.docx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报价的符合性</w:t>
            </w:r>
          </w:p>
        </w:tc>
        <w:tc>
          <w:tcPr>
            <w:tcW w:type="dxa" w:w="3322"/>
          </w:tcPr>
          <w:p>
            <w:pPr>
              <w:pStyle w:val="null3"/>
            </w:pPr>
            <w:r>
              <w:rPr>
                <w:rFonts w:ascii="仿宋_GB2312" w:hAnsi="仿宋_GB2312" w:cs="仿宋_GB2312" w:eastAsia="仿宋_GB2312"/>
              </w:rPr>
              <w:t>只能有一个报价，且不超过采购预算（最高限价）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自合同签订之日起90天</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项目背景及需求分析的准确性</w:t>
            </w:r>
          </w:p>
        </w:tc>
        <w:tc>
          <w:tcPr>
            <w:tcW w:type="dxa" w:w="2492"/>
          </w:tcPr>
          <w:p>
            <w:pPr>
              <w:pStyle w:val="null3"/>
            </w:pPr>
            <w:r>
              <w:rPr>
                <w:rFonts w:ascii="仿宋_GB2312" w:hAnsi="仿宋_GB2312" w:cs="仿宋_GB2312" w:eastAsia="仿宋_GB2312"/>
              </w:rPr>
              <w:t>一、评审内容 供应商针对本项目工作的项目背景及需求分析的准确性。 二、评审标准 1.完整性：分析须全面，对评审内容中的各项要求有详细描述； 2.可实施性：切合本项目实际情况，实施步骤清晰、合理； 3.针对性：分析能够紧扣项目实际情况，内容科学合理。 三、赋分标准 以上评审内容，满足一项得3分，每有一子项有缺陷或不完全满足扣0.5分，不得负分，缺项不得分。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一、评审内容 供应商针对本项目工作方案及内容，内容包含： ①工作思路及理念；②工作依据及原则；③工作范围；④工作方法；⑤工作内容；⑥培训计划。 二、评审标准 1、完整性：报告必须全面，对评审内容中的各项要求有详细描述； 2、可实施性：切合本项目实际情况，提出步骤清晰、合理的方案； 3、针对性：方案能够紧扣项目实际情况，内容科学合理； 三、赋分标准 以上评审内容，满足一项得4分，每有一项有缺陷或不完全满足扣2分，不得负分，缺项不得分。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报告编制结构框架及内容</w:t>
            </w:r>
          </w:p>
        </w:tc>
        <w:tc>
          <w:tcPr>
            <w:tcW w:type="dxa" w:w="2492"/>
          </w:tcPr>
          <w:p>
            <w:pPr>
              <w:pStyle w:val="null3"/>
            </w:pPr>
            <w:r>
              <w:rPr>
                <w:rFonts w:ascii="仿宋_GB2312" w:hAnsi="仿宋_GB2312" w:cs="仿宋_GB2312" w:eastAsia="仿宋_GB2312"/>
              </w:rPr>
              <w:t>一、评审内容 供应商针对本项目报告编制结构框架及内容，内容包含： ①报告编制结构框架； ②报告编制内容。 二、评审标准 1、完整性：报告必须全面，对评审内容中的各项要求有详细描述； 2、可实施性：切合本项目实际情况，提出步骤清晰、合理的方案； 3、针对性：方案能够紧扣项目实际情况，内容科学合理； 三、赋分标准 以上评审内容，满足一项得5分，每有一子项有缺陷或不完全满足扣2分，不得负分，缺项不得分。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对本项工作的合理化建议和改进措施</w:t>
            </w:r>
          </w:p>
        </w:tc>
        <w:tc>
          <w:tcPr>
            <w:tcW w:type="dxa" w:w="2492"/>
          </w:tcPr>
          <w:p>
            <w:pPr>
              <w:pStyle w:val="null3"/>
            </w:pPr>
            <w:r>
              <w:rPr>
                <w:rFonts w:ascii="仿宋_GB2312" w:hAnsi="仿宋_GB2312" w:cs="仿宋_GB2312" w:eastAsia="仿宋_GB2312"/>
              </w:rPr>
              <w:t>一、评审内容 供应商针对本项目工作的合理化建议和改进措施，内容包含： ①合理化建议②改进措施 二、评审标准 1、完整性：意见或建议必须全面，有详细描述； 2、可实施性：切合本项目实际情况，提出步骤清晰、合理的方案； 3、针对性：意见能够紧扣项目实际情况，内容科学合理； 三、赋分标准 以上评审内容，完全满足得4分，有缺陷或不完全满足扣1分，缺项不得分。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项目进度计划及保证措施</w:t>
            </w:r>
          </w:p>
        </w:tc>
        <w:tc>
          <w:tcPr>
            <w:tcW w:type="dxa" w:w="2492"/>
          </w:tcPr>
          <w:p>
            <w:pPr>
              <w:pStyle w:val="null3"/>
            </w:pPr>
            <w:r>
              <w:rPr>
                <w:rFonts w:ascii="仿宋_GB2312" w:hAnsi="仿宋_GB2312" w:cs="仿宋_GB2312" w:eastAsia="仿宋_GB2312"/>
              </w:rPr>
              <w:t>一、评审内容 供应商针对本项目工作进度计划及保证措施，内容包含： ①工作进度计划； ②保证措施。 二、评审标准 1、完整性：工作进度计划条理、节点清晰，对评审内容中的各项要求有详细描述； 2、可实施性：切合本项目实际情况，提出步骤清晰、合理的方案； 3、针对性：措施能够紧扣项目实际情况，内容科学合理； 三、赋分标准 以上评审内容，满足一项得3分，每有一子项有缺陷或不完全满足扣1分，不得负分，缺项不得分。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成果质量及服务保证措施</w:t>
            </w:r>
          </w:p>
        </w:tc>
        <w:tc>
          <w:tcPr>
            <w:tcW w:type="dxa" w:w="2492"/>
          </w:tcPr>
          <w:p>
            <w:pPr>
              <w:pStyle w:val="null3"/>
            </w:pPr>
            <w:r>
              <w:rPr>
                <w:rFonts w:ascii="仿宋_GB2312" w:hAnsi="仿宋_GB2312" w:cs="仿宋_GB2312" w:eastAsia="仿宋_GB2312"/>
              </w:rPr>
              <w:t>一、评审内容 供应商针对本项目编制成果质量管理体系及保证措施，内容包含： ①成果质量管理体系和组织措施；（质量目标、质量管理体系及职责、质量管理制度） ②质量保证措施。（质量保证措施、问题预防措施） 二、评审标准 1、完整性：方案必须全面，对评审内容中的各项要求有详细描述； 2、可实施性：切合本项目实际情况，提出步骤清晰、合理的方案； 3、针对性：方案能够紧扣项目实际情况，内容科学合理。 三、赋分标准 以上评审内容，满足一项得5分，每有一子项有缺陷或不完全满足扣1分，不得负分，缺项不得分。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保密保障方案</w:t>
            </w:r>
          </w:p>
        </w:tc>
        <w:tc>
          <w:tcPr>
            <w:tcW w:type="dxa" w:w="2492"/>
          </w:tcPr>
          <w:p>
            <w:pPr>
              <w:pStyle w:val="null3"/>
            </w:pPr>
            <w:r>
              <w:rPr>
                <w:rFonts w:ascii="仿宋_GB2312" w:hAnsi="仿宋_GB2312" w:cs="仿宋_GB2312" w:eastAsia="仿宋_GB2312"/>
              </w:rPr>
              <w:t>一、评审内容 供应商针对本项目保密保障方案，内容包含： ①可能涉及的失泄密风险评估； ②保密管理制度 ③保密保障措施。 二、评审标准 1、完整性：意见或建议必须全面，有详细描述； 2、可实施性：切合本项目实际情况，提出步骤清晰、合理的方案； 3、针对性：意见能够紧扣项目实际情况，内容科学合理； 三、赋分标准 以上评审内容，满足一项得1分，每有一子项有缺陷或不完全满足扣0.5分，不得负分，缺项不得分。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项目负责人职称</w:t>
            </w:r>
          </w:p>
        </w:tc>
        <w:tc>
          <w:tcPr>
            <w:tcW w:type="dxa" w:w="2492"/>
          </w:tcPr>
          <w:p>
            <w:pPr>
              <w:pStyle w:val="null3"/>
            </w:pPr>
            <w:r>
              <w:rPr>
                <w:rFonts w:ascii="仿宋_GB2312" w:hAnsi="仿宋_GB2312" w:cs="仿宋_GB2312" w:eastAsia="仿宋_GB2312"/>
              </w:rPr>
              <w:t>项目负责人具有水利类高级职称，得2分；否则不得分；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项目负责人简况表.docx</w:t>
            </w:r>
          </w:p>
        </w:tc>
      </w:tr>
      <w:tr>
        <w:tc>
          <w:tcPr>
            <w:tcW w:type="dxa" w:w="831"/>
            <w:vMerge/>
          </w:tcPr>
          <w:p/>
        </w:tc>
        <w:tc>
          <w:tcPr>
            <w:tcW w:type="dxa" w:w="1661"/>
          </w:tcPr>
          <w:p>
            <w:pPr>
              <w:pStyle w:val="null3"/>
            </w:pPr>
            <w:r>
              <w:rPr>
                <w:rFonts w:ascii="仿宋_GB2312" w:hAnsi="仿宋_GB2312" w:cs="仿宋_GB2312" w:eastAsia="仿宋_GB2312"/>
              </w:rPr>
              <w:t>团队人员配套</w:t>
            </w:r>
          </w:p>
        </w:tc>
        <w:tc>
          <w:tcPr>
            <w:tcW w:type="dxa" w:w="2492"/>
          </w:tcPr>
          <w:p>
            <w:pPr>
              <w:pStyle w:val="null3"/>
            </w:pPr>
            <w:r>
              <w:rPr>
                <w:rFonts w:ascii="仿宋_GB2312" w:hAnsi="仿宋_GB2312" w:cs="仿宋_GB2312" w:eastAsia="仿宋_GB2312"/>
              </w:rPr>
              <w:t>团队其他人员具有水利相关专业高级或以上职称每1人得1分，中级职称每一人得0.5分，其余不得分。总分：8分。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自2022年1月1日以来，具有类似项目业绩，每具有一个得2分，最高8分。 注：提供合同复印件加盖公章，未提供不得分。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2.采用低价优先法计算，即满足磋商文件要求且报价最低的磋商报价为基准价，其价格分为满分15分。 3.磋商报价得分=（磋商基准价/最后磋商报价）×15分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项目背景及需求分析的准确性</w:t>
            </w:r>
          </w:p>
        </w:tc>
        <w:tc>
          <w:tcPr>
            <w:tcW w:type="dxa" w:w="2492"/>
          </w:tcPr>
          <w:p>
            <w:pPr>
              <w:pStyle w:val="null3"/>
            </w:pPr>
            <w:r>
              <w:rPr>
                <w:rFonts w:ascii="仿宋_GB2312" w:hAnsi="仿宋_GB2312" w:cs="仿宋_GB2312" w:eastAsia="仿宋_GB2312"/>
              </w:rPr>
              <w:t>一、评审内容 供应商针对本项目工作的项目背景及需求分析的准确性。 二、评审标准 1.完整性：分析须全面，对评审内容中的各项要求有详细描述； 2.可实施性：切合本项目实际情况，实施步骤清晰、合理； 3.针对性：分析能够紧扣项目实际情况，内容科学合理。 三、赋分标准 以上评审内容，满足一项得3分，每有一子项有缺陷或不完全满足扣0.5分，不得负分，缺项不得分。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一、评审内容 供应商针对本项目工作方案及内容，内容包含： ①工作思路及理念；②工作依据及原则；③工作范围；④工作方法；⑤工作内容；⑥培训计划。 二、评审标准 1、完整性：报告必须全面，对评审内容中的各项要求有详细描述； 2、可实施性：切合本项目实际情况，提出步骤清晰、合理的方案； 3、针对性：方案能够紧扣项目实际情况，内容科学合理； 三、赋分标准 以上评审内容，满足一项得4分，每有一项有缺陷或不完全满足扣2分，不得负分，缺项不得分。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报告编制结构框架及内容</w:t>
            </w:r>
          </w:p>
        </w:tc>
        <w:tc>
          <w:tcPr>
            <w:tcW w:type="dxa" w:w="2492"/>
          </w:tcPr>
          <w:p>
            <w:pPr>
              <w:pStyle w:val="null3"/>
            </w:pPr>
            <w:r>
              <w:rPr>
                <w:rFonts w:ascii="仿宋_GB2312" w:hAnsi="仿宋_GB2312" w:cs="仿宋_GB2312" w:eastAsia="仿宋_GB2312"/>
              </w:rPr>
              <w:t>一、评审内容 供应商针对本项目报告编制结构框架及内容，内容包含： ①报告编制结构框架； ②报告编制内容。 二、评审标准 1、完整性：报告必须全面，对评审内容中的各项要求有详细描述； 2、可实施性：切合本项目实际情况，提出步骤清晰、合理的方案； 3、针对性：方案能够紧扣项目实际情况，内容科学合理； 三、赋分标准 以上评审内容，满足一项得5分，每有一子项有缺陷或不完全满足扣2分，不得负分，缺项不得分。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对本项工作的合理化建议和改进措施</w:t>
            </w:r>
          </w:p>
        </w:tc>
        <w:tc>
          <w:tcPr>
            <w:tcW w:type="dxa" w:w="2492"/>
          </w:tcPr>
          <w:p>
            <w:pPr>
              <w:pStyle w:val="null3"/>
            </w:pPr>
            <w:r>
              <w:rPr>
                <w:rFonts w:ascii="仿宋_GB2312" w:hAnsi="仿宋_GB2312" w:cs="仿宋_GB2312" w:eastAsia="仿宋_GB2312"/>
              </w:rPr>
              <w:t>一、评审内容 供应商针对本项目工作的合理化建议和改进措施，内容包含： ①合理化建议②改进措施 二、评审标准 1、完整性：意见或建议必须全面，有详细描述； 2、可实施性：切合本项目实际情况，提出步骤清晰、合理的方案； 3、针对性：意见能够紧扣项目实际情况，内容科学合理； 三、赋分标准 以上评审内容，完全满足得4分，有缺陷或不完全满足扣1分，缺项不得分。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项目进度计划及保证措施</w:t>
            </w:r>
          </w:p>
        </w:tc>
        <w:tc>
          <w:tcPr>
            <w:tcW w:type="dxa" w:w="2492"/>
          </w:tcPr>
          <w:p>
            <w:pPr>
              <w:pStyle w:val="null3"/>
            </w:pPr>
            <w:r>
              <w:rPr>
                <w:rFonts w:ascii="仿宋_GB2312" w:hAnsi="仿宋_GB2312" w:cs="仿宋_GB2312" w:eastAsia="仿宋_GB2312"/>
              </w:rPr>
              <w:t>一、评审内容 供应商针对本项目工作进度计划及保证措施，内容包含： ①工作进度计划； ②保证措施。 二、评审标准 1、完整性：工作进度计划条理、节点清晰，对评审内容中的各项要求有详细描述； 2、可实施性：切合本项目实际情况，提出步骤清晰、合理的方案； 3、针对性：措施能够紧扣项目实际情况，内容科学合理； 三、赋分标准 以上评审内容，满足一项得3分，每有一子项有缺陷或不完全满足扣1分，不得负分，缺项不得分。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成果质量及服务保证措施</w:t>
            </w:r>
          </w:p>
        </w:tc>
        <w:tc>
          <w:tcPr>
            <w:tcW w:type="dxa" w:w="2492"/>
          </w:tcPr>
          <w:p>
            <w:pPr>
              <w:pStyle w:val="null3"/>
            </w:pPr>
            <w:r>
              <w:rPr>
                <w:rFonts w:ascii="仿宋_GB2312" w:hAnsi="仿宋_GB2312" w:cs="仿宋_GB2312" w:eastAsia="仿宋_GB2312"/>
              </w:rPr>
              <w:t>一、评审内容 供应商针对本项目编制成果质量管理体系及保证措施，内容包含： ①成果质量管理体系和组织措施；（质量目标、质量管理体系及职责、质量管理制度） ②质量保证措施。（质量保证措施、问题预防措施） 二、评审标准 1、完整性：方案必须全面，对评审内容中的各项要求有详细描述； 2、可实施性：切合本项目实际情况，提出步骤清晰、合理的方案； 3、针对性：方案能够紧扣项目实际情况，内容科学合理。 三、赋分标准 以上评审内容，满足一项得5分，每有一子项有缺陷或不完全满足扣1分，不得负分，缺项不得分。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保密保障方案</w:t>
            </w:r>
          </w:p>
        </w:tc>
        <w:tc>
          <w:tcPr>
            <w:tcW w:type="dxa" w:w="2492"/>
          </w:tcPr>
          <w:p>
            <w:pPr>
              <w:pStyle w:val="null3"/>
            </w:pPr>
            <w:r>
              <w:rPr>
                <w:rFonts w:ascii="仿宋_GB2312" w:hAnsi="仿宋_GB2312" w:cs="仿宋_GB2312" w:eastAsia="仿宋_GB2312"/>
              </w:rPr>
              <w:t>一、评审内容 供应商针对本项目保密保障方案，内容包含： ①可能涉及的失泄密风险评估； ②保密管理制度 ③保密保障措施。 二、评审标准 1、完整性：意见或建议必须全面，有详细描述； 2、可实施性：切合本项目实际情况，提出步骤清晰、合理的方案； 3、针对性：意见能够紧扣项目实际情况，内容科学合理； 三、赋分标准 以上评审内容，满足一项得1分，每有一子项有缺陷或不完全满足扣0.5分，不得负分，缺项不得分。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项目负责人职称</w:t>
            </w:r>
          </w:p>
        </w:tc>
        <w:tc>
          <w:tcPr>
            <w:tcW w:type="dxa" w:w="2492"/>
          </w:tcPr>
          <w:p>
            <w:pPr>
              <w:pStyle w:val="null3"/>
            </w:pPr>
            <w:r>
              <w:rPr>
                <w:rFonts w:ascii="仿宋_GB2312" w:hAnsi="仿宋_GB2312" w:cs="仿宋_GB2312" w:eastAsia="仿宋_GB2312"/>
              </w:rPr>
              <w:t>项目负责人具有水利类高级职称，得2分；否则不得分；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项目负责人简况表.docx</w:t>
            </w:r>
          </w:p>
        </w:tc>
      </w:tr>
      <w:tr>
        <w:tc>
          <w:tcPr>
            <w:tcW w:type="dxa" w:w="831"/>
            <w:vMerge/>
          </w:tcPr>
          <w:p/>
        </w:tc>
        <w:tc>
          <w:tcPr>
            <w:tcW w:type="dxa" w:w="1661"/>
          </w:tcPr>
          <w:p>
            <w:pPr>
              <w:pStyle w:val="null3"/>
            </w:pPr>
            <w:r>
              <w:rPr>
                <w:rFonts w:ascii="仿宋_GB2312" w:hAnsi="仿宋_GB2312" w:cs="仿宋_GB2312" w:eastAsia="仿宋_GB2312"/>
              </w:rPr>
              <w:t>团队人员配套</w:t>
            </w:r>
          </w:p>
        </w:tc>
        <w:tc>
          <w:tcPr>
            <w:tcW w:type="dxa" w:w="2492"/>
          </w:tcPr>
          <w:p>
            <w:pPr>
              <w:pStyle w:val="null3"/>
            </w:pPr>
            <w:r>
              <w:rPr>
                <w:rFonts w:ascii="仿宋_GB2312" w:hAnsi="仿宋_GB2312" w:cs="仿宋_GB2312" w:eastAsia="仿宋_GB2312"/>
              </w:rPr>
              <w:t>团队其他人员具有水利相关专业高级或以上职称每1人得1分，中级职称每一人得0.5分，其余不得分。总分：8分。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自2022年1月1日以来，具有类似项目业绩，每具有一个得2分，最高8分。 注：提供合同复印件加盖公章，未提供不得分。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2.采用低价优先法计算，即满足磋商文件要求且报价最低的磋商报价为基准价，其价格分为满分15分。 3.磋商报价得分=（磋商基准价/最后磋商报价）×15分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详见附件：项目负责人简况表.docx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详见附件：项目负责人简况表.docx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详见附件：2025年度大中型水库移民后期扶持政策实施情况省级监测评估项目合同模板.docx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