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A19D3">
      <w:pPr>
        <w:pStyle w:val="4"/>
        <w:outlineLvl w:val="2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28"/>
        </w:rPr>
        <w:t>技术、服务标准和要求</w:t>
      </w:r>
    </w:p>
    <w:p w14:paraId="6B0D7E2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7B8D268">
      <w:pPr>
        <w:pStyle w:val="4"/>
      </w:pPr>
      <w:r>
        <w:rPr>
          <w:rFonts w:ascii="仿宋_GB2312" w:hAnsi="仿宋_GB2312" w:eastAsia="仿宋_GB2312" w:cs="仿宋_GB2312"/>
        </w:rPr>
        <w:t>采购包预算金额（元）: 1,159,311.18</w:t>
      </w:r>
    </w:p>
    <w:p w14:paraId="0839ECEC">
      <w:pPr>
        <w:pStyle w:val="4"/>
      </w:pPr>
      <w:r>
        <w:rPr>
          <w:rFonts w:ascii="仿宋_GB2312" w:hAnsi="仿宋_GB2312" w:eastAsia="仿宋_GB2312" w:cs="仿宋_GB2312"/>
        </w:rPr>
        <w:t>采购包最高限价（元）: 1,044,351.23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416"/>
        <w:gridCol w:w="1384"/>
        <w:gridCol w:w="1384"/>
      </w:tblGrid>
      <w:tr w14:paraId="7888D8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A4508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1C44B0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1163EE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350422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49D45E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5892DD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7A257E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2063E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004109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西安工业大学17号学生公寓项目建设用地范围内文物勘探前现场表层清理</w:t>
            </w:r>
          </w:p>
        </w:tc>
        <w:tc>
          <w:tcPr>
            <w:tcW w:w="1384" w:type="dxa"/>
          </w:tcPr>
          <w:p w14:paraId="4960D21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5E0D4EE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1,159,311.18</w:t>
            </w:r>
          </w:p>
        </w:tc>
        <w:tc>
          <w:tcPr>
            <w:tcW w:w="1384" w:type="dxa"/>
          </w:tcPr>
          <w:p w14:paraId="476055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4B825F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02C2AC4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CA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2026-07-21T06:34:57Z</dcterms:created>
  <dc:creator>Administrator</dc:creator>
  <cp:lastModifiedBy>中技招标</cp:lastModifiedBy>
  <dcterms:modified xsi:type="dcterms:W3CDTF">2026-07-21T06:35:04Z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eyJoZGlkIjoiNzIxNWM4ZTcxZjU5YjJhMzlkYmE1ZmEzN2RjZTZjYjYiLCJ1c2VySWQiOiIxODU2MTgzMzg1In0=</vt:lpwstr>
  </property>
  <property fmtid="{D5CDD505-2E9C-101B-9397-08002B2CF9AE}" pid="4" name="ICV">
    <vt:lpwstr>83D038938CEC4BA8BE3848981156269E_12</vt:lpwstr>
  </property>
</Properties>
</file>