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5DFD0C">
      <w:pPr>
        <w:pStyle w:val="4"/>
        <w:jc w:val="center"/>
        <w:rPr>
          <w:rFonts w:hint="eastAsia" w:ascii="仿宋_GB2312" w:hAnsi="仿宋_GB2312" w:eastAsia="仿宋_GB2312" w:cs="仿宋_GB2312"/>
          <w:b/>
          <w:sz w:val="36"/>
          <w:szCs w:val="36"/>
          <w:lang w:val="en-US" w:eastAsia="zh-CN"/>
        </w:rPr>
      </w:pPr>
      <w:r>
        <w:rPr>
          <w:rFonts w:hint="eastAsia" w:ascii="仿宋_GB2312" w:hAnsi="仿宋_GB2312" w:eastAsia="仿宋_GB2312" w:cs="仿宋_GB2312"/>
          <w:b/>
          <w:sz w:val="36"/>
          <w:szCs w:val="36"/>
          <w:lang w:val="en-US" w:eastAsia="zh-CN"/>
        </w:rPr>
        <w:t>采购需求</w:t>
      </w:r>
      <w:bookmarkStart w:id="0" w:name="_GoBack"/>
      <w:bookmarkEnd w:id="0"/>
    </w:p>
    <w:p w14:paraId="402054E8">
      <w:pPr>
        <w:pStyle w:val="4"/>
      </w:pPr>
      <w:r>
        <w:rPr>
          <w:rFonts w:ascii="仿宋_GB2312" w:hAnsi="仿宋_GB2312" w:eastAsia="仿宋_GB2312" w:cs="仿宋_GB2312"/>
          <w:b/>
          <w:sz w:val="24"/>
        </w:rPr>
        <w:t>一、采购内容及标准概述</w:t>
      </w:r>
    </w:p>
    <w:p w14:paraId="0C0C13D1">
      <w:pPr>
        <w:pStyle w:val="4"/>
      </w:pPr>
      <w:r>
        <w:rPr>
          <w:rFonts w:ascii="仿宋_GB2312" w:hAnsi="仿宋_GB2312" w:eastAsia="仿宋_GB2312" w:cs="仿宋_GB2312"/>
          <w:sz w:val="24"/>
        </w:rPr>
        <w:t>（1）采购内容：西安科技大学智能现代实验技术研究共享中心（以下简称实验共享中心）文化建设服务项目包含：根据甲方提供的现场照片、部分设计样例图片、楼栋一层平面图、部分开间分割图等资料，按要求完善和深化实验共享中心整层公区的文化建设设计方案、一层正门门厅视觉展示模块的设计、部分开间内部分隔及过道地面改造等，以及前述所有项目的施工图纸制作、工艺说明及项目实施服务等。</w:t>
      </w:r>
    </w:p>
    <w:p w14:paraId="071700F9">
      <w:pPr>
        <w:pStyle w:val="4"/>
      </w:pPr>
      <w:r>
        <w:rPr>
          <w:rFonts w:ascii="仿宋_GB2312" w:hAnsi="仿宋_GB2312" w:eastAsia="仿宋_GB2312" w:cs="仿宋_GB2312"/>
          <w:sz w:val="24"/>
        </w:rPr>
        <w:t>（2）总体要求：需按甲方要求及样例风格完成设计方案，并根据平面图或供应商现场勘察的尺寸，完成施工图纸尺寸标注及工艺说明等内容；完成前述项目的落地实施服务；根据部分开间分割图完成开间隔断和过道地面改造实施等内容。</w:t>
      </w:r>
    </w:p>
    <w:p w14:paraId="17242993">
      <w:pPr>
        <w:pStyle w:val="4"/>
      </w:pPr>
      <w:r>
        <w:rPr>
          <w:rFonts w:ascii="仿宋_GB2312" w:hAnsi="仿宋_GB2312" w:eastAsia="仿宋_GB2312" w:cs="仿宋_GB2312"/>
          <w:sz w:val="24"/>
        </w:rPr>
        <w:t>（3）服务标准：按照技术要求的各项内容完成实验共享中心文化建设服务项目的对应工作，此外需安排专人负责对接工作，所用配套产品要符合文化建设的具体要求。</w:t>
      </w:r>
    </w:p>
    <w:p w14:paraId="7D50E618">
      <w:pPr>
        <w:pStyle w:val="4"/>
      </w:pPr>
      <w:r>
        <w:rPr>
          <w:rFonts w:ascii="仿宋_GB2312" w:hAnsi="仿宋_GB2312" w:eastAsia="仿宋_GB2312" w:cs="仿宋_GB2312"/>
          <w:b/>
          <w:sz w:val="24"/>
        </w:rPr>
        <w:t>二、技术要求</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69"/>
        <w:gridCol w:w="1482"/>
        <w:gridCol w:w="4580"/>
        <w:gridCol w:w="1482"/>
      </w:tblGrid>
      <w:tr w14:paraId="0439F2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2F979E8">
            <w:pPr>
              <w:pStyle w:val="4"/>
            </w:pPr>
            <w:r>
              <w:rPr>
                <w:rFonts w:ascii="仿宋_GB2312" w:hAnsi="仿宋_GB2312" w:eastAsia="仿宋_GB2312" w:cs="仿宋_GB2312"/>
                <w:b/>
                <w:sz w:val="24"/>
              </w:rPr>
              <w:t>序号</w:t>
            </w:r>
          </w:p>
        </w:tc>
        <w:tc>
          <w:tcPr>
            <w:tcW w:w="870"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06ECDF">
            <w:pPr>
              <w:pStyle w:val="4"/>
            </w:pPr>
            <w:r>
              <w:rPr>
                <w:rFonts w:ascii="仿宋_GB2312" w:hAnsi="仿宋_GB2312" w:eastAsia="仿宋_GB2312" w:cs="仿宋_GB2312"/>
                <w:b/>
                <w:sz w:val="24"/>
              </w:rPr>
              <w:t>名称</w:t>
            </w:r>
          </w:p>
        </w:tc>
        <w:tc>
          <w:tcPr>
            <w:tcW w:w="2689"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F633326">
            <w:pPr>
              <w:pStyle w:val="4"/>
            </w:pPr>
            <w:r>
              <w:rPr>
                <w:rFonts w:ascii="仿宋_GB2312" w:hAnsi="仿宋_GB2312" w:eastAsia="仿宋_GB2312" w:cs="仿宋_GB2312"/>
                <w:b/>
                <w:sz w:val="24"/>
              </w:rPr>
              <w:t>技术参数要求</w:t>
            </w:r>
          </w:p>
        </w:tc>
        <w:tc>
          <w:tcPr>
            <w:tcW w:w="870"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F644D82">
            <w:pPr>
              <w:pStyle w:val="4"/>
            </w:pPr>
            <w:r>
              <w:rPr>
                <w:rFonts w:ascii="仿宋_GB2312" w:hAnsi="仿宋_GB2312" w:eastAsia="仿宋_GB2312" w:cs="仿宋_GB2312"/>
                <w:b/>
                <w:sz w:val="24"/>
              </w:rPr>
              <w:t>数</w:t>
            </w:r>
            <w:r>
              <w:rPr>
                <w:rFonts w:ascii="仿宋_GB2312" w:hAnsi="仿宋_GB2312" w:eastAsia="仿宋_GB2312" w:cs="仿宋_GB2312"/>
                <w:b/>
                <w:sz w:val="19"/>
              </w:rPr>
              <w:t xml:space="preserve"> </w:t>
            </w:r>
            <w:r>
              <w:rPr>
                <w:rFonts w:ascii="仿宋_GB2312" w:hAnsi="仿宋_GB2312" w:eastAsia="仿宋_GB2312" w:cs="仿宋_GB2312"/>
                <w:b/>
                <w:sz w:val="24"/>
              </w:rPr>
              <w:t>量</w:t>
            </w:r>
          </w:p>
        </w:tc>
      </w:tr>
      <w:tr w14:paraId="4BA611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06FCB1">
            <w:pPr>
              <w:pStyle w:val="4"/>
            </w:pPr>
            <w:r>
              <w:rPr>
                <w:rFonts w:ascii="仿宋_GB2312" w:hAnsi="仿宋_GB2312" w:eastAsia="仿宋_GB2312" w:cs="仿宋_GB2312"/>
                <w:sz w:val="24"/>
              </w:rPr>
              <w:t>1</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73A432C">
            <w:pPr>
              <w:pStyle w:val="4"/>
            </w:pPr>
            <w:r>
              <w:rPr>
                <w:rFonts w:ascii="仿宋_GB2312" w:hAnsi="仿宋_GB2312" w:eastAsia="仿宋_GB2312" w:cs="仿宋_GB2312"/>
                <w:sz w:val="24"/>
              </w:rPr>
              <w:t>公区文化建设设计方案完善及深化</w:t>
            </w:r>
          </w:p>
        </w:tc>
        <w:tc>
          <w:tcPr>
            <w:tcW w:w="26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F27DD1">
            <w:pPr>
              <w:pStyle w:val="4"/>
              <w:jc w:val="left"/>
            </w:pPr>
            <w:r>
              <w:rPr>
                <w:rFonts w:ascii="仿宋_GB2312" w:hAnsi="仿宋_GB2312" w:eastAsia="仿宋_GB2312" w:cs="仿宋_GB2312"/>
                <w:sz w:val="24"/>
              </w:rPr>
              <w:t>1、大厅形象墙设计（立体造型，需包含≥6组物品陈列展示柜），≥2张效果图；</w:t>
            </w:r>
          </w:p>
          <w:p w14:paraId="749CCDF2">
            <w:pPr>
              <w:pStyle w:val="4"/>
              <w:jc w:val="left"/>
            </w:pPr>
            <w:r>
              <w:rPr>
                <w:rFonts w:ascii="仿宋_GB2312" w:hAnsi="仿宋_GB2312" w:eastAsia="仿宋_GB2312" w:cs="仿宋_GB2312"/>
                <w:sz w:val="24"/>
              </w:rPr>
              <w:t>2、南北主通道形象墙设计（立体造型），≥4张效果图；</w:t>
            </w:r>
          </w:p>
          <w:p w14:paraId="6884BDED">
            <w:pPr>
              <w:pStyle w:val="4"/>
              <w:jc w:val="left"/>
            </w:pPr>
            <w:r>
              <w:rPr>
                <w:rFonts w:ascii="仿宋_GB2312" w:hAnsi="仿宋_GB2312" w:eastAsia="仿宋_GB2312" w:cs="仿宋_GB2312"/>
                <w:sz w:val="24"/>
              </w:rPr>
              <w:t>3、东西方向两侧主通道形象墙设计（需包含2处休息区+1处茶吧区），≥4张效果图；</w:t>
            </w:r>
          </w:p>
          <w:p w14:paraId="49C03EC9">
            <w:pPr>
              <w:pStyle w:val="4"/>
              <w:jc w:val="left"/>
            </w:pPr>
            <w:r>
              <w:rPr>
                <w:rFonts w:ascii="仿宋_GB2312" w:hAnsi="仿宋_GB2312" w:eastAsia="仿宋_GB2312" w:cs="仿宋_GB2312"/>
                <w:sz w:val="24"/>
              </w:rPr>
              <w:t>4、其余通道及过道文化展示设计，≥4张效果图；</w:t>
            </w:r>
          </w:p>
          <w:p w14:paraId="35251B84">
            <w:pPr>
              <w:pStyle w:val="4"/>
              <w:jc w:val="left"/>
            </w:pPr>
            <w:r>
              <w:rPr>
                <w:rFonts w:ascii="仿宋_GB2312" w:hAnsi="仿宋_GB2312" w:eastAsia="仿宋_GB2312" w:cs="仿宋_GB2312"/>
                <w:sz w:val="24"/>
              </w:rPr>
              <w:t>5、导视系统设计：门牌、导视牌、吊牌、温馨提示等≥4张效果图；</w:t>
            </w:r>
          </w:p>
          <w:p w14:paraId="1E517518">
            <w:pPr>
              <w:pStyle w:val="4"/>
              <w:jc w:val="left"/>
            </w:pPr>
            <w:r>
              <w:rPr>
                <w:rFonts w:ascii="仿宋_GB2312" w:hAnsi="仿宋_GB2312" w:eastAsia="仿宋_GB2312" w:cs="仿宋_GB2312"/>
                <w:sz w:val="24"/>
              </w:rPr>
              <w:t>6、公区玻璃装饰设计，≥2张效果图；</w:t>
            </w:r>
          </w:p>
          <w:p w14:paraId="347BB8C9">
            <w:pPr>
              <w:pStyle w:val="4"/>
              <w:jc w:val="left"/>
            </w:pPr>
            <w:r>
              <w:rPr>
                <w:rFonts w:ascii="仿宋_GB2312" w:hAnsi="仿宋_GB2312" w:eastAsia="仿宋_GB2312" w:cs="仿宋_GB2312"/>
                <w:sz w:val="24"/>
              </w:rPr>
              <w:t>7、灯光装饰：</w:t>
            </w:r>
          </w:p>
          <w:p w14:paraId="6C811B97">
            <w:pPr>
              <w:pStyle w:val="4"/>
              <w:jc w:val="left"/>
            </w:pPr>
            <w:r>
              <w:rPr>
                <w:rFonts w:ascii="仿宋_GB2312" w:hAnsi="仿宋_GB2312" w:eastAsia="仿宋_GB2312" w:cs="仿宋_GB2312"/>
                <w:sz w:val="24"/>
              </w:rPr>
              <w:t>LED轨道射灯≥20个，功率≥20W，色温4000K</w:t>
            </w:r>
          </w:p>
          <w:p w14:paraId="4B9DB4EE">
            <w:pPr>
              <w:pStyle w:val="4"/>
              <w:jc w:val="left"/>
            </w:pPr>
            <w:r>
              <w:rPr>
                <w:rFonts w:ascii="仿宋_GB2312" w:hAnsi="仿宋_GB2312" w:eastAsia="仿宋_GB2312" w:cs="仿宋_GB2312"/>
                <w:sz w:val="24"/>
              </w:rPr>
              <w:t>LED软灯带≥1100米，功率≥10W，色温4000K；</w:t>
            </w:r>
          </w:p>
          <w:p w14:paraId="5B434F56">
            <w:pPr>
              <w:pStyle w:val="4"/>
              <w:jc w:val="left"/>
            </w:pPr>
            <w:r>
              <w:rPr>
                <w:rFonts w:ascii="仿宋_GB2312" w:hAnsi="仿宋_GB2312" w:eastAsia="仿宋_GB2312" w:cs="仿宋_GB2312"/>
                <w:sz w:val="24"/>
              </w:rPr>
              <w:t>8、壁布选择；</w:t>
            </w:r>
          </w:p>
          <w:p w14:paraId="76F52BD8">
            <w:pPr>
              <w:pStyle w:val="4"/>
              <w:jc w:val="left"/>
            </w:pPr>
            <w:r>
              <w:rPr>
                <w:rFonts w:ascii="仿宋_GB2312" w:hAnsi="仿宋_GB2312" w:eastAsia="仿宋_GB2312" w:cs="仿宋_GB2312"/>
                <w:sz w:val="24"/>
              </w:rPr>
              <w:t>9、完成以上项目所需包含的人工费、运费、设计费、图纸费以及落地实施本项目所需的所有物料费用。</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C1604A">
            <w:pPr>
              <w:pStyle w:val="4"/>
            </w:pPr>
            <w:r>
              <w:rPr>
                <w:rFonts w:ascii="仿宋_GB2312" w:hAnsi="仿宋_GB2312" w:eastAsia="仿宋_GB2312" w:cs="仿宋_GB2312"/>
                <w:sz w:val="24"/>
              </w:rPr>
              <w:t>1800㎡</w:t>
            </w:r>
          </w:p>
        </w:tc>
      </w:tr>
      <w:tr w14:paraId="4F6BF7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8D26B3">
            <w:pPr>
              <w:pStyle w:val="4"/>
            </w:pPr>
            <w:r>
              <w:rPr>
                <w:rFonts w:ascii="仿宋_GB2312" w:hAnsi="仿宋_GB2312" w:eastAsia="仿宋_GB2312" w:cs="仿宋_GB2312"/>
                <w:sz w:val="24"/>
              </w:rPr>
              <w:t>2</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7FBDF7">
            <w:pPr>
              <w:pStyle w:val="4"/>
            </w:pPr>
            <w:r>
              <w:rPr>
                <w:rFonts w:ascii="仿宋_GB2312" w:hAnsi="仿宋_GB2312" w:eastAsia="仿宋_GB2312" w:cs="仿宋_GB2312"/>
                <w:sz w:val="24"/>
              </w:rPr>
              <w:t>一层正门门厅视觉展示模块</w:t>
            </w:r>
          </w:p>
        </w:tc>
        <w:tc>
          <w:tcPr>
            <w:tcW w:w="26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7491DC7C">
            <w:pPr>
              <w:pStyle w:val="4"/>
              <w:jc w:val="left"/>
            </w:pPr>
            <w:r>
              <w:rPr>
                <w:rFonts w:ascii="仿宋_GB2312" w:hAnsi="仿宋_GB2312" w:eastAsia="仿宋_GB2312" w:cs="仿宋_GB2312"/>
                <w:sz w:val="24"/>
              </w:rPr>
              <w:t>1、显示模块（LED显示屏）：长3.9m,宽2m；P1.86全彩显示；控制系统1套；15KW配电系统1套；</w:t>
            </w:r>
            <w:r>
              <w:br w:type="textWrapping"/>
            </w:r>
            <w:r>
              <w:rPr>
                <w:rFonts w:ascii="仿宋_GB2312" w:hAnsi="仿宋_GB2312" w:eastAsia="仿宋_GB2312" w:cs="仿宋_GB2312"/>
                <w:sz w:val="24"/>
              </w:rPr>
              <w:t>2、展示模块配套框架及周边形象导视系统设计，需提供彩色效果图≥1张。</w:t>
            </w:r>
          </w:p>
          <w:p w14:paraId="091F900C">
            <w:pPr>
              <w:pStyle w:val="4"/>
              <w:jc w:val="left"/>
            </w:pPr>
            <w:r>
              <w:rPr>
                <w:rFonts w:ascii="仿宋_GB2312" w:hAnsi="仿宋_GB2312" w:eastAsia="仿宋_GB2312" w:cs="仿宋_GB2312"/>
                <w:sz w:val="24"/>
              </w:rPr>
              <w:t>3、壁布选择；</w:t>
            </w:r>
          </w:p>
          <w:p w14:paraId="39F1E6FF">
            <w:pPr>
              <w:pStyle w:val="4"/>
              <w:jc w:val="left"/>
            </w:pPr>
            <w:r>
              <w:rPr>
                <w:rFonts w:ascii="仿宋_GB2312" w:hAnsi="仿宋_GB2312" w:eastAsia="仿宋_GB2312" w:cs="仿宋_GB2312"/>
                <w:sz w:val="24"/>
              </w:rPr>
              <w:t>4、完成以上项目所需包含的人工费、运费、设计费、图纸费以及落地实施本项目所需的所有物料费用（壁布等）。</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42FF8E2">
            <w:pPr>
              <w:pStyle w:val="4"/>
            </w:pPr>
            <w:r>
              <w:rPr>
                <w:rFonts w:ascii="仿宋_GB2312" w:hAnsi="仿宋_GB2312" w:eastAsia="仿宋_GB2312" w:cs="仿宋_GB2312"/>
                <w:sz w:val="24"/>
              </w:rPr>
              <w:t>1组</w:t>
            </w:r>
          </w:p>
        </w:tc>
      </w:tr>
      <w:tr w14:paraId="2FC02D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D6BACB">
            <w:pPr>
              <w:pStyle w:val="4"/>
            </w:pPr>
            <w:r>
              <w:rPr>
                <w:rFonts w:ascii="仿宋_GB2312" w:hAnsi="仿宋_GB2312" w:eastAsia="仿宋_GB2312" w:cs="仿宋_GB2312"/>
                <w:sz w:val="24"/>
              </w:rPr>
              <w:t>3</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1B44505">
            <w:pPr>
              <w:pStyle w:val="4"/>
            </w:pPr>
            <w:r>
              <w:rPr>
                <w:rFonts w:ascii="仿宋_GB2312" w:hAnsi="仿宋_GB2312" w:eastAsia="仿宋_GB2312" w:cs="仿宋_GB2312"/>
                <w:sz w:val="24"/>
              </w:rPr>
              <w:t>开间内部分隔深化设计</w:t>
            </w:r>
          </w:p>
        </w:tc>
        <w:tc>
          <w:tcPr>
            <w:tcW w:w="26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21905B">
            <w:pPr>
              <w:pStyle w:val="4"/>
              <w:jc w:val="left"/>
            </w:pPr>
            <w:r>
              <w:rPr>
                <w:rFonts w:ascii="仿宋_GB2312" w:hAnsi="仿宋_GB2312" w:eastAsia="仿宋_GB2312" w:cs="仿宋_GB2312"/>
                <w:sz w:val="24"/>
              </w:rPr>
              <w:t>1、铝合金隔断型材：主立柱/横框≥80mm×80mm，壁厚≥1.2mm。</w:t>
            </w:r>
          </w:p>
          <w:p w14:paraId="60C64298">
            <w:pPr>
              <w:pStyle w:val="4"/>
              <w:jc w:val="left"/>
            </w:pPr>
            <w:r>
              <w:rPr>
                <w:rFonts w:ascii="仿宋_GB2312" w:hAnsi="仿宋_GB2312" w:eastAsia="仿宋_GB2312" w:cs="仿宋_GB2312"/>
                <w:sz w:val="24"/>
              </w:rPr>
              <w:t>2、≥6mm厚钢化有机玻璃+25mm铝制百叶+≥6mm厚钢化有机玻璃。</w:t>
            </w:r>
          </w:p>
          <w:p w14:paraId="317F0BAF">
            <w:pPr>
              <w:pStyle w:val="4"/>
              <w:jc w:val="left"/>
            </w:pPr>
            <w:r>
              <w:rPr>
                <w:rFonts w:ascii="仿宋_GB2312" w:hAnsi="仿宋_GB2312" w:eastAsia="仿宋_GB2312" w:cs="仿宋_GB2312"/>
                <w:sz w:val="24"/>
              </w:rPr>
              <w:t>3、5樘门，门洞尺寸：1600mm×2225mm，玻璃厚度≥12mm。</w:t>
            </w:r>
          </w:p>
          <w:p w14:paraId="11914E8D">
            <w:pPr>
              <w:pStyle w:val="4"/>
              <w:jc w:val="left"/>
            </w:pPr>
            <w:r>
              <w:rPr>
                <w:rFonts w:ascii="仿宋_GB2312" w:hAnsi="仿宋_GB2312" w:eastAsia="仿宋_GB2312" w:cs="仿宋_GB2312"/>
                <w:sz w:val="24"/>
              </w:rPr>
              <w:t>4、轻质隔墙：轻钢龙骨边框、骨架，双层双面≥9.5mm石膏板，内置岩棉。</w:t>
            </w:r>
          </w:p>
          <w:p w14:paraId="25F185ED">
            <w:pPr>
              <w:pStyle w:val="4"/>
              <w:jc w:val="left"/>
            </w:pPr>
            <w:r>
              <w:rPr>
                <w:rFonts w:ascii="仿宋_GB2312" w:hAnsi="仿宋_GB2312" w:eastAsia="仿宋_GB2312" w:cs="仿宋_GB2312"/>
                <w:sz w:val="24"/>
              </w:rPr>
              <w:t>5、配套拉手、地锁等五金配件及安装、人工费、运费、设计费。</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EA8ABD">
            <w:pPr>
              <w:pStyle w:val="4"/>
            </w:pPr>
            <w:r>
              <w:rPr>
                <w:rFonts w:ascii="仿宋_GB2312" w:hAnsi="仿宋_GB2312" w:eastAsia="仿宋_GB2312" w:cs="仿宋_GB2312"/>
                <w:sz w:val="24"/>
              </w:rPr>
              <w:t>290㎡</w:t>
            </w:r>
          </w:p>
        </w:tc>
      </w:tr>
      <w:tr w14:paraId="002051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7FBA1B">
            <w:pPr>
              <w:pStyle w:val="4"/>
            </w:pPr>
            <w:r>
              <w:rPr>
                <w:rFonts w:ascii="仿宋_GB2312" w:hAnsi="仿宋_GB2312" w:eastAsia="仿宋_GB2312" w:cs="仿宋_GB2312"/>
                <w:sz w:val="24"/>
              </w:rPr>
              <w:t>4</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6435913">
            <w:pPr>
              <w:pStyle w:val="4"/>
            </w:pPr>
            <w:r>
              <w:rPr>
                <w:rFonts w:ascii="仿宋_GB2312" w:hAnsi="仿宋_GB2312" w:eastAsia="仿宋_GB2312" w:cs="仿宋_GB2312"/>
                <w:sz w:val="24"/>
              </w:rPr>
              <w:t>隔断过道地面改造</w:t>
            </w:r>
          </w:p>
        </w:tc>
        <w:tc>
          <w:tcPr>
            <w:tcW w:w="26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04FD992C">
            <w:pPr>
              <w:pStyle w:val="4"/>
              <w:jc w:val="left"/>
            </w:pPr>
            <w:r>
              <w:rPr>
                <w:rFonts w:ascii="仿宋_GB2312" w:hAnsi="仿宋_GB2312" w:eastAsia="仿宋_GB2312" w:cs="仿宋_GB2312"/>
                <w:sz w:val="24"/>
              </w:rPr>
              <w:t>1、拆除原有踢脚线至基层，做10mm基层水泥砂浆抹灰处理；</w:t>
            </w:r>
          </w:p>
          <w:p w14:paraId="2E29B35B">
            <w:pPr>
              <w:pStyle w:val="4"/>
              <w:jc w:val="left"/>
            </w:pPr>
            <w:r>
              <w:rPr>
                <w:rFonts w:ascii="仿宋_GB2312" w:hAnsi="仿宋_GB2312" w:eastAsia="仿宋_GB2312" w:cs="仿宋_GB2312"/>
                <w:sz w:val="24"/>
              </w:rPr>
              <w:t>2、整体高度≥10mm，≥1.2mm厚黑钛不锈钢踢脚线，内置12mm厚阻燃板。</w:t>
            </w:r>
          </w:p>
          <w:p w14:paraId="0B75B24E">
            <w:pPr>
              <w:pStyle w:val="4"/>
              <w:jc w:val="left"/>
            </w:pPr>
            <w:r>
              <w:rPr>
                <w:rFonts w:ascii="仿宋_GB2312" w:hAnsi="仿宋_GB2312" w:eastAsia="仿宋_GB2312" w:cs="仿宋_GB2312"/>
                <w:sz w:val="24"/>
              </w:rPr>
              <w:t>3、≥4mm厚防水、阻燃型塑胶地板</w:t>
            </w:r>
          </w:p>
          <w:p w14:paraId="7C1FCF8A">
            <w:pPr>
              <w:pStyle w:val="4"/>
              <w:jc w:val="left"/>
            </w:pPr>
            <w:r>
              <w:rPr>
                <w:rFonts w:ascii="仿宋_GB2312" w:hAnsi="仿宋_GB2312" w:eastAsia="仿宋_GB2312" w:cs="仿宋_GB2312"/>
                <w:sz w:val="24"/>
              </w:rPr>
              <w:t>4、含设计、制作、安装、人工费、运费、设计费。</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E0A9D68">
            <w:pPr>
              <w:pStyle w:val="4"/>
            </w:pPr>
            <w:r>
              <w:rPr>
                <w:rFonts w:ascii="仿宋_GB2312" w:hAnsi="仿宋_GB2312" w:eastAsia="仿宋_GB2312" w:cs="仿宋_GB2312"/>
                <w:sz w:val="24"/>
              </w:rPr>
              <w:t>260㎡</w:t>
            </w:r>
          </w:p>
        </w:tc>
      </w:tr>
      <w:tr w14:paraId="4D06E4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4D51BA">
            <w:pPr>
              <w:pStyle w:val="4"/>
            </w:pPr>
            <w:r>
              <w:rPr>
                <w:rFonts w:ascii="仿宋_GB2312" w:hAnsi="仿宋_GB2312" w:eastAsia="仿宋_GB2312" w:cs="仿宋_GB2312"/>
                <w:sz w:val="24"/>
              </w:rPr>
              <w:t>5</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0773770">
            <w:pPr>
              <w:pStyle w:val="4"/>
            </w:pPr>
            <w:r>
              <w:rPr>
                <w:rFonts w:ascii="仿宋_GB2312" w:hAnsi="仿宋_GB2312" w:eastAsia="仿宋_GB2312" w:cs="仿宋_GB2312"/>
                <w:sz w:val="24"/>
              </w:rPr>
              <w:t>配套桌椅及其它</w:t>
            </w:r>
          </w:p>
        </w:tc>
        <w:tc>
          <w:tcPr>
            <w:tcW w:w="26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25294D">
            <w:pPr>
              <w:pStyle w:val="4"/>
              <w:jc w:val="left"/>
            </w:pPr>
            <w:r>
              <w:rPr>
                <w:rFonts w:ascii="仿宋_GB2312" w:hAnsi="仿宋_GB2312" w:eastAsia="仿宋_GB2312" w:cs="仿宋_GB2312"/>
                <w:sz w:val="24"/>
              </w:rPr>
              <w:t>（1）两个休息区，每个休息区需配备≥2组布艺钢木结构咖啡桌椅（1桌4椅为一组）</w:t>
            </w:r>
          </w:p>
          <w:p w14:paraId="02E5BEE8">
            <w:pPr>
              <w:pStyle w:val="4"/>
              <w:jc w:val="left"/>
            </w:pPr>
            <w:r>
              <w:rPr>
                <w:rFonts w:ascii="仿宋_GB2312" w:hAnsi="仿宋_GB2312" w:eastAsia="仿宋_GB2312" w:cs="仿宋_GB2312"/>
                <w:sz w:val="24"/>
              </w:rPr>
              <w:t>（2）茶吧区需配置≥长2800mm×宽300mm，厚30mm钢架支撑木质吧台1组，钢木吧椅4把</w:t>
            </w:r>
          </w:p>
          <w:p w14:paraId="3B7626E4">
            <w:pPr>
              <w:pStyle w:val="4"/>
              <w:jc w:val="left"/>
            </w:pPr>
            <w:r>
              <w:rPr>
                <w:rFonts w:ascii="仿宋_GB2312" w:hAnsi="仿宋_GB2312" w:eastAsia="仿宋_GB2312" w:cs="仿宋_GB2312"/>
                <w:sz w:val="24"/>
              </w:rPr>
              <w:t>（3）阅读沙发区需配置≥2组布艺钢木结构阅读沙发（1桌+4个单人沙发为一组）</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B02CF1">
            <w:pPr>
              <w:pStyle w:val="4"/>
            </w:pPr>
            <w:r>
              <w:rPr>
                <w:rFonts w:ascii="仿宋_GB2312" w:hAnsi="仿宋_GB2312" w:eastAsia="仿宋_GB2312" w:cs="仿宋_GB2312"/>
                <w:sz w:val="24"/>
              </w:rPr>
              <w:t>5组</w:t>
            </w:r>
          </w:p>
        </w:tc>
      </w:tr>
      <w:tr w14:paraId="023EA6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14F25F">
            <w:pPr>
              <w:pStyle w:val="4"/>
            </w:pPr>
            <w:r>
              <w:rPr>
                <w:rFonts w:ascii="仿宋_GB2312" w:hAnsi="仿宋_GB2312" w:eastAsia="仿宋_GB2312" w:cs="仿宋_GB2312"/>
                <w:sz w:val="24"/>
              </w:rPr>
              <w:t>6</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F885F1">
            <w:pPr>
              <w:pStyle w:val="4"/>
            </w:pPr>
            <w:r>
              <w:rPr>
                <w:rFonts w:ascii="仿宋_GB2312" w:hAnsi="仿宋_GB2312" w:eastAsia="仿宋_GB2312" w:cs="仿宋_GB2312"/>
                <w:sz w:val="24"/>
              </w:rPr>
              <w:t>设计（施工）图纸</w:t>
            </w:r>
          </w:p>
        </w:tc>
        <w:tc>
          <w:tcPr>
            <w:tcW w:w="26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30E2519C">
            <w:pPr>
              <w:pStyle w:val="4"/>
              <w:jc w:val="left"/>
            </w:pPr>
            <w:r>
              <w:rPr>
                <w:rFonts w:ascii="仿宋_GB2312" w:hAnsi="仿宋_GB2312" w:eastAsia="仿宋_GB2312" w:cs="仿宋_GB2312"/>
                <w:sz w:val="24"/>
              </w:rPr>
              <w:t>1、以上项目设计风格需参考设计样例图纸；</w:t>
            </w:r>
          </w:p>
          <w:p w14:paraId="4C4F684D">
            <w:pPr>
              <w:pStyle w:val="4"/>
              <w:jc w:val="left"/>
            </w:pPr>
            <w:r>
              <w:rPr>
                <w:rFonts w:ascii="仿宋_GB2312" w:hAnsi="仿宋_GB2312" w:eastAsia="仿宋_GB2312" w:cs="仿宋_GB2312"/>
                <w:sz w:val="24"/>
              </w:rPr>
              <w:t>2、在设计图纸的基础上制作施工图纸，标明每个部位制作尺寸、工艺、数量等内容。</w:t>
            </w:r>
          </w:p>
        </w:tc>
        <w:tc>
          <w:tcPr>
            <w:tcW w:w="87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0A0D86B">
            <w:pPr>
              <w:pStyle w:val="4"/>
            </w:pPr>
            <w:r>
              <w:rPr>
                <w:rFonts w:ascii="仿宋_GB2312" w:hAnsi="仿宋_GB2312" w:eastAsia="仿宋_GB2312" w:cs="仿宋_GB2312"/>
                <w:sz w:val="24"/>
              </w:rPr>
              <w:t>1项</w:t>
            </w:r>
          </w:p>
        </w:tc>
      </w:tr>
    </w:tbl>
    <w:p w14:paraId="22D65345">
      <w:pPr>
        <w:pStyle w:val="4"/>
      </w:pPr>
      <w:r>
        <w:rPr>
          <w:rFonts w:ascii="仿宋_GB2312" w:hAnsi="仿宋_GB2312" w:eastAsia="仿宋_GB2312" w:cs="仿宋_GB2312"/>
          <w:b/>
          <w:sz w:val="24"/>
        </w:rPr>
        <w:t>三、其他要求</w:t>
      </w:r>
    </w:p>
    <w:p w14:paraId="30687952">
      <w:pPr>
        <w:pStyle w:val="4"/>
      </w:pPr>
      <w:r>
        <w:rPr>
          <w:rFonts w:ascii="仿宋_GB2312" w:hAnsi="仿宋_GB2312" w:eastAsia="仿宋_GB2312" w:cs="仿宋_GB2312"/>
          <w:sz w:val="24"/>
        </w:rPr>
        <w:t>1.质保期：自项目验收合格之日起2年。</w:t>
      </w:r>
    </w:p>
    <w:p w14:paraId="53855C80">
      <w:pPr>
        <w:pStyle w:val="4"/>
      </w:pPr>
      <w:r>
        <w:rPr>
          <w:rFonts w:ascii="仿宋_GB2312" w:hAnsi="仿宋_GB2312" w:eastAsia="仿宋_GB2312" w:cs="仿宋_GB2312"/>
          <w:sz w:val="24"/>
        </w:rPr>
        <w:t>2.售后服务响应时间要求：出现售后服务需求时，乙方需在接到甲方通知后3小时内响应，并于接到通知3天内派人维修。且质保期内涉及更换维修，所产生的费用的均包含在本项目最终报价中。</w:t>
      </w:r>
    </w:p>
    <w:p w14:paraId="7A8B4BCD">
      <w:pPr>
        <w:pStyle w:val="4"/>
      </w:pPr>
      <w:r>
        <w:rPr>
          <w:rFonts w:ascii="仿宋_GB2312" w:hAnsi="仿宋_GB2312" w:eastAsia="仿宋_GB2312" w:cs="仿宋_GB2312"/>
          <w:sz w:val="24"/>
        </w:rPr>
        <w:t>3.本项目需进行现场演示，演示内容包括：大厅、南北通道、公区玻璃装饰，演示效果需结合踏勘情况、学校实际使用需求。不建议响应文件放3Dmax源文件，因此而导致的风险、纠纷，由供应商自行承担。</w:t>
      </w:r>
    </w:p>
    <w:p w14:paraId="7BD5ABBB">
      <w:pPr>
        <w:pStyle w:val="4"/>
      </w:pPr>
      <w:r>
        <w:rPr>
          <w:rFonts w:ascii="仿宋_GB2312" w:hAnsi="仿宋_GB2312" w:eastAsia="仿宋_GB2312" w:cs="仿宋_GB2312"/>
          <w:b/>
          <w:sz w:val="24"/>
        </w:rPr>
        <w:t>四、场地现状照片及图纸（详见附件）</w:t>
      </w:r>
    </w:p>
    <w:p w14:paraId="5BB97ADD">
      <w:pPr>
        <w:pStyle w:val="4"/>
      </w:pPr>
      <w:r>
        <w:rPr>
          <w:rFonts w:ascii="仿宋_GB2312" w:hAnsi="仿宋_GB2312" w:eastAsia="仿宋_GB2312" w:cs="仿宋_GB2312"/>
        </w:rPr>
        <w:t xml:space="preserve"> </w:t>
      </w:r>
    </w:p>
    <w:p w14:paraId="519FD02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8825C9"/>
    <w:rsid w:val="47882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2026-05-22T12:31:00Z</dcterms:created>
  <dc:creator>1</dc:creator>
  <cp:lastModifiedBy>1</cp:lastModifiedBy>
  <dcterms:modified xsi:type="dcterms:W3CDTF">2026-05-22T12:35:42Z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EB91FEE66AAC4358BF82F35BFA7D989E_11</vt:lpwstr>
  </property>
  <property fmtid="{D5CDD505-2E9C-101B-9397-08002B2CF9AE}" pid="4" name="KSOTemplateDocerSaveRecord">
    <vt:lpwstr>eyJoZGlkIjoiZWEyNzBiY2I3ZjdiM2E0YjlkMTk2OGRmNDJkNzk0NTEiLCJ1c2VySWQiOiIxMDE0MTg1NzcyIn0=</vt:lpwstr>
  </property>
</Properties>
</file>