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版本号：ZCXM-华县-2026-0020420260710001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渭南市华州区莲花寺镇2026年村级公益事业建设一事一议项目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ZCXM-华县-2026-00204</w:t>
      </w:r>
      <w:r>
        <w:br/>
      </w:r>
      <w:r>
        <w:br/>
      </w:r>
      <w:r>
        <w:br/>
      </w:r>
    </w:p>
    <w:p>
      <w:pPr>
        <w:pStyle w:val="null3"/>
        <w:jc w:val="center"/>
        <w:outlineLvl w:val="2"/>
      </w:pPr>
      <w:r>
        <w:rPr>
          <w:rFonts w:ascii="仿宋_GB2312" w:hAnsi="仿宋_GB2312" w:cs="仿宋_GB2312" w:eastAsia="仿宋_GB2312"/>
          <w:sz w:val="28"/>
          <w:b/>
        </w:rPr>
        <w:t>渭南市华州区莲花寺镇人民政府</w:t>
      </w:r>
    </w:p>
    <w:p>
      <w:pPr>
        <w:pStyle w:val="null3"/>
        <w:jc w:val="center"/>
        <w:outlineLvl w:val="2"/>
      </w:pPr>
      <w:r>
        <w:rPr>
          <w:rFonts w:ascii="仿宋_GB2312" w:hAnsi="仿宋_GB2312" w:cs="仿宋_GB2312" w:eastAsia="仿宋_GB2312"/>
          <w:sz w:val="28"/>
          <w:b/>
        </w:rPr>
        <w:t>渭南市华州区政府采购中心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渭南市华州区政府采购中心</w:t>
      </w:r>
      <w:r>
        <w:rPr>
          <w:rFonts w:ascii="仿宋_GB2312" w:hAnsi="仿宋_GB2312" w:cs="仿宋_GB2312" w:eastAsia="仿宋_GB2312"/>
        </w:rPr>
        <w:t>（以下简称“代理机构”）受</w:t>
      </w:r>
      <w:r>
        <w:rPr>
          <w:rFonts w:ascii="仿宋_GB2312" w:hAnsi="仿宋_GB2312" w:cs="仿宋_GB2312" w:eastAsia="仿宋_GB2312"/>
        </w:rPr>
        <w:t>渭南市华州区莲花寺镇人民政府</w:t>
      </w:r>
      <w:r>
        <w:rPr>
          <w:rFonts w:ascii="仿宋_GB2312" w:hAnsi="仿宋_GB2312" w:cs="仿宋_GB2312" w:eastAsia="仿宋_GB2312"/>
        </w:rPr>
        <w:t>委托，拟对</w:t>
      </w:r>
      <w:r>
        <w:rPr>
          <w:rFonts w:ascii="仿宋_GB2312" w:hAnsi="仿宋_GB2312" w:cs="仿宋_GB2312" w:eastAsia="仿宋_GB2312"/>
        </w:rPr>
        <w:t>渭南市华州区莲花寺镇2026年村级公益事业建设一事一议项目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ZCXM-华县-2026-00204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渭南市华州区莲花寺镇2026年村级公益事业建设一事一议项目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对莲花寺镇龙潭村、忠义村、高家河村、庄头村、时堡村5个村子现状道路的砼拆除，挖除路基土，对基地碾压整平、新建排水渠等项目。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采购包1（渭南市华州区莲花寺镇2026年村级公益事业建设一事一议项目）：属于专门面向中小企业采购。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2、法定代表人授权委托书：提供法定代表人授权委托书（法定代表人参会提供法定代表人身份证明书）；</w:t>
      </w:r>
    </w:p>
    <w:p>
      <w:pPr>
        <w:pStyle w:val="null3"/>
      </w:pPr>
      <w:r>
        <w:rPr>
          <w:rFonts w:ascii="仿宋_GB2312" w:hAnsi="仿宋_GB2312" w:cs="仿宋_GB2312" w:eastAsia="仿宋_GB2312"/>
        </w:rPr>
        <w:t>3、资质证书：须具备市政公用工程施工总承包三级及以上资质;</w:t>
      </w:r>
    </w:p>
    <w:p>
      <w:pPr>
        <w:pStyle w:val="null3"/>
      </w:pPr>
      <w:r>
        <w:rPr>
          <w:rFonts w:ascii="仿宋_GB2312" w:hAnsi="仿宋_GB2312" w:cs="仿宋_GB2312" w:eastAsia="仿宋_GB2312"/>
        </w:rPr>
        <w:t>4、安全生产许可证：须具有建设行政主管部门核发有效的安全生产许可证;</w:t>
      </w:r>
    </w:p>
    <w:p>
      <w:pPr>
        <w:pStyle w:val="null3"/>
      </w:pPr>
      <w:r>
        <w:rPr>
          <w:rFonts w:ascii="仿宋_GB2312" w:hAnsi="仿宋_GB2312" w:cs="仿宋_GB2312" w:eastAsia="仿宋_GB2312"/>
        </w:rPr>
        <w:t>5、项目经理：拟派项目经理须具备市政工程注册建造师二级及以上资格和有效的安全生产考核证书，须提供项目经理无在建工程的相关证明材料或承诺书;</w:t>
      </w:r>
    </w:p>
    <w:p>
      <w:pPr>
        <w:pStyle w:val="null3"/>
      </w:pPr>
      <w:r>
        <w:rPr>
          <w:rFonts w:ascii="仿宋_GB2312" w:hAnsi="仿宋_GB2312" w:cs="仿宋_GB2312" w:eastAsia="仿宋_GB2312"/>
        </w:rPr>
        <w:t>6、健全的财务会计制度：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7、税收的良好记录：须提供依法缴纳税收的良好记录（提供投标截止时间前六个月内任意一个月份的缴纳凭据复印件并加盖单位公章，依法免税或开标前一年内零申报的供应商应提供相关证明文件）；</w:t>
      </w:r>
    </w:p>
    <w:p>
      <w:pPr>
        <w:pStyle w:val="null3"/>
      </w:pPr>
      <w:r>
        <w:rPr>
          <w:rFonts w:ascii="仿宋_GB2312" w:hAnsi="仿宋_GB2312" w:cs="仿宋_GB2312" w:eastAsia="仿宋_GB2312"/>
        </w:rPr>
        <w:t>8、社会保障资金的良好记录：须提供依法缴纳社会保障资金的良好记录（提供投标截止时间前六个月内任意一个月份的缴纳凭据复印件并加盖单位公章）；</w:t>
      </w:r>
    </w:p>
    <w:p>
      <w:pPr>
        <w:pStyle w:val="null3"/>
      </w:pPr>
      <w:r>
        <w:rPr>
          <w:rFonts w:ascii="仿宋_GB2312" w:hAnsi="仿宋_GB2312" w:cs="仿宋_GB2312" w:eastAsia="仿宋_GB2312"/>
        </w:rPr>
        <w:t>9、网站截图：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p>
      <w:pPr>
        <w:pStyle w:val="null3"/>
      </w:pPr>
      <w:r>
        <w:rPr>
          <w:rFonts w:ascii="仿宋_GB2312" w:hAnsi="仿宋_GB2312" w:cs="仿宋_GB2312" w:eastAsia="仿宋_GB2312"/>
        </w:rPr>
        <w:t>10、书面声明：提供近三年内在经营活动中无重大违法记录的书面声明；</w:t>
      </w:r>
    </w:p>
    <w:p>
      <w:pPr>
        <w:pStyle w:val="null3"/>
      </w:pPr>
      <w:r>
        <w:rPr>
          <w:rFonts w:ascii="仿宋_GB2312" w:hAnsi="仿宋_GB2312" w:cs="仿宋_GB2312" w:eastAsia="仿宋_GB2312"/>
        </w:rPr>
        <w:t>11、书面声明2：提供单位负责人为同一人或者存在直接控股、管理关系的不同供应商，不得参加同一合同项下的政府采购活动的书面声明；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12、履行本合同所必需的设备和专业技术能力的说明及承诺：提供具有履行本合同所必需的设备和专业技术能力的说明及承诺；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渭南市华州区莲花寺镇人民政府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渭南市华州区莲花寺镇人民政府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经办人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13720786608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渭南市华州区政府采购中心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陕西省渭南市华县子仪大街华州区财政局办公楼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18992320968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18609133318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渭南市华州区莲花寺镇人民政府</w:t>
      </w:r>
      <w:r>
        <w:rPr>
          <w:rFonts w:ascii="仿宋_GB2312" w:hAnsi="仿宋_GB2312" w:cs="仿宋_GB2312" w:eastAsia="仿宋_GB2312"/>
        </w:rPr>
        <w:t>和</w:t>
      </w:r>
      <w:r>
        <w:rPr>
          <w:rFonts w:ascii="仿宋_GB2312" w:hAnsi="仿宋_GB2312" w:cs="仿宋_GB2312" w:eastAsia="仿宋_GB2312"/>
        </w:rPr>
        <w:t>渭南市华州区政府采购中心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渭南市华州区莲花寺镇人民政府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渭南市华州区政府采购中心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渭南市华州区莲花寺镇人民政府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渭南市华州区政府采购中心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知识产权属发包人所有，承包人不得将此类图纸用于任何 与本工程以外的项目，承包人对所有图纸和工程文件负有保密义务，不得任意扩大接触和 使用范围，不得泄露给与本工程无关的其他人员。发包人无需支付保密措施费用。因承包人原因造成泄密的，应承担赔偿损失等法律责任。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(1)国家现行和相关技术规程；(2)工程所在地建设主管 部门的标准、规范；(3)工程所在地行业的标准、规范；(4)发包人施工图纸的具体要求 。</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渭南市华州区政府采购中心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渭南市华州区政府采购中心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渭南市华州区政府采购中心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联系人：段主任</w:t>
      </w:r>
    </w:p>
    <w:p>
      <w:pPr>
        <w:pStyle w:val="null3"/>
      </w:pPr>
      <w:r>
        <w:rPr>
          <w:rFonts w:ascii="仿宋_GB2312" w:hAnsi="仿宋_GB2312" w:cs="仿宋_GB2312" w:eastAsia="仿宋_GB2312"/>
        </w:rPr>
        <w:t>联系电话：18992320968</w:t>
      </w:r>
    </w:p>
    <w:p>
      <w:pPr>
        <w:pStyle w:val="null3"/>
      </w:pPr>
      <w:r>
        <w:rPr>
          <w:rFonts w:ascii="仿宋_GB2312" w:hAnsi="仿宋_GB2312" w:cs="仿宋_GB2312" w:eastAsia="仿宋_GB2312"/>
        </w:rPr>
        <w:t>地址：陕西省渭南市华县子仪大街华州区财政局办公楼</w:t>
      </w:r>
    </w:p>
    <w:p>
      <w:pPr>
        <w:pStyle w:val="null3"/>
      </w:pPr>
      <w:r>
        <w:rPr>
          <w:rFonts w:ascii="仿宋_GB2312" w:hAnsi="仿宋_GB2312" w:cs="仿宋_GB2312" w:eastAsia="仿宋_GB2312"/>
        </w:rPr>
        <w:t>邮编：714100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1,280,000.00</w:t>
      </w:r>
    </w:p>
    <w:p>
      <w:pPr>
        <w:pStyle w:val="null3"/>
      </w:pPr>
      <w:r>
        <w:rPr>
          <w:rFonts w:ascii="仿宋_GB2312" w:hAnsi="仿宋_GB2312" w:cs="仿宋_GB2312" w:eastAsia="仿宋_GB2312"/>
        </w:rPr>
        <w:t>采购包最高限价（元）: 1,274,027.04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渭南市华州区莲花寺镇2026年村级公益事业建设一事一议项目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标的名称：渭南市华州区莲花寺镇2026年村级公益事业建设一事一议项目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left"/>
            </w:pPr>
            <w:r>
              <w:rPr>
                <w:rFonts w:ascii="仿宋_GB2312" w:hAnsi="仿宋_GB2312" w:cs="仿宋_GB2312" w:eastAsia="仿宋_GB2312"/>
                <w:sz w:val="24"/>
              </w:rPr>
              <w:t>一、项目概况</w:t>
            </w:r>
          </w:p>
          <w:p>
            <w:pPr>
              <w:pStyle w:val="null3"/>
              <w:spacing w:before="105" w:after="105"/>
              <w:jc w:val="left"/>
            </w:pPr>
            <w:r>
              <w:rPr>
                <w:rFonts w:ascii="仿宋_GB2312" w:hAnsi="仿宋_GB2312" w:cs="仿宋_GB2312" w:eastAsia="仿宋_GB2312"/>
                <w:sz w:val="24"/>
              </w:rPr>
              <w:t>对莲花寺镇龙潭村、忠义村、高家河村、庄头村、时堡村</w:t>
            </w:r>
            <w:r>
              <w:rPr>
                <w:rFonts w:ascii="仿宋_GB2312" w:hAnsi="仿宋_GB2312" w:cs="仿宋_GB2312" w:eastAsia="仿宋_GB2312"/>
                <w:sz w:val="24"/>
              </w:rPr>
              <w:t>5个村子现状道路的砼拆除，挖除路基土，对基地碾压整平、新建排水渠等项目</w:t>
            </w:r>
          </w:p>
          <w:p>
            <w:pPr>
              <w:pStyle w:val="null3"/>
              <w:spacing w:before="105" w:after="105"/>
              <w:jc w:val="left"/>
            </w:pPr>
            <w:r>
              <w:rPr>
                <w:rFonts w:ascii="仿宋_GB2312" w:hAnsi="仿宋_GB2312" w:cs="仿宋_GB2312" w:eastAsia="仿宋_GB2312"/>
                <w:sz w:val="24"/>
              </w:rPr>
              <w:t>二、实施地点：采购人指定地点</w:t>
            </w:r>
            <w:r>
              <w:br/>
            </w:r>
            <w:r>
              <w:rPr>
                <w:rFonts w:ascii="仿宋_GB2312" w:hAnsi="仿宋_GB2312" w:cs="仿宋_GB2312" w:eastAsia="仿宋_GB2312"/>
                <w:sz w:val="24"/>
              </w:rPr>
              <w:t>三、项目要求：</w:t>
            </w:r>
            <w:r>
              <w:br/>
            </w:r>
            <w:r>
              <w:rPr>
                <w:rFonts w:ascii="仿宋_GB2312" w:hAnsi="仿宋_GB2312" w:cs="仿宋_GB2312" w:eastAsia="仿宋_GB2312"/>
                <w:sz w:val="24"/>
              </w:rPr>
              <w:t>1.工程质量目标:达到国家现行施工验收规范“合格”标准。</w:t>
            </w:r>
            <w:r>
              <w:br/>
            </w:r>
            <w:r>
              <w:rPr>
                <w:rFonts w:ascii="仿宋_GB2312" w:hAnsi="仿宋_GB2312" w:cs="仿宋_GB2312" w:eastAsia="仿宋_GB2312"/>
                <w:sz w:val="24"/>
              </w:rPr>
              <w:t>2.文明施工:安全文明施工工地。</w:t>
            </w:r>
            <w:r>
              <w:br/>
            </w:r>
            <w:r>
              <w:rPr>
                <w:rFonts w:ascii="仿宋_GB2312" w:hAnsi="仿宋_GB2312" w:cs="仿宋_GB2312" w:eastAsia="仿宋_GB2312"/>
                <w:sz w:val="24"/>
              </w:rPr>
              <w:t>四、工期：</w:t>
            </w:r>
            <w:r>
              <w:br/>
            </w:r>
            <w:r>
              <w:rPr>
                <w:rFonts w:ascii="仿宋_GB2312" w:hAnsi="仿宋_GB2312" w:cs="仿宋_GB2312" w:eastAsia="仿宋_GB2312"/>
                <w:sz w:val="24"/>
              </w:rPr>
              <w:t>工期：</w:t>
            </w:r>
            <w:r>
              <w:rPr>
                <w:rFonts w:ascii="仿宋_GB2312" w:hAnsi="仿宋_GB2312" w:cs="仿宋_GB2312" w:eastAsia="仿宋_GB2312"/>
                <w:sz w:val="24"/>
              </w:rPr>
              <w:t>60日历天（计划开、竣工日期以施工合同签订时间为准）。</w:t>
            </w:r>
            <w:r>
              <w:br/>
            </w:r>
            <w:r>
              <w:rPr>
                <w:rFonts w:ascii="仿宋_GB2312" w:hAnsi="仿宋_GB2312" w:cs="仿宋_GB2312" w:eastAsia="仿宋_GB2312"/>
                <w:sz w:val="24"/>
              </w:rPr>
              <w:t>五、安全要求</w:t>
            </w:r>
            <w:r>
              <w:br/>
            </w:r>
            <w:r>
              <w:rPr>
                <w:rFonts w:ascii="仿宋_GB2312" w:hAnsi="仿宋_GB2312" w:cs="仿宋_GB2312" w:eastAsia="仿宋_GB2312"/>
                <w:sz w:val="24"/>
              </w:rPr>
              <w:t>遵守工程建设安全生产有关管理规定，严格按安全标准组织施工，采取必要的安全生产措施，消除事故隐患。安全措施不力造成事故责任和发生的费用由成交供应商承担。</w:t>
            </w:r>
            <w:r>
              <w:br/>
            </w:r>
            <w:r>
              <w:rPr>
                <w:rFonts w:ascii="仿宋_GB2312" w:hAnsi="仿宋_GB2312" w:cs="仿宋_GB2312" w:eastAsia="仿宋_GB2312"/>
                <w:sz w:val="24"/>
              </w:rPr>
              <w:t>六、工程施工基本要求</w:t>
            </w:r>
            <w:r>
              <w:br/>
            </w:r>
            <w:r>
              <w:rPr>
                <w:rFonts w:ascii="仿宋_GB2312" w:hAnsi="仿宋_GB2312" w:cs="仿宋_GB2312" w:eastAsia="仿宋_GB2312"/>
                <w:sz w:val="24"/>
              </w:rPr>
              <w:t>严格按国家有关规定做到文明施工，规范施工，严格把好各道施工工序的质量，确保工程质量，并按要求如期完成工程建设，编制施工组织设计方案，确保工程按时优质完成，编制总进度计划，合理安排劳动力、物力、财力，尽量做到综合平衡配套施工，确保工程顺利完成。</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合同签订后，支付合同总价30%作为预付款；工程竣工验收合格后，付至合同总价款的70%；待工程决算审计报告经双方签字盖章确认后，付至审定金额的97%；剩余3%作为质量保证金，于缺陷责任期满后一次性付清。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提供法定代表人授权委托书（法定代表人参会提供法定代表人身份证明书）；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须具备市政公用工程施工总承包三级及以上资质;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须具有建设行政主管部门核发有效的安全生产许可证;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拟派项目经理须具备市政工程注册建造师二级及以上资格和有效的安全生产考核证书，须提供项目经理无在建工程的相关证明材料或承诺书;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健全的财务会计制度</w:t>
            </w:r>
          </w:p>
        </w:tc>
        <w:tc>
          <w:tcPr>
            <w:tcW w:type="dxa" w:w="3322"/>
          </w:tcPr>
          <w:p>
            <w:pPr>
              <w:pStyle w:val="null3"/>
            </w:pPr>
            <w:r>
              <w:rPr>
                <w:rFonts w:ascii="仿宋_GB2312" w:hAnsi="仿宋_GB2312" w:cs="仿宋_GB2312" w:eastAsia="仿宋_GB2312"/>
              </w:rPr>
              <w:t>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税收的良好记录</w:t>
            </w:r>
          </w:p>
        </w:tc>
        <w:tc>
          <w:tcPr>
            <w:tcW w:type="dxa" w:w="3322"/>
          </w:tcPr>
          <w:p>
            <w:pPr>
              <w:pStyle w:val="null3"/>
            </w:pPr>
            <w:r>
              <w:rPr>
                <w:rFonts w:ascii="仿宋_GB2312" w:hAnsi="仿宋_GB2312" w:cs="仿宋_GB2312" w:eastAsia="仿宋_GB2312"/>
              </w:rPr>
              <w:t>须提供依法缴纳税收的良好记录（提供投标截止时间前六个月内任意一个月份的缴纳凭据复印件并加盖单位公章，依法免税或开标前一年内零申报的供应商应提供相关证明文件）；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社会保障资金的良好记录</w:t>
            </w:r>
          </w:p>
        </w:tc>
        <w:tc>
          <w:tcPr>
            <w:tcW w:type="dxa" w:w="3322"/>
          </w:tcPr>
          <w:p>
            <w:pPr>
              <w:pStyle w:val="null3"/>
            </w:pPr>
            <w:r>
              <w:rPr>
                <w:rFonts w:ascii="仿宋_GB2312" w:hAnsi="仿宋_GB2312" w:cs="仿宋_GB2312" w:eastAsia="仿宋_GB2312"/>
              </w:rPr>
              <w:t>须提供依法缴纳社会保障资金的良好记录（提供投标截止时间前六个月内任意一个月份的缴纳凭据复印件并加盖单位公章）；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书面声明2</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供应商名称</w:t>
            </w:r>
          </w:p>
        </w:tc>
        <w:tc>
          <w:tcPr>
            <w:tcW w:type="dxa" w:w="3322"/>
          </w:tcPr>
          <w:p>
            <w:pPr>
              <w:pStyle w:val="null3"/>
            </w:pPr>
            <w:r>
              <w:rPr>
                <w:rFonts w:ascii="仿宋_GB2312" w:hAnsi="仿宋_GB2312" w:cs="仿宋_GB2312" w:eastAsia="仿宋_GB2312"/>
              </w:rPr>
              <w:t>与提供的证明材料一致</w:t>
            </w:r>
          </w:p>
        </w:tc>
        <w:tc>
          <w:tcPr>
            <w:tcW w:type="dxa" w:w="1661"/>
          </w:tcPr>
          <w:p>
            <w:pPr>
              <w:pStyle w:val="null3"/>
            </w:pPr>
            <w:r>
              <w:rPr>
                <w:rFonts w:ascii="仿宋_GB2312" w:hAnsi="仿宋_GB2312" w:cs="仿宋_GB2312" w:eastAsia="仿宋_GB2312"/>
              </w:rPr>
              <w:t>已标价工程量清单 技术服务合同条款及其他商务要求应答表.docx 供应商类似项目业绩一览表.docx 中小企业声明函 强制优先采购产品承诺函 响应文件封面 项目管理机构组成表 主要人员简历表.docx 其他应说明的事项.docx 残疾人福利性单位声明函 报价函 标的清单 资格证明材料.docx 响应函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技术服务合同条款及其他商务要求应答表.docx 供应商类似项目业绩一览表.docx 中小企业声明函 强制优先采购产品承诺函 响应文件封面 项目管理机构组成表 主要人员简历表.docx 其他应说明的事项.docx 残疾人福利性单位声明函 报价函 标的清单 资格证明材料.docx 响应函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 xml:space="preserve"> 符合磋商文件要求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技术服务合同条款及其他商务要求应答表.docx 供应商类似项目业绩一览表.docx 中小企业声明函 强制优先采购产品承诺函 响应文件封面 项目管理机构组成表 主要人员简历表.docx 其他应说明的事项.docx 残疾人福利性单位声明函 报价函 标的清单 资格证明材料.docx 响应函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 xml:space="preserve"> 符合磋商文件要求</w:t>
            </w:r>
          </w:p>
        </w:tc>
        <w:tc>
          <w:tcPr>
            <w:tcW w:type="dxa" w:w="1661"/>
          </w:tcPr>
          <w:p>
            <w:pPr>
              <w:pStyle w:val="null3"/>
            </w:pPr>
            <w:r>
              <w:rPr>
                <w:rFonts w:ascii="仿宋_GB2312" w:hAnsi="仿宋_GB2312" w:cs="仿宋_GB2312" w:eastAsia="仿宋_GB2312"/>
              </w:rPr>
              <w:t>技术服务合同条款及其他商务要求应答表.docx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①质量管理目标②管理机构职责分工③质量管理制度④质量保证措施。方案全面 、有效的计8 分 ，方案不完善或有缺陷（不完善或有缺陷是指：方案粗略 、逻辑混乱 、描述过于简单 、与项目特点不匹配 、凭空编造、逻辑漏洞、出现常识性错误 、套用其他项目方案、存在不可能实现的夸大情形 、存在不适用项 目实际情况的情形） 每项扣1分 ，方案缺漏项或只有标题没有实质性内容的每项扣2分，扣完为止。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①安全管理目标②安全管理机构职责分工③安全管理制度④安全保证措施 。方案全面 、有效的计8 分 ，方案不完善或有缺陷（不完善或有缺陷是指：方案粗略 、逻辑混乱 、描述过于简单 、 与项 目特点 不匹配 、 凭空编造 、逻辑漏洞 、 出现常识性错误 、 套用其他项目方案 、存在不可能实现的夸大情形 、 存在不适用项 目实际情况的情形） 每项扣1 分 ，方 案缺漏项或只有标题没有实质性内容的每项扣 2分 ，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①环境保护管理目标②环境保护管理机构 职责分工③环境保护管理制度④环境保护保证措 施 。方案合理完整的计 8 分 ，方案不完善或有缺陷 （不完善或有缺陷是指： 方案粗略 、逻辑混乱 、描 述过于简单 、与项 目特点不匹配 、 凭空编造 、逻辑 漏洞 、 出现常识性错误 、套用其他项 目方案 、存在不可能实现的夸大情形 、存在不适用项 目实际情况 的情形） 每项扣1 分 ，方案缺漏项或只有标题没有 实质性内容的每项扣 2 分 ，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①总工期及节点工期安排②施工进度计划安排③进度保证措施 ④资源保障与优化配置。方案合理完整的计 8分 ，方案不完善或有缺陷（不完善或有缺陷是指：方案粗略、逻辑混乱、描述过于简单 、与项 目特点不匹配、 凭空编造 、逻辑漏洞 、 出现常识性错误 、套用其他项 目方案 、存在不可能实现的夸大情形 、存在不适 用项 目实际情况的情形） 每项扣 1 分 ，方案缺漏项或只有标题没有实质性内容的每项扣 2 分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①对项目总体概况表述②施工部署及措施③对项 目主要及关键方案的表述④施工平面布置 。方案合理完善的计12分 ，方案不完善或有缺陷（不完善 或有缺陷是指： 方案粗略 、逻辑混乱 、描述过于简 单 、与项 目特点不匹配 、 凭空编造 、逻辑漏洞 、 出现常识性错误 、套用其他项目方案 、存在不可能实现的夸大情形 、存在不适用项 目实际情况的情形） 每项扣1 分 ，方案缺漏项或只有标题没有实质性内容的每项扣3分 ， 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 目制定资源配备计划包含： ①劳动力计划②主要材料供应计划③施工机械设备配备计划。方案合理完整的计 6 分 ， 方案不完善或有缺陷 （不完善或有缺陷是指： 方案粗略 、逻辑混乱 、描 述过于简单 、与项 目特点不匹配 、 凭空编造 、逻辑 漏洞 、 出现常识性错误 、套用其他项 目方案 、存在 不可能实现的夸大情形 、存在不适用项 目实际情况 的情形） 每项扣 1 分 ，方案缺漏项或只有标题没有 实质性内容的每项扣 2 分 ， 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①施工过程中的相关承诺②投入材料质量承诺③质量保修期服务承诺④服务响应时间 。服务承诺合理 、可行的计 4 分 ，方案不完善或有缺陷（不完善或有缺陷是 指 ：方案粗略 、逻辑混乱 、描述过于简单 、与项 目 特点不匹配 、 凭空编造 、逻辑漏洞 、 出现常识性错误 、套用其他项目方案 、存在不可能实现的夸大情 形 、存在不适用项 目实际情况的情形） 每项扣 0.5 分 ，方案缺漏项或只有标题没有实质性内容的每项扣 1 分 ， 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近三年完成的类似业绩一项得2分，最多得6分（提供2023年5月1日至今类似工程；投标文件中须附类似工程业绩中标通知书或合同协议书或竣工验收证明材料复印件或扫描件，并加盖公章）。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项目机构组成</w:t>
            </w:r>
          </w:p>
        </w:tc>
        <w:tc>
          <w:tcPr>
            <w:tcW w:type="dxa" w:w="2492"/>
          </w:tcPr>
          <w:p>
            <w:pPr>
              <w:pStyle w:val="null3"/>
            </w:pPr>
            <w:r>
              <w:rPr>
                <w:rFonts w:ascii="仿宋_GB2312" w:hAnsi="仿宋_GB2312" w:cs="仿宋_GB2312" w:eastAsia="仿宋_GB2312"/>
              </w:rPr>
              <w:t>具有五大员（质量员、安全员、施工员、材料员、资料员）上岗证书（安全员须含安全生产考核合格证）的每证得1分；有相应职称证（初级及以上均可）的每证加1分，共计10分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①评标基准价的确定：经对各供应商资格审查合格后，将有效投标价格最低的作为评标基准价，此项得满分；投标报价大于最高限价的，为无效报价，应作为无效标处理； ②根据下列公式计算出各供应商的投标报价与评标基准价的差异率。 其他供应商报价得分=(评标基准价／投标报价)×30%×100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