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版本号：HSGJ2026-195.1B120260820001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2026年度省级社会组织等级评估项目(二次)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HSGJ2026-195.1B1</w:t>
      </w:r>
      <w:r>
        <w:br/>
      </w:r>
      <w:r>
        <w:br/>
      </w:r>
      <w:r>
        <w:br/>
      </w:r>
    </w:p>
    <w:p>
      <w:pPr>
        <w:pStyle w:val="null3"/>
        <w:jc w:val="center"/>
        <w:outlineLvl w:val="2"/>
      </w:pPr>
      <w:r>
        <w:rPr>
          <w:rFonts w:ascii="仿宋_GB2312" w:hAnsi="仿宋_GB2312" w:cs="仿宋_GB2312" w:eastAsia="仿宋_GB2312"/>
          <w:sz w:val="28"/>
          <w:b/>
        </w:rPr>
        <w:t>陕西省民政厅机关</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陕西省民政厅机关</w:t>
      </w:r>
      <w:r>
        <w:rPr>
          <w:rFonts w:ascii="仿宋_GB2312" w:hAnsi="仿宋_GB2312" w:cs="仿宋_GB2312" w:eastAsia="仿宋_GB2312"/>
        </w:rPr>
        <w:t>委托，拟对</w:t>
      </w:r>
      <w:r>
        <w:rPr>
          <w:rFonts w:ascii="仿宋_GB2312" w:hAnsi="仿宋_GB2312" w:cs="仿宋_GB2312" w:eastAsia="仿宋_GB2312"/>
        </w:rPr>
        <w:t>2026年度省级社会组织等级评估项目(二次)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HSGJ2026-195.1B1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2026年度省级社会组织等级评估项目(二次)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2026年度省级社会组织等级评估项目，具体内容详见第三章。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2、财务状况报告：提供2025年度的财务审计报告（报告需在注册会计师行业统一监管平台备案赋码）或开标前六个月内其基本存款账户开户银行出具的资信证明（附开户许可证或开户备案证明或基本账户信息）；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4、税收缴纳证明：提供2026年1月至今已缴纳的至少一个月的纳税证明，依法免税的单位应提供相关证明材料；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8、法定代表人委托授权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pPr>
        <w:pStyle w:val="null3"/>
      </w:pPr>
      <w:r>
        <w:rPr>
          <w:rFonts w:ascii="仿宋_GB2312" w:hAnsi="仿宋_GB2312" w:cs="仿宋_GB2312" w:eastAsia="仿宋_GB2312"/>
        </w:rPr>
        <w:t>10、磋商保证金：磋商保证金转账凭证或担保函（供应商若提交保函，应于响应文件递交截止时间前将保函扫描件发送至代理机构邮箱）。</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陕西省民政厅机关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西安市新城区东新街403号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029-63917548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029-81779899转8009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 740015 00000 427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代理服务费收费标准：招标代理服务费定额收取4000.00元。 银行户名：华晟国际项目管理有限公司 开户银行：建设银行西安劳动路支行 账 号：610501 740015 00000 427 转账事由：HSGJ2026-195项目代理服务费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陕西省民政厅机关</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陕西省民政厅机关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陕西省民政厅机关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2026年度省级社会组织等级评估项目，具体内容详见第三章。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2026年度省级社会组织等级评估项目</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标的名称：2026年度省级社会组织等级评估项目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00"/>
              </w:rPr>
              <w:t>一、评估目标</w:t>
            </w:r>
          </w:p>
          <w:p>
            <w:pPr>
              <w:pStyle w:val="null3"/>
              <w:ind w:firstLine="64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完善建立与时俱进，符合本地发展情况的评估指标体系，通过评估切实指导和促进</w:t>
            </w:r>
            <w:r>
              <w:rPr>
                <w:rFonts w:ascii="仿宋_GB2312" w:hAnsi="仿宋_GB2312" w:cs="仿宋_GB2312" w:eastAsia="仿宋_GB2312"/>
                <w:sz w:val="24"/>
              </w:rPr>
              <w:t>我省</w:t>
            </w:r>
            <w:r>
              <w:rPr>
                <w:rFonts w:ascii="仿宋_GB2312" w:hAnsi="仿宋_GB2312" w:cs="仿宋_GB2312" w:eastAsia="仿宋_GB2312"/>
                <w:sz w:val="24"/>
              </w:rPr>
              <w:t>社会组织规范化建设；</w:t>
            </w:r>
          </w:p>
          <w:p>
            <w:pPr>
              <w:pStyle w:val="null3"/>
              <w:ind w:firstLine="64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保证评估质量，积极创新评估模式，优化评估程序，实现评估工作的精准性；</w:t>
            </w:r>
          </w:p>
          <w:p>
            <w:pPr>
              <w:pStyle w:val="null3"/>
              <w:ind w:firstLine="64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加强评估数据分析，对评估结果深入挖掘与研究，为培育和支持社会组织发展提供依据。</w:t>
            </w:r>
          </w:p>
          <w:p>
            <w:pPr>
              <w:pStyle w:val="null3"/>
              <w:ind w:firstLine="482"/>
              <w:jc w:val="both"/>
            </w:pPr>
            <w:r>
              <w:rPr>
                <w:rFonts w:ascii="仿宋_GB2312" w:hAnsi="仿宋_GB2312" w:cs="仿宋_GB2312" w:eastAsia="仿宋_GB2312"/>
                <w:sz w:val="24"/>
                <w:b/>
                <w:color w:val="000000"/>
              </w:rPr>
              <w:t>二、评估对象和数量</w:t>
            </w:r>
          </w:p>
          <w:p>
            <w:pPr>
              <w:pStyle w:val="null3"/>
              <w:ind w:firstLine="640"/>
              <w:jc w:val="both"/>
            </w:pPr>
            <w:r>
              <w:rPr>
                <w:rFonts w:ascii="仿宋_GB2312" w:hAnsi="仿宋_GB2312" w:cs="仿宋_GB2312" w:eastAsia="仿宋_GB2312"/>
                <w:sz w:val="24"/>
              </w:rPr>
              <w:t>省级社会组织中</w:t>
            </w:r>
            <w:r>
              <w:rPr>
                <w:rFonts w:ascii="仿宋_GB2312" w:hAnsi="仿宋_GB2312" w:cs="仿宋_GB2312" w:eastAsia="仿宋_GB2312"/>
                <w:sz w:val="24"/>
              </w:rPr>
              <w:t>取得社会团体、基金会</w:t>
            </w:r>
            <w:r>
              <w:rPr>
                <w:rFonts w:ascii="仿宋_GB2312" w:hAnsi="仿宋_GB2312" w:cs="仿宋_GB2312" w:eastAsia="仿宋_GB2312"/>
                <w:sz w:val="24"/>
              </w:rPr>
              <w:t>和社会服务机构</w:t>
            </w:r>
            <w:r>
              <w:rPr>
                <w:rFonts w:ascii="仿宋_GB2312" w:hAnsi="仿宋_GB2312" w:cs="仿宋_GB2312" w:eastAsia="仿宋_GB2312"/>
                <w:sz w:val="24"/>
              </w:rPr>
              <w:t>登记证书满两个年度，未参加过社会组织评</w:t>
            </w:r>
            <w:r>
              <w:rPr>
                <w:rFonts w:ascii="仿宋_GB2312" w:hAnsi="仿宋_GB2312" w:cs="仿宋_GB2312" w:eastAsia="仿宋_GB2312"/>
                <w:sz w:val="24"/>
              </w:rPr>
              <w:t>估或评估期限到期的，并结合</w:t>
            </w:r>
            <w:r>
              <w:rPr>
                <w:rFonts w:ascii="仿宋_GB2312" w:hAnsi="仿宋_GB2312" w:cs="仿宋_GB2312" w:eastAsia="仿宋_GB2312"/>
                <w:sz w:val="24"/>
              </w:rPr>
              <w:t>2025年度年检结果及摸底情况，有意向参加2026年度等级评估的社会组</w:t>
            </w:r>
            <w:r>
              <w:rPr>
                <w:rFonts w:ascii="仿宋_GB2312" w:hAnsi="仿宋_GB2312" w:cs="仿宋_GB2312" w:eastAsia="仿宋_GB2312"/>
                <w:sz w:val="24"/>
              </w:rPr>
              <w:t>织约</w:t>
            </w:r>
            <w:r>
              <w:rPr>
                <w:rFonts w:ascii="仿宋_GB2312" w:hAnsi="仿宋_GB2312" w:cs="仿宋_GB2312" w:eastAsia="仿宋_GB2312"/>
                <w:sz w:val="24"/>
              </w:rPr>
              <w:t>40家，其中社会团体20家，基</w:t>
            </w:r>
            <w:r>
              <w:rPr>
                <w:rFonts w:ascii="仿宋_GB2312" w:hAnsi="仿宋_GB2312" w:cs="仿宋_GB2312" w:eastAsia="仿宋_GB2312"/>
                <w:sz w:val="24"/>
              </w:rPr>
              <w:t>金会</w:t>
            </w:r>
            <w:r>
              <w:rPr>
                <w:rFonts w:ascii="仿宋_GB2312" w:hAnsi="仿宋_GB2312" w:cs="仿宋_GB2312" w:eastAsia="仿宋_GB2312"/>
                <w:sz w:val="24"/>
              </w:rPr>
              <w:t>10</w:t>
            </w:r>
            <w:r>
              <w:rPr>
                <w:rFonts w:ascii="仿宋_GB2312" w:hAnsi="仿宋_GB2312" w:cs="仿宋_GB2312" w:eastAsia="仿宋_GB2312"/>
                <w:sz w:val="24"/>
              </w:rPr>
              <w:t>家，</w:t>
            </w:r>
            <w:r>
              <w:rPr>
                <w:rFonts w:ascii="仿宋_GB2312" w:hAnsi="仿宋_GB2312" w:cs="仿宋_GB2312" w:eastAsia="仿宋_GB2312"/>
                <w:sz w:val="24"/>
              </w:rPr>
              <w:t>民办非企业单位</w:t>
            </w:r>
            <w:r>
              <w:rPr>
                <w:rFonts w:ascii="仿宋_GB2312" w:hAnsi="仿宋_GB2312" w:cs="仿宋_GB2312" w:eastAsia="仿宋_GB2312"/>
                <w:sz w:val="24"/>
              </w:rPr>
              <w:t>10</w:t>
            </w:r>
            <w:r>
              <w:rPr>
                <w:rFonts w:ascii="仿宋_GB2312" w:hAnsi="仿宋_GB2312" w:cs="仿宋_GB2312" w:eastAsia="仿宋_GB2312"/>
                <w:sz w:val="24"/>
              </w:rPr>
              <w:t>家。</w:t>
            </w:r>
          </w:p>
          <w:p>
            <w:pPr>
              <w:pStyle w:val="null3"/>
              <w:ind w:firstLine="482"/>
              <w:jc w:val="both"/>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服务</w:t>
            </w:r>
            <w:r>
              <w:rPr>
                <w:rFonts w:ascii="仿宋_GB2312" w:hAnsi="仿宋_GB2312" w:cs="仿宋_GB2312" w:eastAsia="仿宋_GB2312"/>
                <w:sz w:val="24"/>
                <w:b/>
                <w:color w:val="000000"/>
              </w:rPr>
              <w:t>内容</w:t>
            </w:r>
          </w:p>
          <w:p>
            <w:pPr>
              <w:pStyle w:val="null3"/>
              <w:ind w:firstLine="480"/>
              <w:jc w:val="both"/>
            </w:pPr>
            <w:r>
              <w:rPr>
                <w:rFonts w:ascii="仿宋_GB2312" w:hAnsi="仿宋_GB2312" w:cs="仿宋_GB2312" w:eastAsia="仿宋_GB2312"/>
                <w:sz w:val="24"/>
                <w:color w:val="000000"/>
              </w:rPr>
              <w:t>社会组织评估按照组织类型的不同，实施分类评估。按照评估标准，从基础条件、内部治理、工作绩效和社会评价四个方面，对参评社会组织进行综合评价。</w:t>
            </w:r>
          </w:p>
          <w:p>
            <w:pPr>
              <w:pStyle w:val="null3"/>
              <w:ind w:firstLine="482"/>
              <w:jc w:val="both"/>
            </w:pPr>
            <w:r>
              <w:rPr>
                <w:rFonts w:ascii="仿宋_GB2312" w:hAnsi="仿宋_GB2312" w:cs="仿宋_GB2312" w:eastAsia="仿宋_GB2312"/>
                <w:sz w:val="24"/>
                <w:b/>
                <w:color w:val="000000"/>
              </w:rPr>
              <w:t>四、服务要求</w:t>
            </w:r>
          </w:p>
          <w:p>
            <w:pPr>
              <w:pStyle w:val="null3"/>
              <w:ind w:firstLine="480"/>
              <w:jc w:val="both"/>
            </w:pPr>
            <w:r>
              <w:rPr>
                <w:rFonts w:ascii="仿宋_GB2312" w:hAnsi="仿宋_GB2312" w:cs="仿宋_GB2312" w:eastAsia="仿宋_GB2312"/>
                <w:sz w:val="24"/>
                <w:color w:val="000000"/>
              </w:rPr>
              <w:t>本次评估工作安排如下：</w:t>
            </w:r>
          </w:p>
          <w:p>
            <w:pPr>
              <w:pStyle w:val="null3"/>
              <w:ind w:firstLine="480"/>
              <w:jc w:val="both"/>
            </w:pPr>
            <w:r>
              <w:rPr>
                <w:rFonts w:ascii="仿宋_GB2312" w:hAnsi="仿宋_GB2312" w:cs="仿宋_GB2312" w:eastAsia="仿宋_GB2312"/>
                <w:sz w:val="24"/>
                <w:color w:val="000000"/>
              </w:rPr>
              <w:t>1.前期准备，完善各类社会组织评估指标体系，召开评估指标论证会等前期工作；</w:t>
            </w:r>
          </w:p>
          <w:p>
            <w:pPr>
              <w:pStyle w:val="null3"/>
              <w:ind w:firstLine="480"/>
              <w:jc w:val="both"/>
            </w:pPr>
            <w:r>
              <w:rPr>
                <w:rFonts w:ascii="仿宋_GB2312" w:hAnsi="仿宋_GB2312" w:cs="仿宋_GB2312" w:eastAsia="仿宋_GB2312"/>
                <w:sz w:val="24"/>
                <w:color w:val="000000"/>
              </w:rPr>
              <w:t>2.评估动员宣传。申请参评的社会组织及有条件参评的社会组织进行摸底调查、开展培训工作；</w:t>
            </w:r>
          </w:p>
          <w:p>
            <w:pPr>
              <w:pStyle w:val="null3"/>
              <w:ind w:firstLine="480"/>
              <w:jc w:val="both"/>
            </w:pPr>
            <w:r>
              <w:rPr>
                <w:rFonts w:ascii="仿宋_GB2312" w:hAnsi="仿宋_GB2312" w:cs="仿宋_GB2312" w:eastAsia="仿宋_GB2312"/>
                <w:sz w:val="24"/>
                <w:color w:val="000000"/>
              </w:rPr>
              <w:t>3.社会组织申报材料。参评社会组织进行评估申报及评估资料提交，工作人员解答评估疑问，评估小组进行资料审核，并将审核结果和评估时间通知参评组织；</w:t>
            </w:r>
          </w:p>
          <w:p>
            <w:pPr>
              <w:pStyle w:val="null3"/>
              <w:ind w:firstLine="480"/>
              <w:jc w:val="both"/>
            </w:pPr>
            <w:r>
              <w:rPr>
                <w:rFonts w:ascii="仿宋_GB2312" w:hAnsi="仿宋_GB2312" w:cs="仿宋_GB2312" w:eastAsia="仿宋_GB2312"/>
                <w:sz w:val="24"/>
                <w:color w:val="000000"/>
              </w:rPr>
              <w:t>4.第三方评估阶段。第三方组织专家开展社会组织评估工作；</w:t>
            </w:r>
          </w:p>
          <w:p>
            <w:pPr>
              <w:pStyle w:val="null3"/>
              <w:ind w:firstLine="480"/>
              <w:jc w:val="both"/>
            </w:pPr>
            <w:r>
              <w:rPr>
                <w:rFonts w:ascii="仿宋_GB2312" w:hAnsi="仿宋_GB2312" w:cs="仿宋_GB2312" w:eastAsia="仿宋_GB2312"/>
                <w:sz w:val="24"/>
                <w:color w:val="000000"/>
              </w:rPr>
              <w:t>5.确定等级及发布公告。评估委员会审核初评意见并进行公示，最终确定评估等级、发布公告。</w:t>
            </w:r>
          </w:p>
          <w:p>
            <w:pPr>
              <w:pStyle w:val="null3"/>
              <w:ind w:firstLine="482"/>
              <w:jc w:val="both"/>
            </w:pPr>
            <w:r>
              <w:rPr>
                <w:rFonts w:ascii="仿宋_GB2312" w:hAnsi="仿宋_GB2312" w:cs="仿宋_GB2312" w:eastAsia="仿宋_GB2312"/>
                <w:sz w:val="24"/>
                <w:b/>
              </w:rPr>
              <w:t>五、服务标准：</w:t>
            </w:r>
            <w:r>
              <w:rPr>
                <w:rFonts w:ascii="仿宋_GB2312" w:hAnsi="仿宋_GB2312" w:cs="仿宋_GB2312" w:eastAsia="仿宋_GB2312"/>
                <w:sz w:val="24"/>
              </w:rPr>
              <w:t>符合国家和省、市有关行业标准及采购人的有关规定</w:t>
            </w:r>
            <w:r>
              <w:rPr>
                <w:rFonts w:ascii="仿宋_GB2312" w:hAnsi="仿宋_GB2312" w:cs="仿宋_GB2312" w:eastAsia="仿宋_GB2312"/>
                <w:sz w:val="24"/>
              </w:rPr>
              <w:t>。</w:t>
            </w:r>
          </w:p>
          <w:p>
            <w:pPr>
              <w:pStyle w:val="null3"/>
            </w:pPr>
            <w:r>
              <w:rPr>
                <w:rFonts w:ascii="仿宋_GB2312" w:hAnsi="仿宋_GB2312" w:cs="仿宋_GB2312" w:eastAsia="仿宋_GB2312"/>
                <w:sz w:val="24"/>
                <w:b/>
              </w:rPr>
              <w:t xml:space="preserve">   六、服务范围：</w:t>
            </w:r>
            <w:r>
              <w:rPr>
                <w:rFonts w:ascii="仿宋_GB2312" w:hAnsi="仿宋_GB2312" w:cs="仿宋_GB2312" w:eastAsia="仿宋_GB2312"/>
                <w:sz w:val="24"/>
              </w:rPr>
              <w:t>2026年度省级社会组织等级评估项目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合同签订之日起至2027年3月31日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进度款，对项目进行阶段性验收合格后，达到付款条件起30个工作日内，支付合同总金额的30.0%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（1）服务范围：2026年度省级社会组织等级评估项目；（2）服务要求：满足采购需求及采购文件要求 ；（3）服务标准：符合国家和省、市有关行业标准及采购人的有关规定。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提供2025年度的财务审计报告（报告需在注册会计师行业统一监管平台备案赋码）或开标前六个月内其基本存款账户开户银行出具的资信证明（附开户许可证或开户备案证明或基本账户信息）；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磋商保证金转账凭证或担保函（供应商若提交保函，应于响应文件递交截止时间前将保函扫描件发送至代理机构邮箱）。</w:t>
            </w:r>
          </w:p>
        </w:tc>
        <w:tc>
          <w:tcPr>
            <w:tcW w:type="dxa" w:w="1661"/>
          </w:tcPr>
          <w:p>
            <w:pPr>
              <w:pStyle w:val="null3"/>
            </w:pPr>
            <w:r>
              <w:rPr>
                <w:rFonts w:ascii="仿宋_GB2312" w:hAnsi="仿宋_GB2312" w:cs="仿宋_GB2312" w:eastAsia="仿宋_GB2312"/>
              </w:rPr>
              <w:t>4资质证明文件（参考格式）.docx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3商务响应表.docx 2服务要求响应表.docx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w:t>
            </w:r>
          </w:p>
        </w:tc>
        <w:tc>
          <w:tcPr>
            <w:tcW w:type="dxa" w:w="1661"/>
          </w:tcPr>
          <w:p>
            <w:pPr>
              <w:pStyle w:val="null3"/>
            </w:pPr>
            <w:r>
              <w:rPr>
                <w:rFonts w:ascii="仿宋_GB2312" w:hAnsi="仿宋_GB2312" w:cs="仿宋_GB2312" w:eastAsia="仿宋_GB2312"/>
              </w:rPr>
              <w:t>1分项报价表.docx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根据本项目实际需求及特点，制定总体服务方案，方案包括：①评估需求分析 ②工作步骤及流程内容 ③评估动员宣传内容④咨询指导内容 ⑤资料整理方案。 二、评审标准 1.完整性：方案必须全面，对评审内容中的各项要求有详细描述； 2.准确性：方案描述准确，没有实质性错误或明显的描述及逻辑错误； 3.可实施性：切合本项目实际情况，提出步骤清晰、合理的方案； 4.针对性：方案能够紧扣项目实际情况，内容科学合理。 三、赋分标准（满分20分） ①评估需求分析：完全满足每个评审标准得1分，有瑕疵得0.5分，有缺项漏项得0分。满分4分。 ②工作步骤及流程内容：完全满足每个评审标准得1分，有瑕疵得0.5分，有缺项漏项得0分。满分4分。 ③评估动员宣传内容：完全满足每个评审标准得1分，有瑕疵得0.5分，有缺项漏项得0分。满分4分。 ④咨询指导内容 ：完全满足每个评审标准得1分，有瑕疵得0.5分，有缺项漏项得0分。满分4分。 ⑤资料整理方案：完全满足每个评审标准得1分，有瑕疵得0.5分，有缺项漏项得0分。满分4分。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根据本项目实际需求及特点，制定服务保障方案，方案包括：①内部管理制度②服务进度保证措施③服务质量保证措施④安全保障措施 ⑤廉洁从业措施 二、评审标准 1.完整性：方案必须全面，对评审内容中的各项要求有详细描述； 2.准确性：方案描述准确，没有实质性错误或明显的描述及逻辑错误； 3.可实施性：切合本项目实际情况，提出步骤清晰、合理的方案； 4.针对性：方案能够紧扣项目实际情况，内容科学合理。 三、赋分标准（满分20分） ①内部管理制度：完全满足每个评审标准得1 分，有瑕疵得 0.5 分，有缺项漏项得 0 分。满分 4分。 ②服务进度保证措施：完全满足每个评审标准得1 分，有瑕疵得 0.5 分，有缺项漏项得 0 分。满分 4 分。 ③服务质量保证措施：完全满足每个评审标准得1 分，有瑕疵得 0.5 分，有缺项漏项得 0 分。满分 4 分。 ④安全保障措施：完全满足每个评审标准得1 分，有瑕疵得 0.5 分，有缺项漏项得 0 分。满分 4 分。 ⑤廉洁从业措施：完全满足每个评审标准得1 分，有瑕疵得 0.5 分，有缺项漏项得 0 分。满分 4 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一、评审内容 根据本项目实际需求及特点，提供拟投入的人员，包括①拟投入的人数；③拟投入人员的相关工作经验。 二、评审标准 ①拟投入的人数：提供核心岗位配备：项目负责人、社会工作专业人员、普通岗位配备的其他人员； ②拟投入人员的工作经验：提供承诺函 二、赋分标准（满分 13分） ①拟投入的人数：核心岗位每配备1人得2分，普通岗位每配备1人得1分，满分7分。 ②拟投入人员的相关工作经验：项目负责人具有工作经验5年及以上得3分，团队其他人员每有一位具备工作经验2年及以上得1分，满分6分。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1.接受采购⼈对服务的考核、监督及管理，并对服务质量加以改进，确保服务⼯作的优质⾼效，得2分。⽆承诺不得分。（需提供承诺函） 2.团队⼈员因事、病不能及时上岗时，请调其他服务⼈员补充，确保各项服务⼯作正常进⾏，得2分。⽆承诺不得分。（需提供承诺函）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评估保密承诺</w:t>
            </w:r>
          </w:p>
        </w:tc>
        <w:tc>
          <w:tcPr>
            <w:tcW w:type="dxa" w:w="2492"/>
          </w:tcPr>
          <w:p>
            <w:pPr>
              <w:pStyle w:val="null3"/>
            </w:pPr>
            <w:r>
              <w:rPr>
                <w:rFonts w:ascii="仿宋_GB2312" w:hAnsi="仿宋_GB2312" w:cs="仿宋_GB2312" w:eastAsia="仿宋_GB2312"/>
              </w:rPr>
              <w:t>一、评审内容及标准 根据本项目实际需求及特点，提供评估保密承诺，包括①服务对象个人隐私；②被评估社会组织内部信息；③评估工作过程及结果信息；④委托方相关信息。 二、赋分标准：保密承诺每提供上述1条得2分，满分8分。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提供2023年1月1日至今类似项目业绩，响应文件中附有其业绩证明材料，业绩以合同或中标（成交）通知书为依据，每提供一个计3分，满分15分。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（1）根据《关于推动解决政府采购异常低价问题的通知》（财库〔2026〕2号）等相关规定，政府采购评审中出现下列情形之一的，评审委员会应当启动异常低价投标（响应）审查程序： （1）根据《关于推动解决政府采购异常低价问题的通知》（财库〔2026〕2号）等相关规定，政府采购评审中出现下列情形之一的，评审委员会应当启动异常低价投标（响应）审查程序： （1）1.投标（响应）报价低于全部通过符合性审查供应商投标（响应）报价平均值50%的，即投标（响应）报价&lt;全部 通过符合性审查供应商投标（响应）报价平均值×50%； 2.投标（响应）报价低于通过符合性审查的次低报价供应商投标（响应）报价50%的，即投标（响应）报价&lt;通过符合性审查的次低报价供应商投标（响应）报价×50%； 3.投标（响应）报价低于采购项⽬最⾼限价45%的，即投标（响应）报价&lt;采购项⽬最⾼限价×45%； 4.评审委员会基于专业判断，认为供应商报价过低，有可能影响产品质量或者不能诚信履约的其他情形。 相关法律法规对供应商报价有规定的，从其规定。 评审委员会启动异常低价投标（响应）审查后，属于前述第1项⾄第4项情形的，应当要求相关供应商在评审现场合理的时间内对投标（响应）价格作出解释，提供项⽬具体成本测算等与报价合理性相关的书⾯说明及必要的证明材料，包括但不限于原材料成本、⼈⼯成本、制造费⽤等，给予相关供应商的合理时间⼀般不少于30分钟。其中，属于第3项情形，供应商已随投标（响应）⽂件⼀并提交相关书⾯说明及必要的证明材料的，在评审现场可不再重复提交。 评审委员会依据专业经验，参考同类项⽬中标（成交）价格、类似产品市场价格⽔平、⾏业⼈⼯费⽤标准、国家有关部⻔指导⾏业协会发布的⾏业平均成本等情况，对报价合理性进⾏判断。投标（响应 ）供应商不能提供书⾯说明、证明材料，或者提供的书⾯说明、证明材料不能证明其报价合理性的，评审委员会应当将其作为⽆效投标（响应）处理。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经资格审查、符合性审查合格的响应文件，其磋商报价为有效磋商报价，对符合政策性扣减的供应商的有效磋商价格进行政策性扣减，并依据扣减后的价格（评审价格）进行价格评审。 满足磋商文件要求且最终磋商报价最低的磋商报价为评标基准价，其价格分为满分。 价格分按照下列公式计算。 报价得分=（评标基准价/有效报价）×价格权重（20%）×100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详见附件：2服务要求响应表.docx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详见附件：4资质证明文件（参考格式）.docx</w:t>
      </w:r>
    </w:p>
    <w:p>
      <w:pPr>
        <w:pStyle w:val="null3"/>
        <w:ind w:firstLine="960"/>
      </w:pPr>
      <w:r>
        <w:rPr>
          <w:rFonts w:ascii="仿宋_GB2312" w:hAnsi="仿宋_GB2312" w:cs="仿宋_GB2312" w:eastAsia="仿宋_GB2312"/>
        </w:rPr>
        <w:t>详见附件：5服务方案.docx</w:t>
      </w:r>
    </w:p>
    <w:p>
      <w:pPr>
        <w:pStyle w:val="null3"/>
        <w:ind w:firstLine="960"/>
      </w:pPr>
      <w:r>
        <w:rPr>
          <w:rFonts w:ascii="仿宋_GB2312" w:hAnsi="仿宋_GB2312" w:cs="仿宋_GB2312" w:eastAsia="仿宋_GB2312"/>
        </w:rPr>
        <w:t>详见附件：6供应商拒绝政府采购领域商业贿赂承诺书.docx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详见附件：社会组织等级评估----合同.docx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