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right"/>
        <w:rPr>
          <w:rFonts w:hint="eastAsia" w:ascii="仿宋_GB2312" w:hAnsi="仿宋_GB2312" w:eastAsia="仿宋_GB2312" w:cs="仿宋_GB2312"/>
          <w:b/>
          <w:color w:val="000000" w:themeColor="text1"/>
          <w:spacing w:val="-20"/>
          <w:sz w:val="32"/>
          <w:szCs w:val="32"/>
          <w:highlight w:val="none"/>
          <w:u w:val="none"/>
          <w14:textFill>
            <w14:solidFill>
              <w14:schemeClr w14:val="tx1"/>
            </w14:solidFill>
          </w14:textFill>
        </w:rPr>
      </w:pPr>
      <w:bookmarkStart w:id="0" w:name="OLE_LINK76"/>
      <w:r>
        <w:rPr>
          <w:rFonts w:hint="eastAsia" w:ascii="仿宋_GB2312" w:hAnsi="仿宋_GB2312" w:eastAsia="仿宋_GB2312" w:cs="仿宋_GB2312"/>
          <w:b/>
          <w:bCs w:val="0"/>
          <w:color w:val="000000" w:themeColor="text1"/>
          <w:spacing w:val="-20"/>
          <w:sz w:val="32"/>
          <w:szCs w:val="32"/>
          <w:highlight w:val="none"/>
          <w:u w:val="none"/>
          <w:lang w:val="en-US" w:eastAsia="zh-CN"/>
          <w14:textFill>
            <w14:solidFill>
              <w14:schemeClr w14:val="tx1"/>
            </w14:solidFill>
          </w14:textFill>
        </w:rPr>
        <w:t>合同编号:</w:t>
      </w:r>
      <w:r>
        <w:rPr>
          <w:rFonts w:hint="eastAsia" w:ascii="仿宋_GB2312" w:hAnsi="仿宋_GB2312" w:eastAsia="仿宋_GB2312" w:cs="仿宋_GB2312"/>
          <w:b/>
          <w:bCs w:val="0"/>
          <w:color w:val="000000" w:themeColor="text1"/>
          <w:sz w:val="32"/>
          <w:szCs w:val="32"/>
          <w:highlight w:val="none"/>
          <w:u w:val="none"/>
          <w14:textFill>
            <w14:solidFill>
              <w14:schemeClr w14:val="tx1"/>
            </w14:solidFill>
          </w14:textFill>
        </w:rPr>
        <w:t>招采</w:t>
      </w:r>
      <w:r>
        <w:rPr>
          <w:rFonts w:hint="eastAsia" w:ascii="仿宋_GB2312" w:hAnsi="仿宋_GB2312" w:eastAsia="仿宋_GB2312" w:cs="仿宋_GB2312"/>
          <w:b/>
          <w:bCs w:val="0"/>
          <w:color w:val="000000" w:themeColor="text1"/>
          <w:sz w:val="32"/>
          <w:szCs w:val="32"/>
          <w:highlight w:val="none"/>
          <w:u w:val="none"/>
          <w:lang w:val="en-US" w:eastAsia="zh-CN"/>
          <w14:textFill>
            <w14:solidFill>
              <w14:schemeClr w14:val="tx1"/>
            </w14:solidFill>
          </w14:textFill>
        </w:rPr>
        <w:t>服务</w:t>
      </w:r>
      <w:r>
        <w:rPr>
          <w:rFonts w:hint="eastAsia" w:ascii="仿宋_GB2312" w:hAnsi="仿宋_GB2312" w:eastAsia="仿宋_GB2312" w:cs="仿宋_GB2312"/>
          <w:b/>
          <w:bCs w:val="0"/>
          <w:color w:val="000000" w:themeColor="text1"/>
          <w:sz w:val="32"/>
          <w:szCs w:val="32"/>
          <w:highlight w:val="none"/>
          <w:u w:val="none"/>
          <w14:textFill>
            <w14:solidFill>
              <w14:schemeClr w14:val="tx1"/>
            </w14:solidFill>
          </w14:textFill>
        </w:rPr>
        <w:t>202</w:t>
      </w:r>
      <w:r>
        <w:rPr>
          <w:rFonts w:hint="eastAsia" w:ascii="仿宋_GB2312" w:hAnsi="仿宋_GB2312" w:eastAsia="仿宋_GB2312" w:cs="仿宋_GB2312"/>
          <w:b/>
          <w:bCs w:val="0"/>
          <w:color w:val="000000" w:themeColor="text1"/>
          <w:sz w:val="32"/>
          <w:szCs w:val="32"/>
          <w:highlight w:val="none"/>
          <w:u w:val="none"/>
          <w:lang w:val="en-US" w:eastAsia="zh-CN"/>
          <w14:textFill>
            <w14:solidFill>
              <w14:schemeClr w14:val="tx1"/>
            </w14:solidFill>
          </w14:textFill>
        </w:rPr>
        <w:t>6</w:t>
      </w:r>
      <w:r>
        <w:rPr>
          <w:rFonts w:hint="eastAsia" w:ascii="仿宋_GB2312" w:hAnsi="仿宋_GB2312" w:eastAsia="仿宋_GB2312" w:cs="仿宋_GB2312"/>
          <w:b/>
          <w:bCs w:val="0"/>
          <w:color w:val="000000" w:themeColor="text1"/>
          <w:sz w:val="32"/>
          <w:szCs w:val="32"/>
          <w:highlight w:val="none"/>
          <w:u w:val="none"/>
          <w14:textFill>
            <w14:solidFill>
              <w14:schemeClr w14:val="tx1"/>
            </w14:solidFill>
          </w14:textFill>
        </w:rPr>
        <w:t>(</w:t>
      </w:r>
      <w:r>
        <w:rPr>
          <w:rFonts w:hint="eastAsia" w:ascii="仿宋_GB2312" w:hAnsi="仿宋_GB2312" w:eastAsia="仿宋_GB2312" w:cs="仿宋_GB2312"/>
          <w:b/>
          <w:bCs w:val="0"/>
          <w:color w:val="000000" w:themeColor="text1"/>
          <w:sz w:val="32"/>
          <w:szCs w:val="32"/>
          <w:highlight w:val="none"/>
          <w:u w:val="none"/>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32"/>
          <w:szCs w:val="32"/>
          <w:highlight w:val="none"/>
          <w:u w:val="none"/>
          <w14:textFill>
            <w14:solidFill>
              <w14:schemeClr w14:val="tx1"/>
            </w14:solidFill>
          </w14:textFill>
        </w:rPr>
        <w:t>)号</w:t>
      </w:r>
    </w:p>
    <w:p>
      <w:pPr>
        <w:shd w:val="clear"/>
        <w:rPr>
          <w:rFonts w:hint="eastAsia" w:ascii="仿宋_GB2312" w:hAnsi="仿宋_GB2312" w:eastAsia="仿宋_GB2312" w:cs="仿宋_GB2312"/>
          <w:color w:val="000000" w:themeColor="text1"/>
          <w:sz w:val="52"/>
          <w:szCs w:val="52"/>
          <w:highlight w:val="none"/>
          <w:u w:val="none"/>
          <w14:textFill>
            <w14:solidFill>
              <w14:schemeClr w14:val="tx1"/>
            </w14:solidFill>
          </w14:textFill>
        </w:rPr>
      </w:pPr>
    </w:p>
    <w:p>
      <w:pPr>
        <w:shd w:val="clear"/>
        <w:spacing w:line="360" w:lineRule="auto"/>
        <w:jc w:val="center"/>
        <w:rPr>
          <w:rFonts w:hint="eastAsia" w:ascii="仿宋_GB2312" w:hAnsi="仿宋_GB2312" w:eastAsia="仿宋_GB2312" w:cs="仿宋_GB2312"/>
          <w:b/>
          <w:color w:val="000000" w:themeColor="text1"/>
          <w:sz w:val="48"/>
          <w:szCs w:val="48"/>
          <w:highlight w:val="none"/>
          <w:u w:val="none"/>
          <w14:textFill>
            <w14:solidFill>
              <w14:schemeClr w14:val="tx1"/>
            </w14:solidFill>
          </w14:textFill>
        </w:rPr>
      </w:pPr>
      <w:r>
        <w:rPr>
          <w:rFonts w:hint="eastAsia" w:ascii="仿宋_GB2312" w:hAnsi="仿宋_GB2312" w:eastAsia="仿宋_GB2312" w:cs="仿宋_GB2312"/>
          <w:b/>
          <w:color w:val="000000" w:themeColor="text1"/>
          <w:sz w:val="48"/>
          <w:szCs w:val="48"/>
          <w:highlight w:val="none"/>
          <w:u w:val="none"/>
          <w:lang w:val="en-US" w:eastAsia="zh-CN"/>
          <w14:textFill>
            <w14:solidFill>
              <w14:schemeClr w14:val="tx1"/>
            </w14:solidFill>
          </w14:textFill>
        </w:rPr>
        <w:t>服 务</w:t>
      </w:r>
      <w:r>
        <w:rPr>
          <w:rFonts w:hint="eastAsia" w:ascii="仿宋_GB2312" w:hAnsi="仿宋_GB2312" w:eastAsia="仿宋_GB2312" w:cs="仿宋_GB2312"/>
          <w:b/>
          <w:color w:val="000000" w:themeColor="text1"/>
          <w:sz w:val="48"/>
          <w:szCs w:val="48"/>
          <w:highlight w:val="none"/>
          <w:u w:val="none"/>
          <w14:textFill>
            <w14:solidFill>
              <w14:schemeClr w14:val="tx1"/>
            </w14:solidFill>
          </w14:textFill>
        </w:rPr>
        <w:t xml:space="preserve"> 合 同</w:t>
      </w:r>
    </w:p>
    <w:p>
      <w:pPr>
        <w:shd w:val="clear"/>
        <w:spacing w:line="360" w:lineRule="auto"/>
        <w:jc w:val="center"/>
        <w:rPr>
          <w:rFonts w:hint="eastAsia" w:ascii="仿宋_GB2312" w:hAnsi="仿宋_GB2312" w:eastAsia="仿宋_GB2312" w:cs="仿宋_GB2312"/>
          <w:color w:val="000000" w:themeColor="text1"/>
          <w:sz w:val="44"/>
          <w:szCs w:val="44"/>
          <w:highlight w:val="none"/>
          <w:u w:val="none"/>
          <w14:textFill>
            <w14:solidFill>
              <w14:schemeClr w14:val="tx1"/>
            </w14:solidFill>
          </w14:textFill>
        </w:rPr>
      </w:pPr>
      <w:r>
        <w:rPr>
          <w:rFonts w:hint="eastAsia" w:ascii="仿宋_GB2312" w:hAnsi="仿宋_GB2312" w:eastAsia="仿宋_GB2312" w:cs="仿宋_GB2312"/>
          <w:b/>
          <w:bCs/>
          <w:color w:val="000000" w:themeColor="text1"/>
          <w:sz w:val="44"/>
          <w:szCs w:val="44"/>
          <w:highlight w:val="none"/>
          <w:u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44"/>
          <w:szCs w:val="44"/>
          <w:highlight w:val="none"/>
          <w:u w:val="none"/>
          <w14:textFill>
            <w14:solidFill>
              <w14:schemeClr w14:val="tx1"/>
            </w14:solidFill>
          </w14:textFill>
        </w:rPr>
        <w:t>(</w:t>
      </w:r>
      <w:r>
        <w:rPr>
          <w:rFonts w:hint="eastAsia" w:ascii="仿宋_GB2312" w:hAnsi="仿宋_GB2312" w:eastAsia="仿宋_GB2312" w:cs="仿宋_GB2312"/>
          <w:b/>
          <w:bCs/>
          <w:color w:val="000000" w:themeColor="text1"/>
          <w:sz w:val="44"/>
          <w:szCs w:val="44"/>
          <w:highlight w:val="none"/>
          <w:u w:val="none"/>
          <w:lang w:val="en-US" w:eastAsia="zh-CN"/>
          <w14:textFill>
            <w14:solidFill>
              <w14:schemeClr w14:val="tx1"/>
            </w14:solidFill>
          </w14:textFill>
        </w:rPr>
        <w:t>项目</w:t>
      </w:r>
      <w:r>
        <w:rPr>
          <w:rFonts w:hint="eastAsia" w:ascii="仿宋_GB2312" w:hAnsi="仿宋_GB2312" w:eastAsia="仿宋_GB2312" w:cs="仿宋_GB2312"/>
          <w:b/>
          <w:bCs/>
          <w:color w:val="000000" w:themeColor="text1"/>
          <w:sz w:val="44"/>
          <w:szCs w:val="44"/>
          <w:highlight w:val="none"/>
          <w:u w:val="none"/>
          <w14:textFill>
            <w14:solidFill>
              <w14:schemeClr w14:val="tx1"/>
            </w14:solidFill>
          </w14:textFill>
        </w:rPr>
        <w:t>名称:</w:t>
      </w:r>
      <w:r>
        <w:rPr>
          <w:rFonts w:hint="eastAsia" w:ascii="仿宋_GB2312" w:hAnsi="仿宋_GB2312" w:eastAsia="仿宋_GB2312" w:cs="仿宋_GB2312"/>
          <w:b/>
          <w:bCs/>
          <w:color w:val="000000" w:themeColor="text1"/>
          <w:sz w:val="44"/>
          <w:szCs w:val="44"/>
          <w:highlight w:val="none"/>
          <w:u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44"/>
          <w:szCs w:val="44"/>
          <w:highlight w:val="none"/>
          <w:u w:val="none"/>
          <w14:textFill>
            <w14:solidFill>
              <w14:schemeClr w14:val="tx1"/>
            </w14:solidFill>
          </w14:textFill>
        </w:rPr>
        <w:t>)</w:t>
      </w:r>
    </w:p>
    <w:p>
      <w:pPr>
        <w:shd w:val="clear"/>
        <w:spacing w:line="510" w:lineRule="atLeast"/>
        <w:rPr>
          <w:rFonts w:hint="eastAsia" w:ascii="仿宋_GB2312" w:hAnsi="仿宋_GB2312" w:eastAsia="仿宋_GB2312" w:cs="仿宋_GB2312"/>
          <w:b/>
          <w:color w:val="000000" w:themeColor="text1"/>
          <w:sz w:val="30"/>
          <w:szCs w:val="30"/>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sz w:val="30"/>
          <w:szCs w:val="30"/>
          <w:highlight w:val="none"/>
          <w:u w:val="none"/>
          <w:lang w:val="en-US" w:eastAsia="zh-CN"/>
          <w14:textFill>
            <w14:solidFill>
              <w14:schemeClr w14:val="tx1"/>
            </w14:solidFill>
          </w14:textFill>
        </w:rPr>
        <w:t xml:space="preserve">                    包号：1/2包</w:t>
      </w:r>
    </w:p>
    <w:p>
      <w:pPr>
        <w:pStyle w:val="2"/>
        <w:shd w:val="clear"/>
        <w:rPr>
          <w:rFonts w:hint="eastAsia" w:ascii="仿宋_GB2312" w:hAnsi="仿宋_GB2312" w:eastAsia="仿宋_GB2312" w:cs="仿宋_GB2312"/>
          <w:b/>
          <w:color w:val="000000" w:themeColor="text1"/>
          <w:sz w:val="30"/>
          <w:szCs w:val="30"/>
          <w:highlight w:val="none"/>
          <w:u w:val="none"/>
          <w14:textFill>
            <w14:solidFill>
              <w14:schemeClr w14:val="tx1"/>
            </w14:solidFill>
          </w14:textFill>
        </w:rPr>
      </w:pPr>
    </w:p>
    <w:p>
      <w:pPr>
        <w:shd w:val="clear"/>
        <w:rPr>
          <w:rFonts w:hint="eastAsia" w:ascii="仿宋_GB2312" w:hAnsi="仿宋_GB2312" w:eastAsia="仿宋_GB2312" w:cs="仿宋_GB2312"/>
          <w:color w:val="000000" w:themeColor="text1"/>
          <w:highlight w:val="none"/>
          <w:u w:val="none"/>
          <w14:textFill>
            <w14:solidFill>
              <w14:schemeClr w14:val="tx1"/>
            </w14:solidFill>
          </w14:textFill>
        </w:rPr>
      </w:pPr>
    </w:p>
    <w:p>
      <w:pPr>
        <w:pStyle w:val="2"/>
        <w:shd w:val="clear"/>
        <w:rPr>
          <w:rFonts w:hint="eastAsia" w:ascii="仿宋_GB2312" w:hAnsi="仿宋_GB2312" w:eastAsia="仿宋_GB2312" w:cs="仿宋_GB2312"/>
          <w:color w:val="000000" w:themeColor="text1"/>
          <w:highlight w:val="none"/>
          <w:u w:val="none"/>
          <w14:textFill>
            <w14:solidFill>
              <w14:schemeClr w14:val="tx1"/>
            </w14:solidFill>
          </w14:textFill>
        </w:rPr>
      </w:pPr>
    </w:p>
    <w:p>
      <w:pPr>
        <w:shd w:val="clear"/>
        <w:spacing w:line="510" w:lineRule="atLeast"/>
        <w:jc w:val="center"/>
        <w:rPr>
          <w:rFonts w:hint="eastAsia" w:ascii="仿宋_GB2312" w:hAnsi="仿宋_GB2312" w:eastAsia="仿宋_GB2312" w:cs="仿宋_GB2312"/>
          <w:b/>
          <w:color w:val="000000" w:themeColor="text1"/>
          <w:sz w:val="30"/>
          <w:szCs w:val="30"/>
          <w:highlight w:val="none"/>
          <w:u w:val="none"/>
          <w14:textFill>
            <w14:solidFill>
              <w14:schemeClr w14:val="tx1"/>
            </w14:solidFill>
          </w14:textFill>
        </w:rPr>
      </w:pPr>
    </w:p>
    <w:p>
      <w:pPr>
        <w:pStyle w:val="2"/>
        <w:shd w:val="clear"/>
        <w:rPr>
          <w:rFonts w:hint="eastAsia" w:ascii="仿宋_GB2312" w:hAnsi="仿宋_GB2312" w:eastAsia="仿宋_GB2312" w:cs="仿宋_GB2312"/>
          <w:b/>
          <w:color w:val="000000" w:themeColor="text1"/>
          <w:sz w:val="30"/>
          <w:szCs w:val="30"/>
          <w:highlight w:val="none"/>
          <w:u w:val="none"/>
          <w14:textFill>
            <w14:solidFill>
              <w14:schemeClr w14:val="tx1"/>
            </w14:solidFill>
          </w14:textFill>
        </w:rPr>
      </w:pPr>
    </w:p>
    <w:p>
      <w:pPr>
        <w:shd w:val="clear"/>
        <w:spacing w:line="510" w:lineRule="atLeast"/>
        <w:jc w:val="both"/>
        <w:rPr>
          <w:rFonts w:hint="eastAsia" w:ascii="仿宋_GB2312" w:hAnsi="仿宋_GB2312" w:eastAsia="仿宋_GB2312" w:cs="仿宋_GB2312"/>
          <w:b/>
          <w:color w:val="000000" w:themeColor="text1"/>
          <w:sz w:val="30"/>
          <w:szCs w:val="30"/>
          <w:highlight w:val="none"/>
          <w:u w:val="none"/>
          <w14:textFill>
            <w14:solidFill>
              <w14:schemeClr w14:val="tx1"/>
            </w14:solidFill>
          </w14:textFill>
        </w:rPr>
      </w:pPr>
    </w:p>
    <w:p>
      <w:pPr>
        <w:pStyle w:val="2"/>
        <w:rPr>
          <w:rFonts w:hint="eastAsia"/>
        </w:rPr>
      </w:pPr>
    </w:p>
    <w:p>
      <w:pPr>
        <w:pStyle w:val="2"/>
        <w:shd w:val="clear"/>
        <w:rPr>
          <w:rFonts w:hint="eastAsia" w:ascii="仿宋_GB2312" w:hAnsi="仿宋_GB2312" w:eastAsia="仿宋_GB2312" w:cs="仿宋_GB2312"/>
          <w:color w:val="000000" w:themeColor="text1"/>
          <w:highlight w:val="none"/>
          <w:u w:val="none"/>
          <w14:textFill>
            <w14:solidFill>
              <w14:schemeClr w14:val="tx1"/>
            </w14:solidFill>
          </w14:textFill>
        </w:rPr>
      </w:pPr>
    </w:p>
    <w:p>
      <w:pPr>
        <w:shd w:val="clear"/>
        <w:spacing w:line="510" w:lineRule="atLeast"/>
        <w:rPr>
          <w:rFonts w:hint="eastAsia" w:ascii="仿宋_GB2312" w:hAnsi="仿宋_GB2312" w:eastAsia="仿宋_GB2312" w:cs="仿宋_GB2312"/>
          <w:b/>
          <w:color w:val="000000" w:themeColor="text1"/>
          <w:sz w:val="30"/>
          <w:szCs w:val="30"/>
          <w:highlight w:val="none"/>
          <w:u w:val="none"/>
          <w14:textFill>
            <w14:solidFill>
              <w14:schemeClr w14:val="tx1"/>
            </w14:solidFill>
          </w14:textFill>
        </w:rPr>
      </w:pPr>
    </w:p>
    <w:p>
      <w:pPr>
        <w:shd w:val="clear"/>
        <w:snapToGrid w:val="0"/>
        <w:spacing w:line="360" w:lineRule="auto"/>
        <w:rPr>
          <w:rFonts w:hint="eastAsia" w:ascii="仿宋_GB2312" w:hAnsi="仿宋_GB2312" w:eastAsia="仿宋_GB2312" w:cs="仿宋_GB2312"/>
          <w:b/>
          <w:color w:val="000000" w:themeColor="text1"/>
          <w:sz w:val="36"/>
          <w:szCs w:val="36"/>
          <w:highlight w:val="none"/>
          <w:u w:val="none"/>
          <w:lang w:eastAsia="zh-CN"/>
          <w14:textFill>
            <w14:solidFill>
              <w14:schemeClr w14:val="tx1"/>
            </w14:solidFill>
          </w14:textFill>
        </w:rPr>
      </w:pPr>
      <w:r>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t>甲  方:</w:t>
      </w:r>
      <w:r>
        <w:rPr>
          <w:rFonts w:hint="eastAsia" w:ascii="仿宋_GB2312" w:hAnsi="仿宋_GB2312" w:eastAsia="仿宋_GB2312" w:cs="仿宋_GB2312"/>
          <w:b/>
          <w:color w:val="000000" w:themeColor="text1"/>
          <w:sz w:val="36"/>
          <w:szCs w:val="36"/>
          <w:highlight w:val="none"/>
          <w:u w:val="none"/>
          <w:lang w:eastAsia="zh-CN"/>
          <w14:textFill>
            <w14:solidFill>
              <w14:schemeClr w14:val="tx1"/>
            </w14:solidFill>
          </w14:textFill>
        </w:rPr>
        <w:t>西安市雁塔区住房和城乡建设局</w:t>
      </w:r>
    </w:p>
    <w:p>
      <w:pPr>
        <w:shd w:val="clear"/>
        <w:tabs>
          <w:tab w:val="left" w:pos="480"/>
        </w:tabs>
        <w:snapToGrid w:val="0"/>
        <w:spacing w:line="360" w:lineRule="auto"/>
        <w:rPr>
          <w:rFonts w:hint="default" w:ascii="仿宋_GB2312" w:hAnsi="仿宋_GB2312" w:eastAsia="仿宋_GB2312" w:cs="仿宋_GB2312"/>
          <w:b/>
          <w:color w:val="000000" w:themeColor="text1"/>
          <w:sz w:val="36"/>
          <w:szCs w:val="36"/>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t>乙  方:</w:t>
      </w:r>
      <w:r>
        <w:rPr>
          <w:rFonts w:hint="eastAsia" w:ascii="仿宋_GB2312" w:hAnsi="仿宋_GB2312" w:eastAsia="仿宋_GB2312" w:cs="仿宋_GB2312"/>
          <w:b/>
          <w:color w:val="000000" w:themeColor="text1"/>
          <w:sz w:val="36"/>
          <w:szCs w:val="36"/>
          <w:highlight w:val="none"/>
          <w:u w:val="none"/>
          <w:lang w:val="en-US" w:eastAsia="zh-CN"/>
          <w14:textFill>
            <w14:solidFill>
              <w14:schemeClr w14:val="tx1"/>
            </w14:solidFill>
          </w14:textFill>
        </w:rPr>
        <w:t xml:space="preserve">          </w:t>
      </w:r>
    </w:p>
    <w:p>
      <w:pPr>
        <w:shd w:val="clear"/>
        <w:spacing w:line="510" w:lineRule="atLeast"/>
        <w:jc w:val="center"/>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pPr>
    </w:p>
    <w:p>
      <w:pPr>
        <w:shd w:val="clear"/>
        <w:snapToGrid w:val="0"/>
        <w:spacing w:line="360" w:lineRule="auto"/>
        <w:ind w:firstLine="2530" w:firstLineChars="700"/>
        <w:jc w:val="both"/>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pPr>
      <w:r>
        <w:rPr>
          <w:rFonts w:hint="eastAsia" w:ascii="仿宋_GB2312" w:hAnsi="仿宋_GB2312" w:eastAsia="仿宋_GB2312" w:cs="仿宋_GB2312"/>
          <w:b/>
          <w:color w:val="000000" w:themeColor="text1"/>
          <w:sz w:val="36"/>
          <w:szCs w:val="36"/>
          <w:highlight w:val="none"/>
          <w:u w:val="none"/>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t>年</w:t>
      </w:r>
      <w:r>
        <w:rPr>
          <w:rFonts w:hint="eastAsia" w:ascii="仿宋_GB2312" w:hAnsi="仿宋_GB2312" w:eastAsia="仿宋_GB2312" w:cs="仿宋_GB2312"/>
          <w:b/>
          <w:color w:val="000000" w:themeColor="text1"/>
          <w:sz w:val="36"/>
          <w:szCs w:val="36"/>
          <w:highlight w:val="none"/>
          <w:u w:val="none"/>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t>月</w:t>
      </w:r>
    </w:p>
    <w:p>
      <w:pPr>
        <w:shd w:val="clear"/>
        <w:snapToGrid w:val="0"/>
        <w:spacing w:line="360" w:lineRule="auto"/>
        <w:ind w:firstLine="2530" w:firstLineChars="700"/>
        <w:jc w:val="both"/>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pPr>
      <w:r>
        <w:rPr>
          <w:rFonts w:hint="eastAsia" w:ascii="仿宋_GB2312" w:hAnsi="仿宋_GB2312" w:eastAsia="仿宋_GB2312" w:cs="仿宋_GB2312"/>
          <w:b/>
          <w:color w:val="000000" w:themeColor="text1"/>
          <w:sz w:val="36"/>
          <w:szCs w:val="36"/>
          <w:highlight w:val="none"/>
          <w:u w:val="none"/>
          <w14:textFill>
            <w14:solidFill>
              <w14:schemeClr w14:val="tx1"/>
            </w14:solidFill>
          </w14:textFill>
        </w:rPr>
        <w:t>中国  西安</w:t>
      </w:r>
    </w:p>
    <w:p>
      <w:pPr>
        <w:pStyle w:val="3"/>
        <w:numPr>
          <w:ilvl w:val="0"/>
          <w:numId w:val="0"/>
        </w:numPr>
        <w:shd w:val="clear"/>
        <w:jc w:val="center"/>
        <w:outlineLvl w:val="0"/>
        <w:rPr>
          <w:rFonts w:hint="eastAsia" w:ascii="仿宋_GB2312" w:hAnsi="仿宋_GB2312" w:eastAsia="仿宋_GB2312" w:cs="仿宋_GB2312"/>
          <w:bCs/>
          <w:color w:val="000000" w:themeColor="text1"/>
          <w:sz w:val="36"/>
          <w:szCs w:val="36"/>
          <w:highlight w:val="none"/>
          <w:u w:val="none"/>
          <w14:textFill>
            <w14:solidFill>
              <w14:schemeClr w14:val="tx1"/>
            </w14:solidFill>
          </w14:textFill>
        </w:rPr>
      </w:pPr>
    </w:p>
    <w:p>
      <w:pPr>
        <w:rPr>
          <w:rFonts w:hint="eastAsia"/>
        </w:rPr>
      </w:pPr>
    </w:p>
    <w:p>
      <w:pPr>
        <w:rPr>
          <w:rFonts w:hint="eastAsia"/>
        </w:rPr>
      </w:pPr>
    </w:p>
    <w:p>
      <w:pPr>
        <w:pStyle w:val="3"/>
        <w:numPr>
          <w:ilvl w:val="0"/>
          <w:numId w:val="0"/>
        </w:numPr>
        <w:shd w:val="clear"/>
        <w:jc w:val="center"/>
        <w:outlineLvl w:val="0"/>
        <w:rPr>
          <w:rFonts w:hint="eastAsia" w:ascii="仿宋_GB2312" w:hAnsi="仿宋_GB2312" w:eastAsia="仿宋_GB2312" w:cs="仿宋_GB2312"/>
          <w:bCs/>
          <w:color w:val="000000" w:themeColor="text1"/>
          <w:sz w:val="36"/>
          <w:szCs w:val="36"/>
          <w:highlight w:val="none"/>
          <w:u w:val="none"/>
          <w14:textFill>
            <w14:solidFill>
              <w14:schemeClr w14:val="tx1"/>
            </w14:solidFill>
          </w14:textFill>
        </w:rPr>
      </w:pPr>
      <w:r>
        <w:rPr>
          <w:rFonts w:hint="eastAsia" w:ascii="仿宋_GB2312" w:hAnsi="仿宋_GB2312" w:eastAsia="仿宋_GB2312" w:cs="仿宋_GB2312"/>
          <w:bCs/>
          <w:color w:val="000000" w:themeColor="text1"/>
          <w:sz w:val="36"/>
          <w:szCs w:val="36"/>
          <w:highlight w:val="none"/>
          <w:u w:val="none"/>
          <w14:textFill>
            <w14:solidFill>
              <w14:schemeClr w14:val="tx1"/>
            </w14:solidFill>
          </w14:textFill>
        </w:rPr>
        <w:t>合同条款及格式</w:t>
      </w:r>
    </w:p>
    <w:p>
      <w:pPr>
        <w:keepNext w:val="0"/>
        <w:keepLines w:val="0"/>
        <w:pageBreakBefore w:val="0"/>
        <w:shd w:val="clear"/>
        <w:tabs>
          <w:tab w:val="left" w:pos="735"/>
        </w:tabs>
        <w:kinsoku/>
        <w:wordWrap/>
        <w:overflowPunct/>
        <w:topLinePunct w:val="0"/>
        <w:autoSpaceDE w:val="0"/>
        <w:autoSpaceDN w:val="0"/>
        <w:bidi w:val="0"/>
        <w:adjustRightInd w:val="0"/>
        <w:snapToGrid w:val="0"/>
        <w:spacing w:line="440" w:lineRule="exact"/>
        <w:ind w:firstLine="631"/>
        <w:rPr>
          <w:rFonts w:hint="eastAsia" w:ascii="仿宋_GB2312" w:hAnsi="仿宋_GB2312" w:eastAsia="仿宋_GB2312" w:cs="仿宋_GB2312"/>
          <w:b/>
          <w:bCs/>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u w:val="none"/>
          <w:lang w:val="zh-CN"/>
          <w14:textFill>
            <w14:solidFill>
              <w14:schemeClr w14:val="tx1"/>
            </w14:solidFill>
          </w14:textFill>
        </w:rPr>
        <w:t>采购人(以下简称甲方):</w:t>
      </w:r>
      <w:r>
        <w:rPr>
          <w:rFonts w:hint="eastAsia" w:ascii="仿宋_GB2312" w:hAnsi="仿宋_GB2312" w:eastAsia="仿宋_GB2312" w:cs="仿宋_GB2312"/>
          <w:b/>
          <w:bCs/>
          <w:color w:val="000000" w:themeColor="text1"/>
          <w:sz w:val="24"/>
          <w:szCs w:val="24"/>
          <w:highlight w:val="none"/>
          <w:u w:val="single"/>
          <w:lang w:val="en-US" w:eastAsia="zh-CN"/>
          <w14:textFill>
            <w14:solidFill>
              <w14:schemeClr w14:val="tx1"/>
            </w14:solidFill>
          </w14:textFill>
        </w:rPr>
        <w:t xml:space="preserve">                         </w:t>
      </w:r>
    </w:p>
    <w:p>
      <w:pPr>
        <w:keepNext w:val="0"/>
        <w:keepLines w:val="0"/>
        <w:pageBreakBefore w:val="0"/>
        <w:shd w:val="clear"/>
        <w:tabs>
          <w:tab w:val="left" w:pos="735"/>
        </w:tabs>
        <w:kinsoku/>
        <w:wordWrap/>
        <w:overflowPunct/>
        <w:topLinePunct w:val="0"/>
        <w:autoSpaceDE w:val="0"/>
        <w:autoSpaceDN w:val="0"/>
        <w:bidi w:val="0"/>
        <w:adjustRightInd w:val="0"/>
        <w:snapToGrid w:val="0"/>
        <w:spacing w:line="440" w:lineRule="exact"/>
        <w:ind w:firstLine="631"/>
        <w:rPr>
          <w:rFonts w:hint="eastAsia" w:ascii="仿宋_GB2312" w:hAnsi="仿宋_GB2312" w:eastAsia="仿宋_GB2312" w:cs="仿宋_GB2312"/>
          <w:b/>
          <w:bCs/>
          <w:color w:val="000000" w:themeColor="text1"/>
          <w:sz w:val="24"/>
          <w:szCs w:val="24"/>
          <w:highlight w:val="none"/>
          <w:u w:val="none"/>
          <w:lang w:val="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u w:val="none"/>
          <w:lang w:val="zh-CN"/>
          <w14:textFill>
            <w14:solidFill>
              <w14:schemeClr w14:val="tx1"/>
            </w14:solidFill>
          </w14:textFill>
        </w:rPr>
        <w:t>供应商(以下简称乙方):</w:t>
      </w:r>
      <w:r>
        <w:rPr>
          <w:rFonts w:hint="eastAsia" w:ascii="仿宋_GB2312" w:hAnsi="仿宋_GB2312" w:eastAsia="仿宋_GB2312" w:cs="仿宋_GB2312"/>
          <w:b/>
          <w:bCs/>
          <w:color w:val="000000" w:themeColor="text1"/>
          <w:sz w:val="24"/>
          <w:szCs w:val="24"/>
          <w:highlight w:val="none"/>
          <w:u w:val="single"/>
          <w:lang w:val="zh-CN"/>
          <w14:textFill>
            <w14:solidFill>
              <w14:schemeClr w14:val="tx1"/>
            </w14:solidFill>
          </w14:textFill>
        </w:rPr>
        <w:t xml:space="preserve">                         </w:t>
      </w:r>
    </w:p>
    <w:p>
      <w:pPr>
        <w:pStyle w:val="2"/>
        <w:shd w:val="clear"/>
        <w:rPr>
          <w:rFonts w:hint="eastAsia" w:ascii="仿宋_GB2312" w:hAnsi="仿宋_GB2312" w:eastAsia="仿宋_GB2312" w:cs="仿宋_GB2312"/>
          <w:color w:val="000000" w:themeColor="text1"/>
          <w:u w:val="none"/>
          <w:lang w:val="en-US" w:eastAsia="zh-CN"/>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甲方就</w:t>
      </w:r>
      <w:r>
        <w:rPr>
          <w:rFonts w:hint="eastAsia" w:ascii="仿宋_GB2312" w:hAnsi="仿宋_GB2312" w:eastAsia="仿宋_GB2312" w:cs="仿宋_GB2312"/>
          <w:color w:val="000000" w:themeColor="text1"/>
          <w:sz w:val="24"/>
          <w:szCs w:val="24"/>
          <w:highlight w:val="none"/>
          <w:u w:val="single"/>
          <w:lang w:eastAsia="zh-CN"/>
          <w14:textFill>
            <w14:solidFill>
              <w14:schemeClr w14:val="tx1"/>
            </w14:solidFill>
          </w14:textFill>
        </w:rPr>
        <w:t>房屋建筑（含装饰装修）工程质量检查第三方技术服务</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,按照政府采购程序组织竞争性磋商,确定乙方为</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（采购包</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1/采购包2</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中标供应商｡根据《中</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华</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人民共和国</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政府采购</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法》《中</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华</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人民共和国</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民法典</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》及相关法律法规,甲､乙双方就</w:t>
      </w:r>
      <w:r>
        <w:rPr>
          <w:rFonts w:hint="eastAsia" w:ascii="仿宋_GB2312" w:hAnsi="仿宋_GB2312" w:eastAsia="仿宋_GB2312" w:cs="仿宋_GB2312"/>
          <w:color w:val="000000" w:themeColor="text1"/>
          <w:sz w:val="24"/>
          <w:szCs w:val="24"/>
          <w:highlight w:val="none"/>
          <w:u w:val="single"/>
          <w:lang w:val="en-US" w:eastAsia="zh-CN"/>
          <w14:textFill>
            <w14:solidFill>
              <w14:schemeClr w14:val="tx1"/>
            </w14:solidFill>
          </w14:textFill>
        </w:rPr>
        <w:t>西安市雁塔区住房和城乡建设局房屋建筑（含装饰装修）工程质量检查第三方技术服务</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事宜,经协商一致,达成如下协议:</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一、</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合同内容</w:t>
      </w:r>
    </w:p>
    <w:p>
      <w:pPr>
        <w:pStyle w:val="9"/>
        <w:shd w:val="clear"/>
        <w:spacing w:line="360" w:lineRule="auto"/>
        <w:ind w:firstLine="0"/>
        <w:jc w:val="left"/>
        <w:rPr>
          <w:rFonts w:hint="eastAsia" w:ascii="仿宋_GB2312" w:hAnsi="仿宋_GB2312" w:eastAsia="仿宋_GB2312" w:cs="仿宋_GB2312"/>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u w:val="none"/>
          <w:lang w:val="en-US" w:eastAsia="zh-CN" w:bidi="ar-SA"/>
          <w14:textFill>
            <w14:solidFill>
              <w14:schemeClr w14:val="tx1"/>
            </w14:solidFill>
          </w14:textFill>
        </w:rPr>
        <w:t>西安市雁塔区住房和城乡建设局房屋建筑（含装饰装修）工程质量检查第三方技术服务等,具体内容:</w:t>
      </w:r>
    </w:p>
    <w:tbl>
      <w:tblPr>
        <w:tblStyle w:val="7"/>
        <w:tblW w:w="9438" w:type="dxa"/>
        <w:tblInd w:w="0" w:type="dxa"/>
        <w:tblLayout w:type="fixed"/>
        <w:tblCellMar>
          <w:top w:w="0" w:type="dxa"/>
          <w:left w:w="28" w:type="dxa"/>
          <w:bottom w:w="0" w:type="dxa"/>
          <w:right w:w="28" w:type="dxa"/>
        </w:tblCellMar>
      </w:tblPr>
      <w:tblGrid>
        <w:gridCol w:w="770"/>
        <w:gridCol w:w="1679"/>
        <w:gridCol w:w="1607"/>
        <w:gridCol w:w="1510"/>
        <w:gridCol w:w="1715"/>
        <w:gridCol w:w="1460"/>
        <w:gridCol w:w="697"/>
      </w:tblGrid>
      <w:tr>
        <w:tblPrEx>
          <w:tblCellMar>
            <w:top w:w="0" w:type="dxa"/>
            <w:left w:w="28" w:type="dxa"/>
            <w:bottom w:w="0" w:type="dxa"/>
            <w:right w:w="28" w:type="dxa"/>
          </w:tblCellMar>
        </w:tblPrEx>
        <w:trPr>
          <w:trHeight w:val="705" w:hRule="atLeast"/>
        </w:trPr>
        <w:tc>
          <w:tcPr>
            <w:tcW w:w="770" w:type="dxa"/>
            <w:tcBorders>
              <w:top w:val="single" w:color="auto" w:sz="6" w:space="0"/>
              <w:left w:val="single" w:color="auto" w:sz="6" w:space="0"/>
              <w:bottom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序号</w:t>
            </w:r>
          </w:p>
        </w:tc>
        <w:tc>
          <w:tcPr>
            <w:tcW w:w="1679" w:type="dxa"/>
            <w:tcBorders>
              <w:top w:val="single" w:color="auto" w:sz="6" w:space="0"/>
              <w:left w:val="single" w:color="auto" w:sz="6"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服务</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名称</w:t>
            </w:r>
          </w:p>
        </w:tc>
        <w:tc>
          <w:tcPr>
            <w:tcW w:w="1607" w:type="dxa"/>
            <w:tcBorders>
              <w:top w:val="single" w:color="auto" w:sz="6" w:space="0"/>
              <w:left w:val="single" w:color="auto" w:sz="6"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计量单位</w:t>
            </w: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数量</w:t>
            </w: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单价（元）</w:t>
            </w:r>
          </w:p>
        </w:tc>
        <w:tc>
          <w:tcPr>
            <w:tcW w:w="1460" w:type="dxa"/>
            <w:tcBorders>
              <w:top w:val="single" w:color="auto" w:sz="6" w:space="0"/>
              <w:left w:val="single" w:color="auto" w:sz="6" w:space="0"/>
              <w:bottom w:val="single" w:color="auto" w:sz="6"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金额(元)</w:t>
            </w:r>
          </w:p>
        </w:tc>
        <w:tc>
          <w:tcPr>
            <w:tcW w:w="697" w:type="dxa"/>
            <w:tcBorders>
              <w:top w:val="single" w:color="auto" w:sz="6" w:space="0"/>
              <w:left w:val="single" w:color="auto" w:sz="4"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备注</w:t>
            </w: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adjustRightInd w:val="0"/>
              <w:snapToGrid w:val="0"/>
              <w:spacing w:line="360" w:lineRule="auto"/>
              <w:jc w:val="center"/>
              <w:rPr>
                <w:rFonts w:hint="eastAsia" w:ascii="仿宋_GB2312" w:hAnsi="仿宋_GB2312" w:eastAsia="仿宋_GB2312" w:cs="仿宋_GB2312"/>
                <w:color w:val="000000" w:themeColor="text1"/>
                <w:sz w:val="22"/>
                <w:szCs w:val="22"/>
                <w:highlight w:val="none"/>
                <w:u w:val="none"/>
                <w14:textFill>
                  <w14:solidFill>
                    <w14:schemeClr w14:val="tx1"/>
                  </w14:solidFill>
                </w14:textFill>
              </w:rPr>
            </w:pPr>
            <w:r>
              <w:rPr>
                <w:rFonts w:hint="eastAsia" w:ascii="仿宋_GB2312" w:hAnsi="仿宋_GB2312" w:eastAsia="仿宋_GB2312" w:cs="仿宋_GB2312"/>
                <w:color w:val="000000" w:themeColor="text1"/>
                <w:sz w:val="22"/>
                <w:szCs w:val="22"/>
                <w:highlight w:val="none"/>
                <w:u w:val="none"/>
                <w14:textFill>
                  <w14:solidFill>
                    <w14:schemeClr w14:val="tx1"/>
                  </w14:solidFill>
                </w14:textFill>
              </w:rPr>
              <w:t>1</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2"/>
                <w:szCs w:val="22"/>
                <w:highlight w:val="none"/>
                <w:u w:val="none"/>
                <w14:textFill>
                  <w14:solidFill>
                    <w14:schemeClr w14:val="tx1"/>
                  </w14:solidFill>
                </w14:textFill>
              </w:rPr>
            </w:pP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2"/>
                <w:szCs w:val="22"/>
                <w:highlight w:val="none"/>
                <w:u w:val="none"/>
                <w14:textFill>
                  <w14:solidFill>
                    <w14:schemeClr w14:val="tx1"/>
                  </w14:solidFill>
                </w14:textFill>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2"/>
                <w:szCs w:val="22"/>
                <w:highlight w:val="none"/>
                <w:u w:val="none"/>
                <w:lang w:val="en-US" w:eastAsia="zh-CN"/>
                <w14:textFill>
                  <w14:solidFill>
                    <w14:schemeClr w14:val="tx1"/>
                  </w14:solidFill>
                </w14:textFill>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2"/>
                <w:szCs w:val="22"/>
                <w:highlight w:val="none"/>
                <w:u w:val="none"/>
                <w:lang w:val="en-US" w:eastAsia="zh-CN"/>
                <w14:textFill>
                  <w14:solidFill>
                    <w14:schemeClr w14:val="tx1"/>
                  </w14:solidFill>
                </w14:textFill>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2"/>
                <w:szCs w:val="22"/>
                <w:highlight w:val="none"/>
                <w:u w:val="none"/>
                <w:lang w:val="en-US" w:eastAsia="zh-CN"/>
                <w14:textFill>
                  <w14:solidFill>
                    <w14:schemeClr w14:val="tx1"/>
                  </w14:solidFill>
                </w14:textFill>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snapToGrid w:val="0"/>
              <w:spacing w:line="240" w:lineRule="auto"/>
              <w:jc w:val="center"/>
              <w:rPr>
                <w:rFonts w:hint="eastAsia" w:ascii="仿宋_GB2312" w:hAnsi="仿宋_GB2312" w:eastAsia="仿宋_GB2312" w:cs="仿宋_GB2312"/>
                <w:color w:val="000000" w:themeColor="text1"/>
                <w:sz w:val="22"/>
                <w:szCs w:val="22"/>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22"/>
                <w:szCs w:val="22"/>
                <w:highlight w:val="none"/>
                <w:u w:val="none"/>
                <w:lang w:val="en-US" w:eastAsia="zh-CN"/>
                <w14:textFill>
                  <w14:solidFill>
                    <w14:schemeClr w14:val="tx1"/>
                  </w14:solidFill>
                </w14:textFill>
              </w:rPr>
              <w:t>无</w:t>
            </w:r>
          </w:p>
        </w:tc>
      </w:tr>
      <w:tr>
        <w:tblPrEx>
          <w:tblCellMar>
            <w:top w:w="0" w:type="dxa"/>
            <w:left w:w="28" w:type="dxa"/>
            <w:bottom w:w="0" w:type="dxa"/>
            <w:right w:w="28" w:type="dxa"/>
          </w:tblCellMar>
        </w:tblPrEx>
        <w:trPr>
          <w:trHeight w:val="429" w:hRule="atLeast"/>
        </w:trPr>
        <w:tc>
          <w:tcPr>
            <w:tcW w:w="2449" w:type="dxa"/>
            <w:gridSpan w:val="2"/>
            <w:tcBorders>
              <w:top w:val="single" w:color="auto" w:sz="4" w:space="0"/>
              <w:left w:val="single" w:color="auto" w:sz="6" w:space="0"/>
              <w:bottom w:val="single" w:color="auto" w:sz="4" w:space="0"/>
              <w:right w:val="single" w:color="auto" w:sz="6" w:space="0"/>
            </w:tcBorders>
            <w:noWrap w:val="0"/>
            <w:vAlign w:val="center"/>
          </w:tcPr>
          <w:p>
            <w:pPr>
              <w:shd w:val="clear"/>
              <w:snapToGrid w:val="0"/>
              <w:spacing w:before="249" w:beforeLines="50" w:line="360" w:lineRule="auto"/>
              <w:jc w:val="center"/>
              <w:rPr>
                <w:rFonts w:hint="eastAsia" w:ascii="仿宋_GB2312" w:hAnsi="仿宋_GB2312" w:eastAsia="仿宋_GB2312" w:cs="仿宋_GB2312"/>
                <w:color w:val="000000" w:themeColor="text1"/>
                <w:sz w:val="22"/>
                <w:szCs w:val="22"/>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22"/>
                <w:szCs w:val="22"/>
                <w:highlight w:val="none"/>
                <w:u w:val="none"/>
                <w:lang w:val="en-US" w:eastAsia="zh-CN"/>
                <w14:textFill>
                  <w14:solidFill>
                    <w14:schemeClr w14:val="tx1"/>
                  </w14:solidFill>
                </w14:textFill>
              </w:rPr>
              <w:t>合  计</w:t>
            </w:r>
          </w:p>
        </w:tc>
        <w:tc>
          <w:tcPr>
            <w:tcW w:w="6989" w:type="dxa"/>
            <w:gridSpan w:val="5"/>
            <w:tcBorders>
              <w:top w:val="single" w:color="auto" w:sz="4" w:space="0"/>
              <w:left w:val="single" w:color="auto" w:sz="6" w:space="0"/>
              <w:bottom w:val="single" w:color="auto" w:sz="4" w:space="0"/>
              <w:right w:val="single" w:color="auto" w:sz="4" w:space="0"/>
            </w:tcBorders>
            <w:noWrap w:val="0"/>
            <w:vAlign w:val="center"/>
          </w:tcPr>
          <w:p>
            <w:pPr>
              <w:shd w:val="clear"/>
              <w:snapToGrid w:val="0"/>
              <w:spacing w:before="249" w:beforeLines="50" w:line="360" w:lineRule="auto"/>
              <w:rPr>
                <w:rFonts w:hint="eastAsia" w:ascii="仿宋_GB2312" w:hAnsi="仿宋_GB2312" w:eastAsia="仿宋_GB2312" w:cs="仿宋_GB2312"/>
                <w:b/>
                <w:color w:val="000000" w:themeColor="text1"/>
                <w:sz w:val="22"/>
                <w:szCs w:val="22"/>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sz w:val="22"/>
                <w:szCs w:val="22"/>
                <w:highlight w:val="none"/>
                <w:u w:val="none"/>
                <w:lang w:val="en-US" w:eastAsia="zh-CN"/>
                <w14:textFill>
                  <w14:solidFill>
                    <w14:schemeClr w14:val="tx1"/>
                  </w14:solidFill>
                </w14:textFill>
              </w:rPr>
              <w:t xml:space="preserve">人民币:(大写)        元整 (小写)     元    </w:t>
            </w:r>
          </w:p>
        </w:tc>
      </w:tr>
    </w:tbl>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二、</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合同组成</w:t>
      </w:r>
    </w:p>
    <w:p>
      <w:pPr>
        <w:numPr>
          <w:ilvl w:val="0"/>
          <w:numId w:val="1"/>
        </w:numPr>
        <w:shd w:val="clear"/>
        <w:tabs>
          <w:tab w:val="left" w:pos="735"/>
        </w:tabs>
        <w:adjustRightInd w:val="0"/>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下述文件是构成本合同不可分割的部分:</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本合同条款及其所有附件｡</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甲方的</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竞争性磋商文件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及澄清文件｡</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乙方的</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磋商响应文件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及质疑解答文件｡</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成交</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通知书｡</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双方与合同有关的往来信函､传真经双方法定代表人或其授权代表签字并加盖单位公章确认后视为本合同的组成部分｡</w:t>
      </w:r>
    </w:p>
    <w:p>
      <w:pPr>
        <w:numPr>
          <w:ilvl w:val="0"/>
          <w:numId w:val="2"/>
        </w:numPr>
        <w:shd w:val="clear"/>
        <w:tabs>
          <w:tab w:val="left" w:pos="735"/>
        </w:tabs>
        <w:adjustRightInd w:val="0"/>
        <w:snapToGrid w:val="0"/>
        <w:spacing w:line="360" w:lineRule="auto"/>
        <w:ind w:left="0" w:leftChars="0" w:firstLine="40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经双方法定代表人或其授权代表签字并加盖单位公章确认的补充协议｡</w:t>
      </w:r>
    </w:p>
    <w:p>
      <w:pPr>
        <w:numPr>
          <w:ilvl w:val="0"/>
          <w:numId w:val="1"/>
        </w:numPr>
        <w:shd w:val="clear"/>
        <w:tabs>
          <w:tab w:val="left" w:pos="735"/>
        </w:tabs>
        <w:adjustRightInd w:val="0"/>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如果乙方的</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磋商响应文件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及质疑解答文件内容违背或低于甲方</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竞争性磋商文件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要求或任何可能导致影响当次采购目的的情形,均应当被视为乙方自动放弃</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磋商响应文件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及质疑解答文件中相应部分而同意以</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竞争性磋商文件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相应内容为准｡如果乙方的</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磋商响应文件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及质疑解答文件内容高于甲方</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竞争性磋商文件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要求,则以乙方的</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磋商响应文件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及质疑解答文件内容为准｡如果合同条款与合同附件有矛盾之处,以合同条款内容为准｡如果合同附件之间有矛盾之处,以有利于甲方的附件内容为准｡</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三、</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合同价款</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合同总价款为</w:t>
      </w:r>
      <w:r>
        <w:rPr>
          <w:rFonts w:hint="eastAsia" w:ascii="仿宋_GB2312" w:hAnsi="仿宋_GB2312" w:eastAsia="仿宋_GB2312" w:cs="仿宋_GB2312"/>
          <w:b/>
          <w:color w:val="000000" w:themeColor="text1"/>
          <w:sz w:val="22"/>
          <w:szCs w:val="22"/>
          <w:highlight w:val="none"/>
          <w:u w:val="none"/>
          <w:lang w:val="en-US" w:eastAsia="zh-CN"/>
          <w14:textFill>
            <w14:solidFill>
              <w14:schemeClr w14:val="tx1"/>
            </w14:solidFill>
          </w14:textFill>
        </w:rPr>
        <w:t>人民币:(大写)</w:t>
      </w:r>
      <w:r>
        <w:rPr>
          <w:rFonts w:hint="eastAsia" w:ascii="仿宋_GB2312" w:hAnsi="仿宋_GB2312" w:eastAsia="仿宋_GB2312" w:cs="仿宋_GB2312"/>
          <w:b/>
          <w:color w:val="000000" w:themeColor="text1"/>
          <w:sz w:val="22"/>
          <w:szCs w:val="2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22"/>
          <w:szCs w:val="22"/>
          <w:highlight w:val="none"/>
          <w:u w:val="none"/>
          <w:lang w:val="en-US" w:eastAsia="zh-CN"/>
          <w14:textFill>
            <w14:solidFill>
              <w14:schemeClr w14:val="tx1"/>
            </w14:solidFill>
          </w14:textFill>
        </w:rPr>
        <w:t>元整(小写)</w:t>
      </w:r>
      <w:r>
        <w:rPr>
          <w:rFonts w:hint="eastAsia" w:ascii="仿宋_GB2312" w:hAnsi="仿宋_GB2312" w:eastAsia="仿宋_GB2312" w:cs="仿宋_GB2312"/>
          <w:b/>
          <w:color w:val="000000" w:themeColor="text1"/>
          <w:sz w:val="22"/>
          <w:szCs w:val="2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22"/>
          <w:szCs w:val="22"/>
          <w:highlight w:val="none"/>
          <w:u w:val="none"/>
          <w:lang w:val="en-US" w:eastAsia="zh-CN"/>
          <w14:textFill>
            <w14:solidFill>
              <w14:schemeClr w14:val="tx1"/>
            </w14:solidFill>
          </w14:textFill>
        </w:rPr>
        <w:t>元</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合同总价包括:服务费、售后服务费、利润、税金、保险、相关伴随费用等的一切费用。</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合同总价一次性包死,不受市场价格变化因素的影响｡</w:t>
      </w:r>
    </w:p>
    <w:p>
      <w:pPr>
        <w:numPr>
          <w:ilvl w:val="0"/>
          <w:numId w:val="3"/>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甲方不再另付任何费用｡</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四、</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合同结算</w:t>
      </w:r>
    </w:p>
    <w:p>
      <w:pPr>
        <w:keepNext w:val="0"/>
        <w:keepLines w:val="0"/>
        <w:pageBreakBefore w:val="0"/>
        <w:numPr>
          <w:ilvl w:val="0"/>
          <w:numId w:val="4"/>
        </w:numPr>
        <w:shd w:val="clear"/>
        <w:tabs>
          <w:tab w:val="left" w:pos="480"/>
        </w:tabs>
        <w:kinsoku/>
        <w:wordWrap/>
        <w:overflowPunct/>
        <w:topLinePunct w:val="0"/>
        <w:bidi w:val="0"/>
        <w:adjustRightInd/>
        <w:snapToGrid w:val="0"/>
        <w:spacing w:line="360" w:lineRule="auto"/>
        <w:ind w:left="0" w:leftChars="0" w:right="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支付方式:银行转帐｡</w:t>
      </w:r>
    </w:p>
    <w:p>
      <w:pPr>
        <w:keepNext w:val="0"/>
        <w:keepLines w:val="0"/>
        <w:pageBreakBefore w:val="0"/>
        <w:numPr>
          <w:ilvl w:val="0"/>
          <w:numId w:val="4"/>
        </w:numPr>
        <w:shd w:val="clear"/>
        <w:tabs>
          <w:tab w:val="left" w:pos="480"/>
        </w:tabs>
        <w:kinsoku/>
        <w:wordWrap/>
        <w:overflowPunct/>
        <w:topLinePunct w:val="0"/>
        <w:bidi w:val="0"/>
        <w:adjustRightInd/>
        <w:snapToGrid w:val="0"/>
        <w:spacing w:line="360" w:lineRule="auto"/>
        <w:ind w:left="0" w:leftChars="0" w:right="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结算方式:</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合同签订后，供应商须提供符合税务规定的合法有效发票，达到付款条件起10个工作日内，支付合同总金额的40.00%。服务至半年后，供应商须提供技术服务半年报，并附符合税务规定的合法有效发票，达到付款条件起10个工作日内，支付合同总金额的25.00%。服务完成后，供应商须提供技术服务年度报，并附符合税务规定的合法有效发票，达到付款条件起10个工作日内，支付合同总金额的35.00%。</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五、</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服务地点及服务期</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t>（一）</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服务地点:</w:t>
      </w:r>
      <w:r>
        <w:rPr>
          <w:rFonts w:hint="eastAsia" w:ascii="仿宋_GB2312" w:hAnsi="仿宋_GB2312" w:eastAsia="仿宋_GB2312" w:cs="仿宋_GB2312"/>
          <w:vertAlign w:val="baseline"/>
          <w:lang w:val="en-US" w:eastAsia="zh-CN"/>
        </w:rPr>
        <w:t>采购方指定地点。</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pPr>
      <w:bookmarkStart w:id="1" w:name="OLE_LINK13"/>
      <w:r>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t>（三）</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服务</w:t>
      </w:r>
      <w:bookmarkEnd w:id="1"/>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期限</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:自合同签订生效之日起1年。</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六、</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双方的权利和义务</w:t>
      </w:r>
    </w:p>
    <w:p>
      <w:pPr>
        <w:numPr>
          <w:ilvl w:val="0"/>
          <w:numId w:val="5"/>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甲方的权利和义务</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1.甲方有权对合同规定范围内乙方的服务行为进行监督和检查，拥有监管权。有权定期核对乙方提供服务所配备的人员数量。对甲方认为不合理的部分有权下达整改通知书，并要求乙方限期整改。</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3.负责检查监督乙方管理工作的实施及制度的执行情况。</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4.根据本合同规定，按时向乙方支付应付服务费用。</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5.国家法律、法规所规定由甲方承担的其它责任。</w:t>
      </w:r>
    </w:p>
    <w:p>
      <w:pPr>
        <w:numPr>
          <w:ilvl w:val="0"/>
          <w:numId w:val="5"/>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乙方的权利和义务</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1.对本合同规定的委托服务范围内的项目享有管理权及服务义务。</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2.根据本合同的规定向甲方收取相关服务费用，并有权在本项目管理范围内管理及合理使用。</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3.及时向甲方通告本项目服务范围内有关服务的重大事项，及时配合处理投诉。</w:t>
      </w:r>
    </w:p>
    <w:p>
      <w:pPr>
        <w:numPr>
          <w:ilvl w:val="0"/>
          <w:numId w:val="0"/>
        </w:numPr>
        <w:shd w:val="clear"/>
        <w:snapToGrid w:val="0"/>
        <w:spacing w:line="360" w:lineRule="auto"/>
        <w:ind w:left="0" w:leftChars="0" w:firstLine="420" w:firstLineChars="0"/>
        <w:textAlignment w:val="baseline"/>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4.接受项目行业管理部门及政府有关部门的指导，接受甲方的监督。</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5.国</w:t>
      </w:r>
      <w:r>
        <w:rPr>
          <w:rFonts w:hint="eastAsia" w:ascii="仿宋_GB2312" w:hAnsi="仿宋_GB2312" w:eastAsia="仿宋_GB2312" w:cs="仿宋_GB2312"/>
          <w:b w:val="0"/>
          <w:bCs/>
          <w:color w:val="000000" w:themeColor="text1"/>
          <w:sz w:val="24"/>
          <w:szCs w:val="24"/>
          <w:highlight w:val="none"/>
          <w:u w:val="none"/>
          <w:lang w:val="en-US" w:eastAsia="zh-CN"/>
          <w14:textFill>
            <w14:solidFill>
              <w14:schemeClr w14:val="tx1"/>
            </w14:solidFill>
          </w14:textFill>
        </w:rPr>
        <w:t>家法律、法规所规定由乙方承担的其它责任。</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七、知识产权</w:t>
      </w:r>
    </w:p>
    <w:p>
      <w:pPr>
        <w:tabs>
          <w:tab w:val="left" w:pos="1440"/>
        </w:tabs>
        <w:spacing w:line="360" w:lineRule="auto"/>
        <w:ind w:firstLine="480" w:firstLineChars="200"/>
        <w:outlineLvl w:val="9"/>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t>乙方应保证所提供的服务或其任何一部分均不会侵犯任何第三方的专利权、商标权或著作权。</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八、无产权瑕疵条款</w:t>
      </w:r>
    </w:p>
    <w:p>
      <w:pPr>
        <w:tabs>
          <w:tab w:val="left" w:pos="1440"/>
        </w:tabs>
        <w:spacing w:line="360" w:lineRule="auto"/>
        <w:ind w:firstLine="480" w:firstLineChars="200"/>
        <w:outlineLvl w:val="9"/>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t>乙方保证所提供的服务的所有权完全属于乙方且无任何抵押、查封等产权瑕疵。如有产权瑕疵的，视为乙方违约。乙方应负担由此而产生的一切损失。</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九、</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验收</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t>1、成交供应商对最终的服务质量负完全责任。</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t>2、验收依据：</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t>（1）合同；</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t>（2）国家有关的验收标准及规范；</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24"/>
          <w:szCs w:val="24"/>
          <w:highlight w:val="none"/>
          <w:u w:val="none"/>
          <w:lang w:val="en-US" w:eastAsia="zh-CN" w:bidi="ar-SA"/>
          <w14:textFill>
            <w14:solidFill>
              <w14:schemeClr w14:val="tx1"/>
            </w14:solidFill>
          </w14:textFill>
        </w:rPr>
        <w:t>（3）竞争性磋商文件、竞争性磋商响应文件。</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乙方履约延误</w:t>
      </w:r>
    </w:p>
    <w:p>
      <w:pPr>
        <w:numPr>
          <w:ilvl w:val="0"/>
          <w:numId w:val="6"/>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t>如乙方事先未征得甲方同意并得到甲方的谅解而单方面延迟交货,将按违约终止合同｡</w:t>
      </w:r>
    </w:p>
    <w:p>
      <w:pPr>
        <w:numPr>
          <w:ilvl w:val="0"/>
          <w:numId w:val="6"/>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误期赔偿金以每周0.5%计｡</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十一、</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违约责任</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t>按《政府采购法》､《</w:t>
      </w:r>
      <w:r>
        <w:rPr>
          <w:rFonts w:hint="eastAsia" w:ascii="仿宋_GB2312" w:hAnsi="仿宋_GB2312" w:eastAsia="仿宋_GB2312" w:cs="仿宋_GB2312"/>
          <w:color w:val="000000" w:themeColor="text1"/>
          <w:w w:val="95"/>
          <w:sz w:val="24"/>
          <w:szCs w:val="24"/>
          <w:highlight w:val="none"/>
          <w:u w:val="none"/>
          <w:lang w:val="en-US" w:eastAsia="zh-CN"/>
          <w14:textFill>
            <w14:solidFill>
              <w14:schemeClr w14:val="tx1"/>
            </w14:solidFill>
          </w14:textFill>
        </w:rPr>
        <w:t>民法典</w:t>
      </w:r>
      <w:r>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t>》中的相关条款执行｡</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t>未按合同要求提供货物或质量不能满足谈判技术要求,乙方必须无条件更换,提高技术,完善质量,否则,甲方有权终止合同,并对乙方的违约行为报监管机构进行相应的处罚｡</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t>交货期每超过一天,扣除乙方合同总价款的</w:t>
      </w:r>
      <w:r>
        <w:rPr>
          <w:rFonts w:hint="eastAsia" w:ascii="仿宋_GB2312" w:hAnsi="仿宋_GB2312" w:eastAsia="仿宋_GB2312" w:cs="仿宋_GB2312"/>
          <w:color w:val="000000" w:themeColor="text1"/>
          <w:w w:val="95"/>
          <w:sz w:val="24"/>
          <w:szCs w:val="24"/>
          <w:highlight w:val="none"/>
          <w:u w:val="none"/>
          <w:lang w:val="en-US" w:eastAsia="zh-CN"/>
          <w14:textFill>
            <w14:solidFill>
              <w14:schemeClr w14:val="tx1"/>
            </w14:solidFill>
          </w14:textFill>
        </w:rPr>
        <w:t>10</w:t>
      </w:r>
      <w:r>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t>‰｡</w:t>
      </w:r>
    </w:p>
    <w:p>
      <w:pPr>
        <w:numPr>
          <w:ilvl w:val="0"/>
          <w:numId w:val="7"/>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w w:val="95"/>
          <w:sz w:val="24"/>
          <w:szCs w:val="24"/>
          <w:highlight w:val="none"/>
          <w:u w:val="none"/>
          <w14:textFill>
            <w14:solidFill>
              <w14:schemeClr w14:val="tx1"/>
            </w14:solidFill>
          </w14:textFill>
        </w:rPr>
        <w:t>在乙方违约的情况下,甲方报告西安市政府采购管理处后,有权终止合同,并依法向乙方进行索赔｡</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十二、</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合同争议解决的方式</w:t>
      </w:r>
    </w:p>
    <w:p>
      <w:pPr>
        <w:shd w:val="clear"/>
        <w:tabs>
          <w:tab w:val="left" w:pos="480"/>
        </w:tabs>
        <w:snapToGrid w:val="0"/>
        <w:spacing w:line="360" w:lineRule="auto"/>
        <w:ind w:firstLine="480" w:firstLineChars="2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本合同在履行过程中发生的争议,由甲､乙双方当事人协商解决,协商不成的按下列第二种方式解决:</w:t>
      </w:r>
    </w:p>
    <w:p>
      <w:pPr>
        <w:numPr>
          <w:ilvl w:val="0"/>
          <w:numId w:val="0"/>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t>（一）</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提交</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softHyphen/>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softHyphen/>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softHyphen/>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西安仲裁委员会仲裁;</w:t>
      </w:r>
    </w:p>
    <w:p>
      <w:pPr>
        <w:numPr>
          <w:ilvl w:val="0"/>
          <w:numId w:val="0"/>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t>（二）</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依法向甲方所在地人民法院起诉｡</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十三、</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合同生效</w:t>
      </w:r>
    </w:p>
    <w:p>
      <w:pPr>
        <w:shd w:val="clear"/>
        <w:snapToGrid w:val="0"/>
        <w:spacing w:line="360" w:lineRule="auto"/>
        <w:ind w:firstLine="470" w:firstLineChars="196"/>
        <w:rPr>
          <w:rFonts w:hint="eastAsia" w:ascii="仿宋_GB2312" w:hAnsi="仿宋_GB2312" w:eastAsia="仿宋_GB2312" w:cs="仿宋_GB2312"/>
          <w:b w:val="0"/>
          <w:bCs/>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b w:val="0"/>
          <w:bCs/>
          <w:color w:val="000000" w:themeColor="text1"/>
          <w:sz w:val="24"/>
          <w:szCs w:val="24"/>
          <w:highlight w:val="none"/>
          <w:u w:val="none"/>
          <w14:textFill>
            <w14:solidFill>
              <w14:schemeClr w14:val="tx1"/>
            </w14:solidFill>
          </w14:textFill>
        </w:rPr>
        <w:t>本合同一式</w:t>
      </w:r>
      <w:r>
        <w:rPr>
          <w:rFonts w:hint="eastAsia" w:ascii="仿宋_GB2312" w:hAnsi="仿宋_GB2312" w:eastAsia="仿宋_GB2312" w:cs="仿宋_GB2312"/>
          <w:b/>
          <w:bCs w:val="0"/>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highlight w:val="none"/>
          <w:u w:val="none"/>
          <w14:textFill>
            <w14:solidFill>
              <w14:schemeClr w14:val="tx1"/>
            </w14:solidFill>
          </w14:textFill>
        </w:rPr>
        <w:t>份,甲方</w:t>
      </w:r>
      <w:r>
        <w:rPr>
          <w:rFonts w:hint="eastAsia" w:ascii="仿宋_GB2312" w:hAnsi="仿宋_GB2312" w:eastAsia="仿宋_GB2312" w:cs="仿宋_GB2312"/>
          <w:b w:val="0"/>
          <w:bCs/>
          <w:color w:val="000000" w:themeColor="text1"/>
          <w:sz w:val="24"/>
          <w:szCs w:val="24"/>
          <w:highlight w:val="none"/>
          <w:u w:val="single"/>
          <w14:textFill>
            <w14:solidFill>
              <w14:schemeClr w14:val="tx1"/>
            </w14:solidFill>
          </w14:textFill>
        </w:rPr>
        <w:t xml:space="preserve"> </w:t>
      </w:r>
      <w:r>
        <w:rPr>
          <w:rFonts w:hint="eastAsia" w:ascii="仿宋_GB2312" w:hAnsi="仿宋_GB2312" w:eastAsia="仿宋_GB2312" w:cs="仿宋_GB2312"/>
          <w:b/>
          <w:bCs w:val="0"/>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highlight w:val="none"/>
          <w:u w:val="none"/>
          <w14:textFill>
            <w14:solidFill>
              <w14:schemeClr w14:val="tx1"/>
            </w14:solidFill>
          </w14:textFill>
        </w:rPr>
        <w:t>份､乙方</w:t>
      </w:r>
      <w:r>
        <w:rPr>
          <w:rFonts w:hint="eastAsia" w:ascii="仿宋_GB2312" w:hAnsi="仿宋_GB2312" w:eastAsia="仿宋_GB2312" w:cs="仿宋_GB2312"/>
          <w:b/>
          <w:bCs w:val="0"/>
          <w:color w:val="000000" w:themeColor="text1"/>
          <w:sz w:val="24"/>
          <w:szCs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highlight w:val="none"/>
          <w:u w:val="none"/>
          <w14:textFill>
            <w14:solidFill>
              <w14:schemeClr w14:val="tx1"/>
            </w14:solidFill>
          </w14:textFill>
        </w:rPr>
        <w:t>份,本合同甲､乙</w:t>
      </w:r>
      <w:r>
        <w:rPr>
          <w:rFonts w:hint="eastAsia" w:ascii="仿宋_GB2312" w:hAnsi="仿宋_GB2312" w:eastAsia="仿宋_GB2312" w:cs="仿宋_GB2312"/>
          <w:b w:val="0"/>
          <w:bCs/>
          <w:color w:val="000000" w:themeColor="text1"/>
          <w:sz w:val="24"/>
          <w:szCs w:val="24"/>
          <w:highlight w:val="none"/>
          <w:u w:val="none"/>
          <w:lang w:eastAsia="zh-CN"/>
          <w14:textFill>
            <w14:solidFill>
              <w14:schemeClr w14:val="tx1"/>
            </w14:solidFill>
          </w14:textFill>
        </w:rPr>
        <w:t>双</w:t>
      </w:r>
      <w:r>
        <w:rPr>
          <w:rFonts w:hint="eastAsia" w:ascii="仿宋_GB2312" w:hAnsi="仿宋_GB2312" w:eastAsia="仿宋_GB2312" w:cs="仿宋_GB2312"/>
          <w:b w:val="0"/>
          <w:bCs/>
          <w:color w:val="000000" w:themeColor="text1"/>
          <w:sz w:val="24"/>
          <w:szCs w:val="24"/>
          <w:highlight w:val="none"/>
          <w:u w:val="none"/>
          <w14:textFill>
            <w14:solidFill>
              <w14:schemeClr w14:val="tx1"/>
            </w14:solidFill>
          </w14:textFill>
        </w:rPr>
        <w:t>方签字盖章后生效,合同执行完毕后,自动失效(合同的服务承诺则长期有效)｡</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十四、</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其他事项</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西安市</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财政局</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雁塔分局</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政府采购管理处在合同的履行期间以及履行期后,可以随时检查项目的执行情况,对采购内容､标准进行调查核实,并对发现的问题进行处理｡</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竞争性磋商文件</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､竞争性磋商响应文件､中标通知书､合同附件均成为合同不可分割的部分｡</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合同未尽事宜,由甲､乙双方协商,作为合同补充,与原合同具有同等法律效力｡</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合同一经签订,不得擅自变更､中止或终止合同｡对确需变更､调整或中止､终止合同的,应按规定履行相应的手续｡</w:t>
      </w:r>
    </w:p>
    <w:p>
      <w:pPr>
        <w:numPr>
          <w:ilvl w:val="0"/>
          <w:numId w:val="8"/>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本合同按照中华人民共和国的现行法律进行解释｡</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十五、</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不可抗力</w:t>
      </w:r>
    </w:p>
    <w:p>
      <w:pPr>
        <w:shd w:val="clear"/>
        <w:snapToGrid w:val="0"/>
        <w:spacing w:line="360" w:lineRule="auto"/>
        <w:ind w:firstLine="470" w:firstLineChars="196"/>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十六、</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监督和管理</w:t>
      </w:r>
    </w:p>
    <w:p>
      <w:pPr>
        <w:numPr>
          <w:ilvl w:val="0"/>
          <w:numId w:val="9"/>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合同订立后,双方协商一致需变更合同实质性条款或订立补充合同的,应先征得政府采购监督部门同意并送其备案｡</w:t>
      </w:r>
    </w:p>
    <w:p>
      <w:pPr>
        <w:numPr>
          <w:ilvl w:val="0"/>
          <w:numId w:val="9"/>
        </w:numPr>
        <w:shd w:val="clear"/>
        <w:tabs>
          <w:tab w:val="left" w:pos="480"/>
        </w:tabs>
        <w:snapToGrid w:val="0"/>
        <w:spacing w:line="360" w:lineRule="auto"/>
        <w:ind w:left="0" w:leftChars="0" w:firstLine="42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甲乙双方均应自觉配合有关监督管理部门对合同履行情况监督检查,如实反映情况,提供有关资料,否则将对有关单位､当事人按有关规定予以处罚｡</w:t>
      </w:r>
    </w:p>
    <w:p>
      <w:pPr>
        <w:pStyle w:val="9"/>
        <w:numPr>
          <w:ilvl w:val="0"/>
          <w:numId w:val="0"/>
        </w:numPr>
        <w:shd w:val="clear"/>
        <w:spacing w:line="360" w:lineRule="auto"/>
        <w:ind w:left="0" w:leftChars="0" w:firstLine="420" w:firstLineChars="0"/>
        <w:jc w:val="left"/>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pPr>
      <w:r>
        <w:rPr>
          <w:rFonts w:hint="eastAsia" w:ascii="仿宋_GB2312" w:hAnsi="仿宋_GB2312" w:eastAsia="仿宋_GB2312" w:cs="仿宋_GB2312"/>
          <w:b/>
          <w:color w:val="000000" w:themeColor="text1"/>
          <w:kern w:val="2"/>
          <w:sz w:val="24"/>
          <w:szCs w:val="24"/>
          <w:lang w:val="en-US" w:eastAsia="zh-CN" w:bidi="ar-SA"/>
          <w14:textFill>
            <w14:solidFill>
              <w14:schemeClr w14:val="tx1"/>
            </w14:solidFill>
          </w14:textFill>
        </w:rPr>
        <w:t>十七、</w:t>
      </w:r>
      <w:r>
        <w:rPr>
          <w:rFonts w:hint="eastAsia" w:ascii="仿宋_GB2312" w:hAnsi="仿宋_GB2312" w:eastAsia="仿宋_GB2312" w:cs="仿宋_GB2312"/>
          <w:b/>
          <w:color w:val="000000" w:themeColor="text1"/>
          <w:sz w:val="24"/>
          <w:szCs w:val="24"/>
          <w:highlight w:val="none"/>
          <w:u w:val="none"/>
          <w:lang w:val="en-US" w:eastAsia="zh-CN"/>
          <w14:textFill>
            <w14:solidFill>
              <w14:schemeClr w14:val="tx1"/>
            </w14:solidFill>
          </w14:textFill>
        </w:rPr>
        <w:t>无效合同</w:t>
      </w:r>
    </w:p>
    <w:p>
      <w:pPr>
        <w:shd w:val="clear"/>
        <w:snapToGrid w:val="0"/>
        <w:spacing w:line="360" w:lineRule="auto"/>
        <w:ind w:firstLine="480" w:firstLineChars="2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甲乙双方如因违反政府采购法力相关法律法规的规定,被宣告合同无效的一切责任概由过错方自行承担｡</w:t>
      </w:r>
    </w:p>
    <w:p>
      <w:pPr>
        <w:pStyle w:val="2"/>
        <w:shd w:val="clear"/>
        <w:rPr>
          <w:rFonts w:hint="eastAsia" w:ascii="仿宋_GB2312" w:hAnsi="仿宋_GB2312" w:eastAsia="仿宋_GB2312" w:cs="仿宋_GB2312"/>
          <w:color w:val="000000" w:themeColor="text1"/>
          <w:u w:val="none"/>
          <w:lang w:eastAsia="zh-CN"/>
          <w14:textFill>
            <w14:solidFill>
              <w14:schemeClr w14:val="tx1"/>
            </w14:solidFill>
          </w14:textFill>
        </w:rPr>
      </w:pPr>
    </w:p>
    <w:p>
      <w:pPr>
        <w:pStyle w:val="4"/>
        <w:shd w:val="clear"/>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p>
    <w:p>
      <w:pPr>
        <w:shd w:val="clear"/>
        <w:tabs>
          <w:tab w:val="left" w:pos="480"/>
        </w:tabs>
        <w:snapToGrid w:val="0"/>
        <w:spacing w:line="360" w:lineRule="auto"/>
        <w:ind w:left="-199" w:leftChars="-95" w:firstLine="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甲  方(法人公章)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乙  方(法人公章)</w:t>
      </w:r>
    </w:p>
    <w:p>
      <w:pPr>
        <w:shd w:val="clear"/>
        <w:tabs>
          <w:tab w:val="left" w:pos="480"/>
        </w:tabs>
        <w:snapToGrid w:val="0"/>
        <w:spacing w:line="360" w:lineRule="auto"/>
        <w:ind w:left="-199" w:leftChars="-95" w:firstLine="0" w:firstLineChars="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单位名称:</w:t>
      </w:r>
      <w:r>
        <w:rPr>
          <w:rFonts w:hint="eastAsia" w:ascii="仿宋_GB2312" w:hAnsi="仿宋_GB2312" w:eastAsia="仿宋_GB2312" w:cs="仿宋_GB2312"/>
          <w:color w:val="000000" w:themeColor="text1"/>
          <w:sz w:val="24"/>
          <w:szCs w:val="24"/>
          <w:highlight w:val="none"/>
          <w:u w:val="none"/>
          <w:lang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单位名称:</w:t>
      </w:r>
    </w:p>
    <w:p>
      <w:pPr>
        <w:shd w:val="clear"/>
        <w:tabs>
          <w:tab w:val="left" w:pos="480"/>
        </w:tabs>
        <w:snapToGrid w:val="0"/>
        <w:spacing w:line="360" w:lineRule="auto"/>
        <w:ind w:left="5460" w:leftChars="-95" w:hanging="5659" w:hangingChars="2358"/>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地  址: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地  址:</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法定代表人签字: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  法定代表人签字:</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代理人签字: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 代理人签字:</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项目主管部门负责人</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 联系电话:</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招采办负责人:</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开户银行:</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联系电话: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帐  号:                                    </w:t>
      </w:r>
    </w:p>
    <w:p>
      <w:pPr>
        <w:shd w:val="clear"/>
        <w:tabs>
          <w:tab w:val="left" w:pos="480"/>
        </w:tabs>
        <w:snapToGrid w:val="0"/>
        <w:spacing w:line="360" w:lineRule="auto"/>
        <w:ind w:left="5321" w:leftChars="-95" w:hanging="5520" w:hangingChars="2300"/>
        <w:rPr>
          <w:rFonts w:hint="eastAsia" w:ascii="仿宋_GB2312" w:hAnsi="仿宋_GB2312" w:eastAsia="仿宋_GB2312" w:cs="仿宋_GB2312"/>
          <w:color w:val="000000" w:themeColor="text1"/>
          <w:sz w:val="24"/>
          <w:szCs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签订日期:</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 xml:space="preserve">年   月   日            </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签订日期:</w:t>
      </w:r>
      <w:r>
        <w:rPr>
          <w:rFonts w:hint="eastAsia" w:ascii="仿宋_GB2312" w:hAnsi="仿宋_GB2312" w:eastAsia="仿宋_GB2312" w:cs="仿宋_GB2312"/>
          <w:color w:val="000000" w:themeColor="text1"/>
          <w:sz w:val="24"/>
          <w:szCs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u w:val="none"/>
          <w14:textFill>
            <w14:solidFill>
              <w14:schemeClr w14:val="tx1"/>
            </w14:solidFill>
          </w14:textFill>
        </w:rPr>
        <w:t>年   月   日</w:t>
      </w:r>
    </w:p>
    <w:bookmarkEnd w:id="0"/>
    <w:p>
      <w:pPr>
        <w:pStyle w:val="10"/>
        <w:rPr>
          <w:rFonts w:hint="eastAsia" w:ascii="仿宋_GB2312" w:hAnsi="仿宋_GB2312" w:eastAsia="仿宋_GB2312" w:cs="仿宋_GB2312"/>
          <w:lang w:val="en-US" w:eastAsia="zh-Hans"/>
        </w:rPr>
      </w:pPr>
    </w:p>
    <w:p>
      <w:bookmarkStart w:id="2" w:name="_GoBack"/>
      <w:bookmarkEnd w:id="2"/>
    </w:p>
    <w:sectPr>
      <w:footerReference r:id="rId3" w:type="default"/>
      <w:pgSz w:w="11906" w:h="16838"/>
      <w:pgMar w:top="1440" w:right="1486"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15199"/>
    <w:multiLevelType w:val="singleLevel"/>
    <w:tmpl w:val="80815199"/>
    <w:lvl w:ilvl="0" w:tentative="0">
      <w:start w:val="1"/>
      <w:numFmt w:val="chineseCounting"/>
      <w:suff w:val="nothing"/>
      <w:lvlText w:val="（%1）"/>
      <w:lvlJc w:val="left"/>
      <w:pPr>
        <w:ind w:left="0" w:firstLine="420"/>
      </w:pPr>
      <w:rPr>
        <w:rFonts w:hint="eastAsia"/>
      </w:rPr>
    </w:lvl>
  </w:abstractNum>
  <w:abstractNum w:abstractNumId="1">
    <w:nsid w:val="84B881E0"/>
    <w:multiLevelType w:val="singleLevel"/>
    <w:tmpl w:val="84B881E0"/>
    <w:lvl w:ilvl="0" w:tentative="0">
      <w:start w:val="1"/>
      <w:numFmt w:val="decimal"/>
      <w:suff w:val="nothing"/>
      <w:lvlText w:val="%1．"/>
      <w:lvlJc w:val="left"/>
      <w:pPr>
        <w:ind w:left="0" w:firstLine="400"/>
      </w:pPr>
      <w:rPr>
        <w:rFonts w:hint="default"/>
      </w:rPr>
    </w:lvl>
  </w:abstractNum>
  <w:abstractNum w:abstractNumId="2">
    <w:nsid w:val="AB6B547A"/>
    <w:multiLevelType w:val="singleLevel"/>
    <w:tmpl w:val="AB6B547A"/>
    <w:lvl w:ilvl="0" w:tentative="0">
      <w:start w:val="1"/>
      <w:numFmt w:val="chineseCounting"/>
      <w:suff w:val="nothing"/>
      <w:lvlText w:val="（%1）"/>
      <w:lvlJc w:val="left"/>
      <w:pPr>
        <w:ind w:left="0" w:firstLine="420"/>
      </w:pPr>
      <w:rPr>
        <w:rFonts w:hint="eastAsia"/>
      </w:rPr>
    </w:lvl>
  </w:abstractNum>
  <w:abstractNum w:abstractNumId="3">
    <w:nsid w:val="F3162BD6"/>
    <w:multiLevelType w:val="singleLevel"/>
    <w:tmpl w:val="F3162BD6"/>
    <w:lvl w:ilvl="0" w:tentative="0">
      <w:start w:val="1"/>
      <w:numFmt w:val="chineseCounting"/>
      <w:suff w:val="nothing"/>
      <w:lvlText w:val="（%1）"/>
      <w:lvlJc w:val="left"/>
      <w:pPr>
        <w:ind w:left="0" w:firstLine="420"/>
      </w:pPr>
      <w:rPr>
        <w:rFonts w:hint="eastAsia"/>
      </w:rPr>
    </w:lvl>
  </w:abstractNum>
  <w:abstractNum w:abstractNumId="4">
    <w:nsid w:val="FF6666BA"/>
    <w:multiLevelType w:val="singleLevel"/>
    <w:tmpl w:val="FF6666BA"/>
    <w:lvl w:ilvl="0" w:tentative="0">
      <w:start w:val="1"/>
      <w:numFmt w:val="chineseCounting"/>
      <w:suff w:val="nothing"/>
      <w:lvlText w:val="（%1）"/>
      <w:lvlJc w:val="left"/>
      <w:pPr>
        <w:ind w:left="0" w:firstLine="420"/>
      </w:pPr>
      <w:rPr>
        <w:rFonts w:hint="eastAsia"/>
      </w:rPr>
    </w:lvl>
  </w:abstractNum>
  <w:abstractNum w:abstractNumId="5">
    <w:nsid w:val="172A8D9C"/>
    <w:multiLevelType w:val="singleLevel"/>
    <w:tmpl w:val="172A8D9C"/>
    <w:lvl w:ilvl="0" w:tentative="0">
      <w:start w:val="1"/>
      <w:numFmt w:val="chineseCounting"/>
      <w:suff w:val="nothing"/>
      <w:lvlText w:val="（%1）"/>
      <w:lvlJc w:val="left"/>
      <w:pPr>
        <w:ind w:left="0" w:firstLine="420"/>
      </w:pPr>
      <w:rPr>
        <w:rFonts w:hint="eastAsia"/>
      </w:rPr>
    </w:lvl>
  </w:abstractNum>
  <w:abstractNum w:abstractNumId="6">
    <w:nsid w:val="21E346A0"/>
    <w:multiLevelType w:val="singleLevel"/>
    <w:tmpl w:val="21E346A0"/>
    <w:lvl w:ilvl="0" w:tentative="0">
      <w:start w:val="1"/>
      <w:numFmt w:val="chineseCounting"/>
      <w:suff w:val="nothing"/>
      <w:lvlText w:val="（%1）"/>
      <w:lvlJc w:val="left"/>
      <w:pPr>
        <w:ind w:left="0" w:firstLine="420"/>
      </w:pPr>
      <w:rPr>
        <w:rFonts w:hint="eastAsia"/>
      </w:rPr>
    </w:lvl>
  </w:abstractNum>
  <w:abstractNum w:abstractNumId="7">
    <w:nsid w:val="6DE2EB59"/>
    <w:multiLevelType w:val="singleLevel"/>
    <w:tmpl w:val="6DE2EB59"/>
    <w:lvl w:ilvl="0" w:tentative="0">
      <w:start w:val="1"/>
      <w:numFmt w:val="chineseCounting"/>
      <w:suff w:val="nothing"/>
      <w:lvlText w:val="（%1）"/>
      <w:lvlJc w:val="left"/>
      <w:pPr>
        <w:ind w:left="0" w:firstLine="420"/>
      </w:pPr>
      <w:rPr>
        <w:rFonts w:hint="eastAsia"/>
      </w:rPr>
    </w:lvl>
  </w:abstractNum>
  <w:abstractNum w:abstractNumId="8">
    <w:nsid w:val="77B490ED"/>
    <w:multiLevelType w:val="singleLevel"/>
    <w:tmpl w:val="77B490ED"/>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4"/>
  </w:num>
  <w:num w:numId="4">
    <w:abstractNumId w:val="8"/>
  </w:num>
  <w:num w:numId="5">
    <w:abstractNumId w:val="7"/>
  </w:num>
  <w:num w:numId="6">
    <w:abstractNumId w:val="6"/>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03D6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列出段落1"/>
    <w:basedOn w:val="1"/>
    <w:qFormat/>
    <w:uiPriority w:val="0"/>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2026-06-04T05:21:48Z</dcterms:created>
  <dc:creator>陆文科</dc:creator>
  <cp:lastModifiedBy>1</cp:lastModifiedBy>
  <dcterms:modified xsi:type="dcterms:W3CDTF">2026-06-04T05:22:06Z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B64F453CB77F427A85DDE1D4C0D66F2E_12</vt:lpwstr>
  </property>
</Properties>
</file>