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3A8A76">
      <w:pPr>
        <w:jc w:val="center"/>
        <w:rPr>
          <w:rFonts w:hint="eastAsia"/>
          <w:b/>
          <w:bCs/>
          <w:sz w:val="30"/>
          <w:szCs w:val="30"/>
          <w:lang w:val="en-US" w:eastAsia="zh-CN"/>
        </w:rPr>
      </w:pPr>
      <w:r>
        <w:rPr>
          <w:rFonts w:hint="eastAsia"/>
          <w:b/>
          <w:bCs/>
          <w:sz w:val="30"/>
          <w:szCs w:val="30"/>
          <w:lang w:val="en-US" w:eastAsia="zh-CN"/>
        </w:rPr>
        <w:t>采购需求</w:t>
      </w:r>
    </w:p>
    <w:p w14:paraId="6CA849B7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361" w:firstLineChars="200"/>
        <w:jc w:val="left"/>
        <w:textAlignment w:val="auto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/>
          <w:bCs w:val="0"/>
          <w:sz w:val="18"/>
          <w:lang w:val="en-US" w:eastAsia="zh-CN"/>
        </w:rPr>
        <w:t>1、项目概况：</w:t>
      </w:r>
      <w:r>
        <w:rPr>
          <w:rFonts w:hint="eastAsia" w:ascii="仿宋" w:hAnsi="仿宋" w:eastAsia="仿宋" w:cs="仿宋"/>
          <w:b w:val="0"/>
          <w:bCs/>
          <w:sz w:val="18"/>
          <w:lang w:val="en-US" w:eastAsia="zh-CN"/>
        </w:rPr>
        <w:t>本项目</w:t>
      </w:r>
      <w:r>
        <w:rPr>
          <w:rFonts w:hint="eastAsia" w:ascii="仿宋" w:hAnsi="仿宋" w:eastAsia="仿宋" w:cs="仿宋"/>
          <w:b w:val="0"/>
          <w:bCs/>
          <w:sz w:val="18"/>
          <w:lang w:val="en-US" w:eastAsia="zh-CN"/>
        </w:rPr>
        <w:t>涉及区交口、雨金、新市3个街道11个行政村，划分为13个作业小班，设计造林作业面积300亩，主要栽植法桐、紫微、秦白杨3个树种，共计15000株。具体以实际采购人指定内容为准。</w:t>
      </w:r>
    </w:p>
    <w:p w14:paraId="57F0FD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360" w:firstLineChars="200"/>
        <w:jc w:val="left"/>
        <w:textAlignment w:val="auto"/>
        <w:rPr>
          <w:rFonts w:hint="default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18"/>
        </w:rPr>
        <w:t>2</w:t>
      </w:r>
      <w:r>
        <w:rPr>
          <w:rFonts w:hint="eastAsia" w:ascii="仿宋" w:hAnsi="仿宋" w:eastAsia="仿宋" w:cs="仿宋"/>
          <w:sz w:val="18"/>
          <w:lang w:eastAsia="zh-CN"/>
        </w:rPr>
        <w:t>、</w:t>
      </w:r>
      <w:r>
        <w:rPr>
          <w:rFonts w:hint="eastAsia" w:ascii="仿宋" w:hAnsi="仿宋" w:eastAsia="仿宋" w:cs="仿宋"/>
          <w:b/>
          <w:sz w:val="18"/>
        </w:rPr>
        <w:t>工期：</w:t>
      </w:r>
      <w:r>
        <w:rPr>
          <w:rFonts w:hint="eastAsia" w:ascii="仿宋" w:hAnsi="仿宋" w:eastAsia="仿宋" w:cs="仿宋"/>
          <w:b w:val="0"/>
          <w:bCs/>
          <w:sz w:val="18"/>
        </w:rPr>
        <w:t>栽植</w:t>
      </w:r>
      <w:r>
        <w:rPr>
          <w:rFonts w:hint="eastAsia" w:ascii="仿宋" w:hAnsi="仿宋" w:eastAsia="仿宋" w:cs="仿宋"/>
          <w:b w:val="0"/>
          <w:bCs/>
          <w:sz w:val="18"/>
          <w:lang w:val="en-US" w:eastAsia="zh-CN"/>
        </w:rPr>
        <w:t>建设</w:t>
      </w:r>
      <w:r>
        <w:rPr>
          <w:rFonts w:hint="eastAsia" w:ascii="仿宋" w:hAnsi="仿宋" w:eastAsia="仿宋" w:cs="仿宋"/>
          <w:b w:val="0"/>
          <w:bCs/>
          <w:sz w:val="18"/>
        </w:rPr>
        <w:t>期45天，即2026年10月15日至2026年11月30日，养护期1年，即2026年12月1日至2027年11月30日</w:t>
      </w:r>
    </w:p>
    <w:p w14:paraId="3F4FD2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36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18"/>
        </w:rPr>
      </w:pPr>
      <w:r>
        <w:rPr>
          <w:rFonts w:hint="eastAsia" w:ascii="仿宋" w:hAnsi="仿宋" w:eastAsia="仿宋" w:cs="仿宋"/>
          <w:sz w:val="18"/>
        </w:rPr>
        <w:t>3</w:t>
      </w:r>
      <w:r>
        <w:rPr>
          <w:rFonts w:hint="eastAsia" w:ascii="仿宋" w:hAnsi="仿宋" w:eastAsia="仿宋" w:cs="仿宋"/>
          <w:sz w:val="18"/>
          <w:lang w:eastAsia="zh-CN"/>
        </w:rPr>
        <w:t>、</w:t>
      </w:r>
      <w:r>
        <w:rPr>
          <w:rFonts w:hint="eastAsia" w:ascii="仿宋" w:hAnsi="仿宋" w:eastAsia="仿宋" w:cs="仿宋"/>
          <w:b/>
          <w:sz w:val="18"/>
        </w:rPr>
        <w:t>项目地点：</w:t>
      </w:r>
      <w:r>
        <w:rPr>
          <w:rFonts w:hint="eastAsia" w:ascii="仿宋" w:hAnsi="仿宋" w:eastAsia="仿宋" w:cs="仿宋"/>
          <w:b w:val="0"/>
          <w:bCs/>
          <w:sz w:val="18"/>
        </w:rPr>
        <w:t>项目区位于西安市临潼区渭北平原区，涉及交口街道 念杨村，雨金街道粉刘村、东关村、西关村、北湃村、高韩村、新集村，新市街道孙陈村、走马村、马庄村、盐店 村，共3个街道11个行政村。</w:t>
      </w:r>
    </w:p>
    <w:p w14:paraId="1CCEA1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360" w:firstLineChars="200"/>
        <w:jc w:val="left"/>
        <w:textAlignment w:val="auto"/>
        <w:rPr>
          <w:rFonts w:hint="eastAsia" w:ascii="仿宋" w:hAnsi="仿宋" w:eastAsia="仿宋" w:cs="仿宋"/>
          <w:b w:val="0"/>
          <w:bCs/>
          <w:sz w:val="18"/>
        </w:rPr>
      </w:pPr>
      <w:r>
        <w:rPr>
          <w:rFonts w:hint="eastAsia" w:ascii="仿宋" w:hAnsi="仿宋" w:eastAsia="仿宋" w:cs="仿宋"/>
          <w:sz w:val="18"/>
        </w:rPr>
        <w:t>4</w:t>
      </w:r>
      <w:r>
        <w:rPr>
          <w:rFonts w:hint="eastAsia" w:ascii="仿宋" w:hAnsi="仿宋" w:eastAsia="仿宋" w:cs="仿宋"/>
          <w:sz w:val="18"/>
          <w:lang w:eastAsia="zh-CN"/>
        </w:rPr>
        <w:t>、</w:t>
      </w:r>
      <w:r>
        <w:rPr>
          <w:rFonts w:hint="eastAsia" w:ascii="仿宋" w:hAnsi="仿宋" w:eastAsia="仿宋" w:cs="仿宋"/>
          <w:b/>
          <w:sz w:val="18"/>
        </w:rPr>
        <w:t>质量要求：</w:t>
      </w:r>
      <w:r>
        <w:rPr>
          <w:rFonts w:hint="eastAsia" w:ascii="仿宋" w:hAnsi="仿宋" w:eastAsia="仿宋" w:cs="仿宋"/>
          <w:b w:val="0"/>
          <w:bCs/>
          <w:sz w:val="18"/>
        </w:rPr>
        <w:t>造林当年成活率≥85%。</w:t>
      </w:r>
    </w:p>
    <w:p w14:paraId="5487DB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360" w:firstLineChars="200"/>
        <w:jc w:val="left"/>
        <w:textAlignment w:val="auto"/>
        <w:rPr>
          <w:rFonts w:hint="eastAsia" w:ascii="仿宋" w:hAnsi="仿宋" w:eastAsia="仿宋" w:cs="仿宋"/>
          <w:color w:val="FF0000"/>
          <w:sz w:val="18"/>
        </w:rPr>
      </w:pPr>
      <w:r>
        <w:rPr>
          <w:rFonts w:hint="eastAsia" w:ascii="仿宋" w:hAnsi="仿宋" w:eastAsia="仿宋" w:cs="仿宋"/>
          <w:b w:val="0"/>
          <w:bCs/>
          <w:sz w:val="18"/>
          <w:lang w:val="en-US" w:eastAsia="zh-CN"/>
        </w:rPr>
        <w:t>5、</w:t>
      </w:r>
      <w:r>
        <w:rPr>
          <w:rFonts w:hint="eastAsia" w:ascii="仿宋" w:hAnsi="仿宋" w:eastAsia="仿宋" w:cs="仿宋"/>
          <w:b/>
          <w:sz w:val="18"/>
          <w:lang w:val="en-US" w:eastAsia="zh-CN"/>
        </w:rPr>
        <w:t>养护</w:t>
      </w:r>
      <w:r>
        <w:rPr>
          <w:rFonts w:hint="eastAsia" w:ascii="仿宋" w:hAnsi="仿宋" w:eastAsia="仿宋" w:cs="仿宋"/>
          <w:b/>
          <w:sz w:val="18"/>
        </w:rPr>
        <w:t>期：</w:t>
      </w:r>
      <w:r>
        <w:rPr>
          <w:rFonts w:hint="eastAsia" w:ascii="仿宋" w:hAnsi="仿宋" w:eastAsia="仿宋" w:cs="仿宋"/>
          <w:color w:val="FF0000"/>
          <w:sz w:val="18"/>
          <w:lang w:eastAsia="zh-CN"/>
        </w:rPr>
        <w:t>苗木养护期</w:t>
      </w:r>
      <w:r>
        <w:rPr>
          <w:rFonts w:hint="eastAsia" w:ascii="仿宋" w:hAnsi="仿宋" w:eastAsia="仿宋" w:cs="仿宋"/>
          <w:color w:val="FF0000"/>
          <w:sz w:val="18"/>
        </w:rPr>
        <w:t>为一年</w:t>
      </w:r>
    </w:p>
    <w:p w14:paraId="0D218FFB">
      <w:pPr>
        <w:pStyle w:val="5"/>
        <w:rPr>
          <w:rFonts w:hint="eastAsia" w:ascii="仿宋" w:hAnsi="仿宋" w:eastAsia="仿宋" w:cs="仿宋"/>
          <w:b/>
          <w:bCs/>
        </w:rPr>
      </w:pPr>
      <w:r>
        <w:rPr>
          <w:rFonts w:hint="eastAsia" w:ascii="仿宋" w:hAnsi="仿宋" w:eastAsia="仿宋" w:cs="仿宋"/>
          <w:color w:val="FF0000"/>
          <w:sz w:val="18"/>
          <w:lang w:val="en-US" w:eastAsia="zh-CN"/>
        </w:rPr>
        <w:t>6、</w:t>
      </w:r>
      <w:r>
        <w:rPr>
          <w:rFonts w:hint="eastAsia" w:ascii="仿宋" w:hAnsi="仿宋" w:eastAsia="仿宋" w:cs="仿宋"/>
          <w:b/>
          <w:bCs/>
          <w:sz w:val="18"/>
          <w:lang w:val="en-US" w:eastAsia="zh-CN"/>
        </w:rPr>
        <w:t>主要技术指标</w:t>
      </w:r>
      <w:r>
        <w:rPr>
          <w:rFonts w:hint="eastAsia" w:ascii="仿宋" w:hAnsi="仿宋" w:eastAsia="仿宋" w:cs="仿宋"/>
          <w:b/>
          <w:bCs/>
          <w:sz w:val="18"/>
        </w:rPr>
        <w:t>：</w:t>
      </w:r>
    </w:p>
    <w:p w14:paraId="6641EAB7">
      <w:pPr>
        <w:pStyle w:val="5"/>
        <w:numPr>
          <w:ilvl w:val="0"/>
          <w:numId w:val="0"/>
        </w:numPr>
        <w:rPr>
          <w:rFonts w:hint="eastAsia" w:ascii="仿宋" w:hAnsi="仿宋" w:eastAsia="仿宋" w:cs="仿宋"/>
          <w:b w:val="0"/>
          <w:bCs/>
          <w:sz w:val="18"/>
        </w:rPr>
      </w:pPr>
      <w:r>
        <w:rPr>
          <w:rFonts w:hint="eastAsia" w:ascii="仿宋" w:hAnsi="仿宋" w:eastAsia="仿宋" w:cs="仿宋"/>
          <w:b/>
          <w:bCs w:val="0"/>
          <w:sz w:val="18"/>
          <w:lang w:eastAsia="zh-CN"/>
        </w:rPr>
        <w:t>（</w:t>
      </w:r>
      <w:r>
        <w:rPr>
          <w:rFonts w:hint="eastAsia" w:ascii="仿宋" w:hAnsi="仿宋" w:eastAsia="仿宋" w:cs="仿宋"/>
          <w:b/>
          <w:bCs w:val="0"/>
          <w:sz w:val="18"/>
          <w:lang w:val="en-US" w:eastAsia="zh-CN"/>
        </w:rPr>
        <w:t>1</w:t>
      </w:r>
      <w:r>
        <w:rPr>
          <w:rFonts w:hint="eastAsia" w:ascii="仿宋" w:hAnsi="仿宋" w:eastAsia="仿宋" w:cs="仿宋"/>
          <w:b/>
          <w:bCs w:val="0"/>
          <w:sz w:val="18"/>
          <w:lang w:eastAsia="zh-CN"/>
        </w:rPr>
        <w:t>）</w:t>
      </w:r>
      <w:r>
        <w:rPr>
          <w:rFonts w:hint="eastAsia" w:ascii="仿宋" w:hAnsi="仿宋" w:eastAsia="仿宋" w:cs="仿宋"/>
          <w:b/>
          <w:bCs w:val="0"/>
          <w:sz w:val="18"/>
        </w:rPr>
        <w:t>林种、树种配置及验收标准</w:t>
      </w:r>
      <w:r>
        <w:rPr>
          <w:rFonts w:hint="eastAsia" w:ascii="仿宋" w:hAnsi="仿宋" w:eastAsia="仿宋" w:cs="仿宋"/>
          <w:b/>
          <w:bCs w:val="0"/>
          <w:sz w:val="18"/>
          <w:lang w:eastAsia="zh-CN"/>
        </w:rPr>
        <w:t>：</w:t>
      </w:r>
      <w:r>
        <w:rPr>
          <w:rFonts w:hint="eastAsia" w:ascii="仿宋" w:hAnsi="仿宋" w:eastAsia="仿宋" w:cs="仿宋"/>
          <w:b w:val="0"/>
          <w:bCs/>
          <w:sz w:val="18"/>
          <w:lang w:eastAsia="zh-CN"/>
        </w:rPr>
        <w:t>项目为沟渠两侧造林，林种为防护林。树种设计配置 共两个模式，模式一为法桐、紫薇单株交替；模式二为秦白杨单行纯林栽植。造林当年成活率≥85%。</w:t>
      </w:r>
    </w:p>
    <w:p w14:paraId="74F9DC52">
      <w:pPr>
        <w:pStyle w:val="5"/>
        <w:numPr>
          <w:ilvl w:val="0"/>
          <w:numId w:val="0"/>
        </w:numPr>
        <w:rPr>
          <w:rFonts w:hint="eastAsia" w:ascii="仿宋" w:hAnsi="仿宋" w:eastAsia="仿宋" w:cs="仿宋"/>
          <w:b/>
          <w:bCs w:val="0"/>
          <w:sz w:val="18"/>
        </w:rPr>
      </w:pPr>
      <w:r>
        <w:rPr>
          <w:rFonts w:hint="eastAsia" w:ascii="仿宋" w:hAnsi="仿宋" w:eastAsia="仿宋" w:cs="仿宋"/>
          <w:b/>
          <w:bCs w:val="0"/>
          <w:sz w:val="18"/>
          <w:lang w:eastAsia="zh-CN"/>
        </w:rPr>
        <w:t>（2）树种规格</w:t>
      </w:r>
    </w:p>
    <w:p w14:paraId="5F632803">
      <w:pPr>
        <w:rPr>
          <w:rFonts w:hint="eastAsia" w:ascii="仿宋" w:hAnsi="仿宋" w:eastAsia="仿宋" w:cs="仿宋"/>
          <w:b w:val="0"/>
          <w:bCs w:val="0"/>
          <w:color w:val="000000"/>
          <w:sz w:val="18"/>
          <w:szCs w:val="18"/>
        </w:rPr>
      </w:pPr>
      <w:r>
        <w:rPr>
          <w:rFonts w:hint="eastAsia" w:ascii="仿宋" w:hAnsi="仿宋" w:eastAsia="仿宋" w:cs="仿宋"/>
          <w:b w:val="0"/>
          <w:bCs w:val="0"/>
          <w:color w:val="000000"/>
          <w:sz w:val="18"/>
          <w:szCs w:val="18"/>
        </w:rPr>
        <w:t>本工程造林设计树种3种，各树种规格、数量详见</w:t>
      </w:r>
      <w:r>
        <w:rPr>
          <w:rFonts w:hint="eastAsia" w:ascii="仿宋" w:hAnsi="仿宋" w:eastAsia="仿宋" w:cs="仿宋"/>
          <w:b w:val="0"/>
          <w:bCs w:val="0"/>
          <w:color w:val="000000"/>
          <w:sz w:val="18"/>
          <w:szCs w:val="18"/>
          <w:lang w:val="en-US" w:eastAsia="zh-CN"/>
        </w:rPr>
        <w:t>下</w:t>
      </w:r>
      <w:r>
        <w:rPr>
          <w:rFonts w:hint="eastAsia" w:ascii="仿宋" w:hAnsi="仿宋" w:eastAsia="仿宋" w:cs="仿宋"/>
          <w:b w:val="0"/>
          <w:bCs w:val="0"/>
          <w:color w:val="000000"/>
          <w:sz w:val="18"/>
          <w:szCs w:val="18"/>
        </w:rPr>
        <w:t>表。</w:t>
      </w:r>
    </w:p>
    <w:tbl>
      <w:tblPr>
        <w:tblStyle w:val="3"/>
        <w:tblW w:w="887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8"/>
        <w:gridCol w:w="1326"/>
        <w:gridCol w:w="4018"/>
        <w:gridCol w:w="2377"/>
      </w:tblGrid>
      <w:tr w14:paraId="7E3756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1158" w:type="dxa"/>
            <w:vAlign w:val="center"/>
          </w:tcPr>
          <w:p w14:paraId="0D99549C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z w:val="18"/>
                <w:szCs w:val="18"/>
                <w:lang w:eastAsia="zh-CN"/>
              </w:rPr>
            </w:pPr>
            <w:bookmarkStart w:id="0" w:name="_GoBack"/>
            <w:r>
              <w:rPr>
                <w:rFonts w:hint="eastAsia" w:ascii="仿宋" w:hAnsi="仿宋" w:eastAsia="仿宋" w:cs="仿宋"/>
                <w:b/>
                <w:bCs/>
                <w:color w:val="000000"/>
                <w:sz w:val="18"/>
                <w:szCs w:val="18"/>
                <w:lang w:val="en-US" w:eastAsia="zh-CN"/>
              </w:rPr>
              <w:t>序号</w:t>
            </w:r>
          </w:p>
        </w:tc>
        <w:tc>
          <w:tcPr>
            <w:tcW w:w="1326" w:type="dxa"/>
            <w:vAlign w:val="center"/>
          </w:tcPr>
          <w:p w14:paraId="4E988CC3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sz w:val="18"/>
                <w:szCs w:val="18"/>
              </w:rPr>
              <w:t>树种</w:t>
            </w:r>
          </w:p>
        </w:tc>
        <w:tc>
          <w:tcPr>
            <w:tcW w:w="4018" w:type="dxa"/>
            <w:vAlign w:val="center"/>
          </w:tcPr>
          <w:p w14:paraId="294C734E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sz w:val="18"/>
                <w:szCs w:val="18"/>
              </w:rPr>
              <w:t>苗木规格</w:t>
            </w:r>
          </w:p>
        </w:tc>
        <w:tc>
          <w:tcPr>
            <w:tcW w:w="2377" w:type="dxa"/>
            <w:vAlign w:val="center"/>
          </w:tcPr>
          <w:p w14:paraId="1AD90E02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sz w:val="18"/>
                <w:szCs w:val="18"/>
              </w:rPr>
              <w:t>苗木数量 （株）</w:t>
            </w:r>
          </w:p>
        </w:tc>
      </w:tr>
      <w:tr w14:paraId="3465BE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0" w:hRule="atLeast"/>
        </w:trPr>
        <w:tc>
          <w:tcPr>
            <w:tcW w:w="1158" w:type="dxa"/>
            <w:vAlign w:val="center"/>
          </w:tcPr>
          <w:p w14:paraId="08EFFD47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1326" w:type="dxa"/>
            <w:vAlign w:val="center"/>
          </w:tcPr>
          <w:p w14:paraId="618DEB05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法桐</w:t>
            </w:r>
          </w:p>
        </w:tc>
        <w:tc>
          <w:tcPr>
            <w:tcW w:w="4018" w:type="dxa"/>
            <w:vAlign w:val="center"/>
          </w:tcPr>
          <w:p w14:paraId="6197DDE5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胸径8cm，截干再生冠，3年生冠，分支点 2.8米，冠幅饱满，全冠栽植。土球苗，土 球60cm</w:t>
            </w:r>
          </w:p>
        </w:tc>
        <w:tc>
          <w:tcPr>
            <w:tcW w:w="2377" w:type="dxa"/>
            <w:vAlign w:val="center"/>
          </w:tcPr>
          <w:p w14:paraId="39C6A64F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1003</w:t>
            </w:r>
          </w:p>
        </w:tc>
      </w:tr>
      <w:tr w14:paraId="15C9E6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6" w:hRule="atLeast"/>
        </w:trPr>
        <w:tc>
          <w:tcPr>
            <w:tcW w:w="1158" w:type="dxa"/>
            <w:vAlign w:val="center"/>
          </w:tcPr>
          <w:p w14:paraId="1742AAA0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1326" w:type="dxa"/>
            <w:vAlign w:val="center"/>
          </w:tcPr>
          <w:p w14:paraId="4005537A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紫薇</w:t>
            </w:r>
          </w:p>
        </w:tc>
        <w:tc>
          <w:tcPr>
            <w:tcW w:w="4018" w:type="dxa"/>
            <w:vAlign w:val="center"/>
          </w:tcPr>
          <w:p w14:paraId="770693BD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胸径6cm，独杆原生苗，分支点1.8米，冠 幅饱满，枝条分布均匀，无偏冠，一级分 枝数量充足，全冠栽植。土球苗，土球 40cm。</w:t>
            </w:r>
          </w:p>
        </w:tc>
        <w:tc>
          <w:tcPr>
            <w:tcW w:w="2377" w:type="dxa"/>
            <w:vAlign w:val="center"/>
          </w:tcPr>
          <w:p w14:paraId="17EB43A6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1003</w:t>
            </w:r>
          </w:p>
        </w:tc>
      </w:tr>
      <w:tr w14:paraId="356753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8" w:hRule="atLeast"/>
        </w:trPr>
        <w:tc>
          <w:tcPr>
            <w:tcW w:w="1158" w:type="dxa"/>
            <w:vAlign w:val="center"/>
          </w:tcPr>
          <w:p w14:paraId="4EAFFA85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1326" w:type="dxa"/>
            <w:vAlign w:val="center"/>
          </w:tcPr>
          <w:p w14:paraId="09EA7813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秦白杨</w:t>
            </w:r>
          </w:p>
        </w:tc>
        <w:tc>
          <w:tcPr>
            <w:tcW w:w="4018" w:type="dxa"/>
            <w:vAlign w:val="center"/>
          </w:tcPr>
          <w:p w14:paraId="51BF9918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2-3年生裸根扦插一级苗，雄株，底径≥ 3cm，苗高3.5米。苗干通直，牙体饱满， 主根长度≥25cm，侧根系发达。</w:t>
            </w:r>
          </w:p>
        </w:tc>
        <w:tc>
          <w:tcPr>
            <w:tcW w:w="2377" w:type="dxa"/>
            <w:vAlign w:val="center"/>
          </w:tcPr>
          <w:p w14:paraId="6203FE1F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12994</w:t>
            </w:r>
          </w:p>
        </w:tc>
      </w:tr>
      <w:tr w14:paraId="2E3C90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6502" w:type="dxa"/>
            <w:gridSpan w:val="3"/>
            <w:vAlign w:val="center"/>
          </w:tcPr>
          <w:p w14:paraId="2DE4B63A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合计</w:t>
            </w:r>
          </w:p>
        </w:tc>
        <w:tc>
          <w:tcPr>
            <w:tcW w:w="2377" w:type="dxa"/>
            <w:vAlign w:val="center"/>
          </w:tcPr>
          <w:p w14:paraId="1E297F12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15000</w:t>
            </w:r>
          </w:p>
        </w:tc>
      </w:tr>
      <w:bookmarkEnd w:id="0"/>
    </w:tbl>
    <w:p w14:paraId="067620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360" w:firstLineChars="200"/>
        <w:jc w:val="left"/>
        <w:textAlignment w:val="auto"/>
        <w:rPr>
          <w:rFonts w:hint="default" w:ascii="仿宋" w:hAnsi="仿宋" w:eastAsia="仿宋" w:cs="仿宋"/>
          <w:color w:val="FF0000"/>
          <w:sz w:val="18"/>
          <w:lang w:val="en-US" w:eastAsia="zh-CN"/>
        </w:rPr>
      </w:pPr>
    </w:p>
    <w:p w14:paraId="6D9B9E96">
      <w:pPr>
        <w:jc w:val="center"/>
        <w:rPr>
          <w:rFonts w:hint="default"/>
          <w:b/>
          <w:bCs/>
          <w:sz w:val="30"/>
          <w:szCs w:val="30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423504"/>
    <w:rsid w:val="78423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2026-09-13T08:21:00Z</dcterms:created>
  <dc:creator>不敗的意志</dc:creator>
  <cp:lastModifiedBy>不敗的意志</cp:lastModifiedBy>
  <dcterms:modified xsi:type="dcterms:W3CDTF">2026-09-13T08:26:22Z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0BF1EAD103244B31B7F4643260285B05_11</vt:lpwstr>
  </property>
  <property fmtid="{D5CDD505-2E9C-101B-9397-08002B2CF9AE}" pid="4" name="KSOTemplateDocerSaveRecord">
    <vt:lpwstr>eyJoZGlkIjoiYjBiMGYyMTdlOWNlMzIyY2EzMGUzMDUwNzgyODg5NjciLCJ1c2VySWQiOiI2MzYyOTEzMzIifQ==</vt:lpwstr>
  </property>
</Properties>
</file>