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81DEC">
      <w:pPr>
        <w:keepNext w:val="0"/>
        <w:keepLines w:val="0"/>
        <w:pageBreakBefore w:val="0"/>
        <w:widowControl w:val="0"/>
        <w:kinsoku/>
        <w:wordWrap/>
        <w:overflowPunct/>
        <w:topLinePunct w:val="0"/>
        <w:autoSpaceDE/>
        <w:autoSpaceDN/>
        <w:bidi w:val="0"/>
        <w:adjustRightInd/>
        <w:snapToGrid/>
        <w:spacing w:line="600" w:lineRule="auto"/>
        <w:jc w:val="center"/>
        <w:textAlignment w:val="auto"/>
        <w:outlineLvl w:val="0"/>
        <w:rPr>
          <w:rFonts w:hint="eastAsia"/>
          <w:color w:val="auto"/>
          <w:sz w:val="40"/>
          <w:szCs w:val="52"/>
          <w:highlight w:val="none"/>
        </w:rPr>
      </w:pPr>
      <w:r>
        <w:rPr>
          <w:rFonts w:hint="eastAsia"/>
          <w:b/>
          <w:bCs/>
          <w:color w:val="auto"/>
          <w:sz w:val="40"/>
          <w:szCs w:val="52"/>
          <w:highlight w:val="none"/>
        </w:rPr>
        <w:t>合同</w:t>
      </w:r>
      <w:r>
        <w:rPr>
          <w:rFonts w:hint="eastAsia"/>
          <w:b/>
          <w:bCs/>
          <w:color w:val="auto"/>
          <w:sz w:val="40"/>
          <w:szCs w:val="52"/>
          <w:highlight w:val="none"/>
          <w:lang w:val="en-US" w:eastAsia="zh-CN"/>
        </w:rPr>
        <w:t>主要</w:t>
      </w:r>
      <w:r>
        <w:rPr>
          <w:rFonts w:hint="eastAsia"/>
          <w:b/>
          <w:bCs/>
          <w:color w:val="auto"/>
          <w:sz w:val="40"/>
          <w:szCs w:val="52"/>
          <w:highlight w:val="none"/>
        </w:rPr>
        <w:t>条款（</w:t>
      </w:r>
      <w:r>
        <w:rPr>
          <w:rFonts w:hint="eastAsia"/>
          <w:b/>
          <w:bCs/>
          <w:color w:val="auto"/>
          <w:sz w:val="40"/>
          <w:szCs w:val="52"/>
          <w:highlight w:val="none"/>
          <w:lang w:val="en-US" w:eastAsia="zh-CN"/>
        </w:rPr>
        <w:t>仅供</w:t>
      </w:r>
      <w:r>
        <w:rPr>
          <w:rFonts w:hint="eastAsia"/>
          <w:b/>
          <w:bCs/>
          <w:color w:val="auto"/>
          <w:sz w:val="40"/>
          <w:szCs w:val="52"/>
          <w:highlight w:val="none"/>
        </w:rPr>
        <w:t>参考）</w:t>
      </w:r>
    </w:p>
    <w:p w14:paraId="24D2E16D">
      <w:pPr>
        <w:pStyle w:val="12"/>
        <w:spacing w:line="480" w:lineRule="auto"/>
        <w:ind w:firstLine="480"/>
        <w:jc w:val="left"/>
        <w:rPr>
          <w:rFonts w:hint="eastAsia" w:ascii="宋体" w:hAnsi="宋体"/>
          <w:color w:val="auto"/>
          <w:szCs w:val="24"/>
          <w:highlight w:val="none"/>
        </w:rPr>
      </w:pPr>
      <w:r>
        <w:rPr>
          <w:rFonts w:hint="eastAsia" w:ascii="宋体" w:hAnsi="宋体"/>
          <w:color w:val="auto"/>
          <w:szCs w:val="24"/>
          <w:highlight w:val="none"/>
        </w:rPr>
        <w:t>合同编号：</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p>
    <w:p w14:paraId="50EB8926">
      <w:pPr>
        <w:pStyle w:val="12"/>
        <w:spacing w:line="480" w:lineRule="auto"/>
        <w:ind w:firstLine="480"/>
        <w:jc w:val="left"/>
        <w:rPr>
          <w:rFonts w:hint="eastAsia" w:ascii="宋体" w:hAnsi="宋体"/>
          <w:color w:val="auto"/>
          <w:szCs w:val="24"/>
          <w:highlight w:val="none"/>
        </w:rPr>
      </w:pPr>
      <w:r>
        <w:rPr>
          <w:rFonts w:hint="eastAsia" w:ascii="宋体" w:hAnsi="宋体"/>
          <w:color w:val="auto"/>
          <w:szCs w:val="24"/>
          <w:highlight w:val="none"/>
        </w:rPr>
        <w:t>签订地点：</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r>
        <w:rPr>
          <w:rFonts w:hint="eastAsia" w:ascii="宋体" w:hAnsi="宋体"/>
          <w:color w:val="auto"/>
          <w:szCs w:val="24"/>
          <w:highlight w:val="none"/>
        </w:rPr>
        <w:t xml:space="preserve"> </w:t>
      </w:r>
    </w:p>
    <w:p w14:paraId="0320FDCF">
      <w:pPr>
        <w:pStyle w:val="12"/>
        <w:spacing w:line="480" w:lineRule="auto"/>
        <w:ind w:firstLine="480"/>
        <w:jc w:val="left"/>
        <w:rPr>
          <w:rFonts w:hint="eastAsia" w:ascii="宋体" w:hAnsi="宋体"/>
          <w:color w:val="auto"/>
          <w:szCs w:val="24"/>
          <w:highlight w:val="none"/>
          <w:u w:val="single"/>
        </w:rPr>
      </w:pPr>
      <w:r>
        <w:rPr>
          <w:rFonts w:hint="eastAsia" w:ascii="宋体" w:hAnsi="宋体"/>
          <w:color w:val="auto"/>
          <w:szCs w:val="24"/>
          <w:highlight w:val="none"/>
        </w:rPr>
        <w:t>签订时间</w:t>
      </w:r>
      <w:r>
        <w:rPr>
          <w:rFonts w:hint="eastAsia" w:ascii="宋体" w:hAnsi="宋体"/>
          <w:color w:val="auto"/>
          <w:szCs w:val="24"/>
          <w:highlight w:val="none"/>
          <w:lang w:eastAsia="zh-CN"/>
        </w:rPr>
        <w:t>：</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p>
    <w:p w14:paraId="790F6FD9">
      <w:pPr>
        <w:pStyle w:val="12"/>
        <w:spacing w:line="480" w:lineRule="auto"/>
        <w:ind w:firstLine="480"/>
        <w:jc w:val="left"/>
        <w:rPr>
          <w:rFonts w:hint="eastAsia" w:ascii="宋体" w:hAnsi="宋体"/>
          <w:color w:val="auto"/>
          <w:szCs w:val="24"/>
          <w:highlight w:val="none"/>
        </w:rPr>
      </w:pPr>
      <w:r>
        <w:rPr>
          <w:rFonts w:hint="eastAsia" w:ascii="宋体" w:hAnsi="宋体"/>
          <w:color w:val="auto"/>
          <w:szCs w:val="24"/>
          <w:highlight w:val="none"/>
        </w:rPr>
        <w:t>招标人（甲方）：</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p>
    <w:p w14:paraId="37E287BD">
      <w:pPr>
        <w:pStyle w:val="12"/>
        <w:spacing w:line="480" w:lineRule="auto"/>
        <w:ind w:firstLine="480"/>
        <w:jc w:val="left"/>
        <w:rPr>
          <w:rFonts w:hint="eastAsia" w:ascii="宋体" w:hAnsi="宋体"/>
          <w:color w:val="auto"/>
          <w:szCs w:val="24"/>
          <w:highlight w:val="none"/>
        </w:rPr>
      </w:pPr>
      <w:r>
        <w:rPr>
          <w:rFonts w:hint="eastAsia" w:ascii="宋体" w:hAnsi="宋体"/>
          <w:color w:val="auto"/>
          <w:szCs w:val="24"/>
          <w:highlight w:val="none"/>
          <w:lang w:eastAsia="zh-CN"/>
        </w:rPr>
        <w:t>供应商</w:t>
      </w:r>
      <w:r>
        <w:rPr>
          <w:rFonts w:hint="eastAsia" w:ascii="宋体" w:hAnsi="宋体"/>
          <w:color w:val="auto"/>
          <w:szCs w:val="24"/>
          <w:highlight w:val="none"/>
        </w:rPr>
        <w:t>（乙方）：</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p>
    <w:p w14:paraId="0503FE63">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根据《中华人民共和国政府采购法》</w:t>
      </w:r>
      <w:r>
        <w:rPr>
          <w:rFonts w:hint="eastAsia" w:ascii="宋体" w:hAnsi="宋体" w:cs="宋体"/>
          <w:color w:val="auto"/>
          <w:sz w:val="24"/>
          <w:szCs w:val="24"/>
          <w:highlight w:val="none"/>
        </w:rPr>
        <w:t>《中华人民共和国政府采购</w:t>
      </w:r>
      <w:r>
        <w:rPr>
          <w:rFonts w:hint="eastAsia" w:ascii="宋体" w:hAnsi="宋体" w:cs="宋体"/>
          <w:color w:val="auto"/>
          <w:sz w:val="24"/>
          <w:szCs w:val="24"/>
          <w:highlight w:val="none"/>
          <w:lang w:val="en-US" w:eastAsia="zh-CN"/>
        </w:rPr>
        <w:t>法</w:t>
      </w:r>
      <w:r>
        <w:rPr>
          <w:rFonts w:hint="eastAsia" w:ascii="宋体" w:hAnsi="宋体" w:cs="宋体"/>
          <w:color w:val="auto"/>
          <w:sz w:val="24"/>
          <w:szCs w:val="24"/>
          <w:highlight w:val="none"/>
        </w:rPr>
        <w:t>实施条例</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中华人民共和国</w:t>
      </w:r>
      <w:r>
        <w:rPr>
          <w:rFonts w:hint="eastAsia" w:ascii="宋体" w:hAnsi="宋体" w:cs="宋体"/>
          <w:color w:val="auto"/>
          <w:sz w:val="24"/>
          <w:szCs w:val="24"/>
          <w:highlight w:val="none"/>
          <w:lang w:eastAsia="zh-CN"/>
        </w:rPr>
        <w:t>民法典</w:t>
      </w:r>
      <w:r>
        <w:rPr>
          <w:rFonts w:hint="eastAsia" w:ascii="宋体" w:hAnsi="宋体" w:cs="宋体"/>
          <w:color w:val="auto"/>
          <w:sz w:val="24"/>
          <w:szCs w:val="24"/>
          <w:highlight w:val="none"/>
        </w:rPr>
        <w:t>》和</w:t>
      </w:r>
      <w:r>
        <w:rPr>
          <w:rFonts w:hint="eastAsia" w:ascii="宋体" w:hAnsi="宋体" w:cs="宋体"/>
          <w:color w:val="auto"/>
          <w:sz w:val="24"/>
          <w:szCs w:val="24"/>
          <w:highlight w:val="none"/>
          <w:u w:val="single"/>
          <w:lang w:eastAsia="zh-CN"/>
        </w:rPr>
        <w:t>渭南师范学院朝阳校区多媒体教室升级改造项目</w:t>
      </w:r>
      <w:r>
        <w:rPr>
          <w:rFonts w:hint="eastAsia" w:ascii="宋体" w:hAnsi="宋体" w:cs="宋体"/>
          <w:color w:val="auto"/>
          <w:sz w:val="24"/>
          <w:szCs w:val="24"/>
          <w:highlight w:val="none"/>
        </w:rPr>
        <w:t>采购项目（采购项目编号：</w:t>
      </w:r>
      <w:r>
        <w:rPr>
          <w:rFonts w:hint="eastAsia" w:ascii="宋体" w:hAnsi="宋体" w:cs="宋体"/>
          <w:color w:val="auto"/>
          <w:sz w:val="24"/>
          <w:szCs w:val="24"/>
          <w:highlight w:val="none"/>
          <w:u w:val="single"/>
          <w:lang w:eastAsia="zh-CN"/>
        </w:rPr>
        <w:t>HRC-ZBDL-2026-00692</w:t>
      </w:r>
      <w:r>
        <w:rPr>
          <w:rFonts w:hint="eastAsia" w:ascii="宋体" w:hAnsi="宋体" w:cs="宋体"/>
          <w:color w:val="auto"/>
          <w:sz w:val="24"/>
          <w:szCs w:val="24"/>
          <w:highlight w:val="none"/>
        </w:rPr>
        <w:t>）的招标文件、投标文件等有关规定，为确保甲方采购项目的顺利实施，甲、乙双方在平等自愿原则下签订本合同，并共同遵守如下条款：</w:t>
      </w:r>
    </w:p>
    <w:p w14:paraId="7FB6439A">
      <w:pPr>
        <w:pStyle w:val="12"/>
        <w:spacing w:line="360" w:lineRule="auto"/>
        <w:ind w:firstLine="424" w:firstLineChars="176"/>
        <w:jc w:val="left"/>
        <w:rPr>
          <w:rFonts w:hint="eastAsia" w:ascii="宋体" w:hAnsi="宋体"/>
          <w:b/>
          <w:color w:val="auto"/>
          <w:szCs w:val="24"/>
          <w:highlight w:val="none"/>
        </w:rPr>
      </w:pPr>
      <w:r>
        <w:rPr>
          <w:rFonts w:hint="eastAsia" w:ascii="宋体" w:hAnsi="宋体"/>
          <w:b/>
          <w:color w:val="auto"/>
          <w:szCs w:val="24"/>
          <w:highlight w:val="none"/>
        </w:rPr>
        <w:t>第一条 合同标的及数量</w:t>
      </w:r>
    </w:p>
    <w:p w14:paraId="0374295A">
      <w:pPr>
        <w:spacing w:line="360" w:lineRule="auto"/>
        <w:ind w:firstLine="480" w:firstLineChars="200"/>
        <w:jc w:val="left"/>
        <w:rPr>
          <w:rFonts w:hint="eastAsia" w:ascii="宋体" w:hAnsi="宋体" w:cs="宋体"/>
          <w:b/>
          <w:color w:val="auto"/>
          <w:sz w:val="24"/>
          <w:szCs w:val="24"/>
          <w:highlight w:val="none"/>
        </w:rPr>
      </w:pPr>
      <w:r>
        <w:rPr>
          <w:rFonts w:hint="eastAsia" w:ascii="宋体" w:hAnsi="宋体" w:cs="宋体"/>
          <w:color w:val="auto"/>
          <w:sz w:val="24"/>
          <w:szCs w:val="24"/>
          <w:highlight w:val="none"/>
        </w:rPr>
        <w:t>乙方向甲方提供下列货物（产品）：</w:t>
      </w:r>
    </w:p>
    <w:p w14:paraId="0B5DF90F">
      <w:pPr>
        <w:spacing w:line="240" w:lineRule="auto"/>
        <w:jc w:val="center"/>
        <w:rPr>
          <w:rFonts w:hint="default" w:ascii="宋体" w:hAnsi="宋体" w:eastAsia="宋体" w:cs="宋体"/>
          <w:b/>
          <w:color w:val="auto"/>
          <w:sz w:val="24"/>
          <w:szCs w:val="24"/>
          <w:highlight w:val="none"/>
          <w:lang w:val="en-US" w:eastAsia="zh-CN"/>
        </w:rPr>
      </w:pPr>
      <w:r>
        <w:rPr>
          <w:rFonts w:hint="eastAsia" w:ascii="宋体" w:hAnsi="宋体" w:cs="宋体"/>
          <w:b/>
          <w:color w:val="auto"/>
          <w:sz w:val="32"/>
          <w:szCs w:val="32"/>
          <w:highlight w:val="none"/>
        </w:rPr>
        <w:t>供货一览表</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24"/>
          <w:szCs w:val="24"/>
          <w:highlight w:val="none"/>
          <w:lang w:val="en-US" w:eastAsia="zh-CN"/>
        </w:rPr>
        <w:t xml:space="preserve"> </w:t>
      </w:r>
    </w:p>
    <w:tbl>
      <w:tblPr>
        <w:tblStyle w:val="8"/>
        <w:tblpPr w:leftFromText="180" w:rightFromText="180" w:vertAnchor="text" w:horzAnchor="margin" w:tblpY="309"/>
        <w:tblW w:w="917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604"/>
        <w:gridCol w:w="1552"/>
        <w:gridCol w:w="706"/>
        <w:gridCol w:w="892"/>
        <w:gridCol w:w="1189"/>
        <w:gridCol w:w="1040"/>
        <w:gridCol w:w="1628"/>
      </w:tblGrid>
      <w:tr w14:paraId="71576F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564" w:type="dxa"/>
            <w:tcBorders>
              <w:bottom w:val="single" w:color="auto" w:sz="4" w:space="0"/>
              <w:right w:val="single" w:color="auto" w:sz="4" w:space="0"/>
            </w:tcBorders>
            <w:noWrap w:val="0"/>
            <w:vAlign w:val="center"/>
          </w:tcPr>
          <w:p w14:paraId="5C8BF3D1">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1604" w:type="dxa"/>
            <w:tcBorders>
              <w:left w:val="single" w:color="auto" w:sz="4" w:space="0"/>
              <w:bottom w:val="single" w:color="auto" w:sz="4" w:space="0"/>
              <w:right w:val="single" w:color="auto" w:sz="4" w:space="0"/>
            </w:tcBorders>
            <w:noWrap w:val="0"/>
            <w:vAlign w:val="center"/>
          </w:tcPr>
          <w:p w14:paraId="5489C5F4">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552" w:type="dxa"/>
            <w:tcBorders>
              <w:left w:val="single" w:color="auto" w:sz="4" w:space="0"/>
              <w:bottom w:val="single" w:color="auto" w:sz="4" w:space="0"/>
              <w:right w:val="single" w:color="auto" w:sz="4" w:space="0"/>
            </w:tcBorders>
            <w:noWrap w:val="0"/>
            <w:vAlign w:val="center"/>
          </w:tcPr>
          <w:p w14:paraId="65976E78">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品牌/型号</w:t>
            </w:r>
          </w:p>
        </w:tc>
        <w:tc>
          <w:tcPr>
            <w:tcW w:w="706" w:type="dxa"/>
            <w:tcBorders>
              <w:left w:val="single" w:color="auto" w:sz="4" w:space="0"/>
              <w:bottom w:val="single" w:color="auto" w:sz="4" w:space="0"/>
              <w:right w:val="single" w:color="auto" w:sz="4" w:space="0"/>
            </w:tcBorders>
            <w:noWrap w:val="0"/>
            <w:vAlign w:val="center"/>
          </w:tcPr>
          <w:p w14:paraId="386609D7">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规格</w:t>
            </w:r>
          </w:p>
        </w:tc>
        <w:tc>
          <w:tcPr>
            <w:tcW w:w="892" w:type="dxa"/>
            <w:tcBorders>
              <w:left w:val="single" w:color="auto" w:sz="4" w:space="0"/>
              <w:bottom w:val="single" w:color="auto" w:sz="4" w:space="0"/>
              <w:right w:val="single" w:color="auto" w:sz="4" w:space="0"/>
            </w:tcBorders>
            <w:noWrap w:val="0"/>
            <w:vAlign w:val="center"/>
          </w:tcPr>
          <w:p w14:paraId="26999B29">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计量单位</w:t>
            </w:r>
          </w:p>
        </w:tc>
        <w:tc>
          <w:tcPr>
            <w:tcW w:w="1189" w:type="dxa"/>
            <w:tcBorders>
              <w:left w:val="single" w:color="auto" w:sz="4" w:space="0"/>
              <w:bottom w:val="single" w:color="auto" w:sz="4" w:space="0"/>
              <w:right w:val="single" w:color="auto" w:sz="4" w:space="0"/>
            </w:tcBorders>
            <w:noWrap w:val="0"/>
            <w:vAlign w:val="center"/>
          </w:tcPr>
          <w:p w14:paraId="72A9A4A2">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数量</w:t>
            </w:r>
          </w:p>
        </w:tc>
        <w:tc>
          <w:tcPr>
            <w:tcW w:w="1040" w:type="dxa"/>
            <w:tcBorders>
              <w:left w:val="single" w:color="auto" w:sz="4" w:space="0"/>
              <w:bottom w:val="single" w:color="auto" w:sz="4" w:space="0"/>
              <w:right w:val="single" w:color="auto" w:sz="4" w:space="0"/>
            </w:tcBorders>
            <w:noWrap w:val="0"/>
            <w:vAlign w:val="center"/>
          </w:tcPr>
          <w:p w14:paraId="0175D8BD">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单价（元）</w:t>
            </w:r>
          </w:p>
        </w:tc>
        <w:tc>
          <w:tcPr>
            <w:tcW w:w="1628" w:type="dxa"/>
            <w:tcBorders>
              <w:left w:val="single" w:color="auto" w:sz="4" w:space="0"/>
              <w:bottom w:val="single" w:color="auto" w:sz="4" w:space="0"/>
            </w:tcBorders>
            <w:noWrap w:val="0"/>
            <w:vAlign w:val="center"/>
          </w:tcPr>
          <w:p w14:paraId="2F78C091">
            <w:pPr>
              <w:spacing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合计</w:t>
            </w:r>
            <w:r>
              <w:rPr>
                <w:rFonts w:hint="eastAsia" w:ascii="宋体" w:hAnsi="宋体" w:cs="宋体"/>
                <w:color w:val="auto"/>
                <w:sz w:val="24"/>
                <w:szCs w:val="24"/>
                <w:highlight w:val="none"/>
              </w:rPr>
              <w:t xml:space="preserve">金额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元</w:t>
            </w:r>
            <w:r>
              <w:rPr>
                <w:rFonts w:hint="eastAsia" w:ascii="宋体" w:hAnsi="宋体" w:cs="宋体"/>
                <w:color w:val="auto"/>
                <w:sz w:val="24"/>
                <w:szCs w:val="24"/>
                <w:highlight w:val="none"/>
                <w:lang w:eastAsia="zh-CN"/>
              </w:rPr>
              <w:t>）</w:t>
            </w:r>
          </w:p>
        </w:tc>
      </w:tr>
      <w:tr w14:paraId="43F39E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dxa"/>
            <w:tcBorders>
              <w:top w:val="single" w:color="auto" w:sz="4" w:space="0"/>
              <w:bottom w:val="single" w:color="auto" w:sz="4" w:space="0"/>
              <w:right w:val="single" w:color="auto" w:sz="4" w:space="0"/>
            </w:tcBorders>
            <w:noWrap w:val="0"/>
            <w:vAlign w:val="center"/>
          </w:tcPr>
          <w:p w14:paraId="1D0BD189">
            <w:pPr>
              <w:spacing w:line="240" w:lineRule="auto"/>
              <w:jc w:val="center"/>
              <w:rPr>
                <w:rFonts w:hint="eastAsia" w:ascii="宋体" w:hAnsi="宋体" w:cs="宋体"/>
                <w:color w:val="auto"/>
                <w:sz w:val="24"/>
                <w:szCs w:val="24"/>
                <w:highlight w:val="none"/>
              </w:rPr>
            </w:pPr>
          </w:p>
        </w:tc>
        <w:tc>
          <w:tcPr>
            <w:tcW w:w="1604" w:type="dxa"/>
            <w:tcBorders>
              <w:top w:val="single" w:color="auto" w:sz="4" w:space="0"/>
              <w:left w:val="single" w:color="auto" w:sz="4" w:space="0"/>
              <w:bottom w:val="single" w:color="auto" w:sz="4" w:space="0"/>
              <w:right w:val="single" w:color="auto" w:sz="4" w:space="0"/>
            </w:tcBorders>
            <w:noWrap w:val="0"/>
            <w:vAlign w:val="center"/>
          </w:tcPr>
          <w:p w14:paraId="262A1AA3">
            <w:pPr>
              <w:spacing w:line="240" w:lineRule="auto"/>
              <w:jc w:val="center"/>
              <w:rPr>
                <w:rFonts w:hint="eastAsia" w:ascii="宋体" w:hAnsi="宋体" w:cs="宋体"/>
                <w:color w:val="auto"/>
                <w:sz w:val="24"/>
                <w:szCs w:val="24"/>
                <w:highlight w:val="none"/>
              </w:rPr>
            </w:pPr>
          </w:p>
        </w:tc>
        <w:tc>
          <w:tcPr>
            <w:tcW w:w="1552" w:type="dxa"/>
            <w:tcBorders>
              <w:top w:val="single" w:color="auto" w:sz="4" w:space="0"/>
              <w:left w:val="single" w:color="auto" w:sz="4" w:space="0"/>
              <w:bottom w:val="single" w:color="auto" w:sz="4" w:space="0"/>
              <w:right w:val="single" w:color="auto" w:sz="4" w:space="0"/>
            </w:tcBorders>
            <w:noWrap w:val="0"/>
            <w:vAlign w:val="center"/>
          </w:tcPr>
          <w:p w14:paraId="2848D138">
            <w:pPr>
              <w:spacing w:line="240" w:lineRule="auto"/>
              <w:jc w:val="center"/>
              <w:rPr>
                <w:rFonts w:hint="eastAsia" w:ascii="宋体" w:hAnsi="宋体" w:cs="宋体"/>
                <w:color w:val="auto"/>
                <w:sz w:val="24"/>
                <w:szCs w:val="24"/>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14:paraId="35DC0F10">
            <w:pPr>
              <w:spacing w:line="240" w:lineRule="auto"/>
              <w:jc w:val="center"/>
              <w:rPr>
                <w:rFonts w:hint="eastAsia" w:ascii="宋体" w:hAnsi="宋体" w:cs="宋体"/>
                <w:color w:val="auto"/>
                <w:sz w:val="24"/>
                <w:szCs w:val="24"/>
                <w:highlight w:val="none"/>
              </w:rPr>
            </w:pPr>
          </w:p>
        </w:tc>
        <w:tc>
          <w:tcPr>
            <w:tcW w:w="892" w:type="dxa"/>
            <w:tcBorders>
              <w:top w:val="single" w:color="auto" w:sz="4" w:space="0"/>
              <w:left w:val="single" w:color="auto" w:sz="4" w:space="0"/>
              <w:bottom w:val="single" w:color="auto" w:sz="4" w:space="0"/>
              <w:right w:val="single" w:color="auto" w:sz="4" w:space="0"/>
            </w:tcBorders>
            <w:noWrap w:val="0"/>
            <w:vAlign w:val="center"/>
          </w:tcPr>
          <w:p w14:paraId="2D1CB00A">
            <w:pPr>
              <w:spacing w:line="240" w:lineRule="auto"/>
              <w:jc w:val="center"/>
              <w:rPr>
                <w:rFonts w:hint="eastAsia" w:ascii="宋体" w:hAnsi="宋体" w:cs="宋体"/>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16F8465C">
            <w:pPr>
              <w:spacing w:line="240" w:lineRule="auto"/>
              <w:jc w:val="center"/>
              <w:rPr>
                <w:rFonts w:hint="eastAsia" w:ascii="宋体" w:hAnsi="宋体" w:cs="宋体"/>
                <w:color w:val="auto"/>
                <w:sz w:val="24"/>
                <w:szCs w:val="24"/>
                <w:highlight w:val="none"/>
              </w:rPr>
            </w:pPr>
          </w:p>
        </w:tc>
        <w:tc>
          <w:tcPr>
            <w:tcW w:w="1040" w:type="dxa"/>
            <w:tcBorders>
              <w:top w:val="single" w:color="auto" w:sz="4" w:space="0"/>
              <w:left w:val="single" w:color="auto" w:sz="4" w:space="0"/>
              <w:bottom w:val="single" w:color="auto" w:sz="4" w:space="0"/>
              <w:right w:val="single" w:color="auto" w:sz="4" w:space="0"/>
            </w:tcBorders>
            <w:noWrap w:val="0"/>
            <w:vAlign w:val="center"/>
          </w:tcPr>
          <w:p w14:paraId="2A1B8E35">
            <w:pPr>
              <w:spacing w:line="240" w:lineRule="auto"/>
              <w:jc w:val="center"/>
              <w:rPr>
                <w:rFonts w:hint="eastAsia" w:ascii="宋体" w:hAnsi="宋体" w:cs="宋体"/>
                <w:color w:val="auto"/>
                <w:sz w:val="24"/>
                <w:szCs w:val="24"/>
                <w:highlight w:val="none"/>
              </w:rPr>
            </w:pPr>
          </w:p>
        </w:tc>
        <w:tc>
          <w:tcPr>
            <w:tcW w:w="1628" w:type="dxa"/>
            <w:tcBorders>
              <w:top w:val="single" w:color="auto" w:sz="4" w:space="0"/>
              <w:left w:val="single" w:color="auto" w:sz="4" w:space="0"/>
              <w:bottom w:val="single" w:color="auto" w:sz="4" w:space="0"/>
            </w:tcBorders>
            <w:noWrap w:val="0"/>
            <w:vAlign w:val="center"/>
          </w:tcPr>
          <w:p w14:paraId="224D5D57">
            <w:pPr>
              <w:spacing w:line="240" w:lineRule="auto"/>
              <w:jc w:val="center"/>
              <w:rPr>
                <w:rFonts w:hint="eastAsia" w:ascii="宋体" w:hAnsi="宋体" w:cs="宋体"/>
                <w:color w:val="auto"/>
                <w:sz w:val="24"/>
                <w:szCs w:val="24"/>
                <w:highlight w:val="none"/>
              </w:rPr>
            </w:pPr>
          </w:p>
        </w:tc>
      </w:tr>
      <w:tr w14:paraId="72E021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dxa"/>
            <w:tcBorders>
              <w:top w:val="single" w:color="auto" w:sz="4" w:space="0"/>
              <w:bottom w:val="single" w:color="auto" w:sz="4" w:space="0"/>
              <w:right w:val="single" w:color="auto" w:sz="4" w:space="0"/>
            </w:tcBorders>
            <w:noWrap w:val="0"/>
            <w:vAlign w:val="center"/>
          </w:tcPr>
          <w:p w14:paraId="2DDB9E8C">
            <w:pPr>
              <w:spacing w:line="240" w:lineRule="auto"/>
              <w:jc w:val="center"/>
              <w:rPr>
                <w:rFonts w:hint="eastAsia" w:ascii="宋体" w:hAnsi="宋体" w:cs="宋体"/>
                <w:color w:val="auto"/>
                <w:sz w:val="24"/>
                <w:szCs w:val="24"/>
                <w:highlight w:val="none"/>
              </w:rPr>
            </w:pPr>
          </w:p>
        </w:tc>
        <w:tc>
          <w:tcPr>
            <w:tcW w:w="1604" w:type="dxa"/>
            <w:tcBorders>
              <w:top w:val="single" w:color="auto" w:sz="4" w:space="0"/>
              <w:left w:val="single" w:color="auto" w:sz="4" w:space="0"/>
              <w:bottom w:val="single" w:color="auto" w:sz="4" w:space="0"/>
              <w:right w:val="single" w:color="auto" w:sz="4" w:space="0"/>
            </w:tcBorders>
            <w:noWrap w:val="0"/>
            <w:vAlign w:val="center"/>
          </w:tcPr>
          <w:p w14:paraId="70F75040">
            <w:pPr>
              <w:spacing w:line="240" w:lineRule="auto"/>
              <w:jc w:val="center"/>
              <w:rPr>
                <w:rFonts w:hint="eastAsia" w:ascii="宋体" w:hAnsi="宋体" w:cs="宋体"/>
                <w:color w:val="auto"/>
                <w:sz w:val="24"/>
                <w:szCs w:val="24"/>
                <w:highlight w:val="none"/>
              </w:rPr>
            </w:pPr>
          </w:p>
        </w:tc>
        <w:tc>
          <w:tcPr>
            <w:tcW w:w="1552" w:type="dxa"/>
            <w:tcBorders>
              <w:top w:val="single" w:color="auto" w:sz="4" w:space="0"/>
              <w:left w:val="single" w:color="auto" w:sz="4" w:space="0"/>
              <w:bottom w:val="single" w:color="auto" w:sz="4" w:space="0"/>
              <w:right w:val="single" w:color="auto" w:sz="4" w:space="0"/>
            </w:tcBorders>
            <w:noWrap w:val="0"/>
            <w:vAlign w:val="center"/>
          </w:tcPr>
          <w:p w14:paraId="51137923">
            <w:pPr>
              <w:spacing w:line="240" w:lineRule="auto"/>
              <w:jc w:val="center"/>
              <w:rPr>
                <w:rFonts w:hint="eastAsia" w:ascii="宋体" w:hAnsi="宋体" w:cs="宋体"/>
                <w:color w:val="auto"/>
                <w:sz w:val="24"/>
                <w:szCs w:val="24"/>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14:paraId="0A575681">
            <w:pPr>
              <w:spacing w:line="240" w:lineRule="auto"/>
              <w:jc w:val="center"/>
              <w:rPr>
                <w:rFonts w:hint="eastAsia" w:ascii="宋体" w:hAnsi="宋体" w:cs="宋体"/>
                <w:color w:val="auto"/>
                <w:sz w:val="24"/>
                <w:szCs w:val="24"/>
                <w:highlight w:val="none"/>
              </w:rPr>
            </w:pPr>
          </w:p>
        </w:tc>
        <w:tc>
          <w:tcPr>
            <w:tcW w:w="892" w:type="dxa"/>
            <w:tcBorders>
              <w:top w:val="single" w:color="auto" w:sz="4" w:space="0"/>
              <w:left w:val="single" w:color="auto" w:sz="4" w:space="0"/>
              <w:bottom w:val="single" w:color="auto" w:sz="4" w:space="0"/>
              <w:right w:val="single" w:color="auto" w:sz="4" w:space="0"/>
            </w:tcBorders>
            <w:noWrap w:val="0"/>
            <w:vAlign w:val="center"/>
          </w:tcPr>
          <w:p w14:paraId="5F04AC7F">
            <w:pPr>
              <w:spacing w:line="240" w:lineRule="auto"/>
              <w:jc w:val="center"/>
              <w:rPr>
                <w:rFonts w:hint="eastAsia" w:ascii="宋体" w:hAnsi="宋体" w:cs="宋体"/>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8CA981A">
            <w:pPr>
              <w:spacing w:line="240" w:lineRule="auto"/>
              <w:jc w:val="center"/>
              <w:rPr>
                <w:rFonts w:hint="eastAsia" w:ascii="宋体" w:hAnsi="宋体" w:cs="宋体"/>
                <w:color w:val="auto"/>
                <w:sz w:val="24"/>
                <w:szCs w:val="24"/>
                <w:highlight w:val="none"/>
              </w:rPr>
            </w:pPr>
          </w:p>
        </w:tc>
        <w:tc>
          <w:tcPr>
            <w:tcW w:w="1040" w:type="dxa"/>
            <w:tcBorders>
              <w:top w:val="single" w:color="auto" w:sz="4" w:space="0"/>
              <w:left w:val="single" w:color="auto" w:sz="4" w:space="0"/>
              <w:bottom w:val="single" w:color="auto" w:sz="4" w:space="0"/>
              <w:right w:val="single" w:color="auto" w:sz="4" w:space="0"/>
            </w:tcBorders>
            <w:noWrap w:val="0"/>
            <w:vAlign w:val="center"/>
          </w:tcPr>
          <w:p w14:paraId="5FD6DA31">
            <w:pPr>
              <w:spacing w:line="240" w:lineRule="auto"/>
              <w:jc w:val="center"/>
              <w:rPr>
                <w:rFonts w:hint="eastAsia" w:ascii="宋体" w:hAnsi="宋体" w:cs="宋体"/>
                <w:color w:val="auto"/>
                <w:sz w:val="24"/>
                <w:szCs w:val="24"/>
                <w:highlight w:val="none"/>
              </w:rPr>
            </w:pPr>
          </w:p>
        </w:tc>
        <w:tc>
          <w:tcPr>
            <w:tcW w:w="1628" w:type="dxa"/>
            <w:tcBorders>
              <w:top w:val="single" w:color="auto" w:sz="4" w:space="0"/>
              <w:left w:val="single" w:color="auto" w:sz="4" w:space="0"/>
              <w:bottom w:val="single" w:color="auto" w:sz="4" w:space="0"/>
            </w:tcBorders>
            <w:noWrap w:val="0"/>
            <w:vAlign w:val="center"/>
          </w:tcPr>
          <w:p w14:paraId="1EFA2891">
            <w:pPr>
              <w:spacing w:line="240" w:lineRule="auto"/>
              <w:jc w:val="center"/>
              <w:rPr>
                <w:rFonts w:hint="eastAsia" w:ascii="宋体" w:hAnsi="宋体" w:cs="宋体"/>
                <w:color w:val="auto"/>
                <w:sz w:val="24"/>
                <w:szCs w:val="24"/>
                <w:highlight w:val="none"/>
              </w:rPr>
            </w:pPr>
          </w:p>
        </w:tc>
      </w:tr>
      <w:tr w14:paraId="4BC8D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dxa"/>
            <w:tcBorders>
              <w:top w:val="single" w:color="auto" w:sz="4" w:space="0"/>
              <w:bottom w:val="single" w:color="auto" w:sz="4" w:space="0"/>
              <w:right w:val="single" w:color="auto" w:sz="4" w:space="0"/>
            </w:tcBorders>
            <w:noWrap w:val="0"/>
            <w:vAlign w:val="center"/>
          </w:tcPr>
          <w:p w14:paraId="1B2DA839">
            <w:pPr>
              <w:spacing w:line="240" w:lineRule="auto"/>
              <w:jc w:val="center"/>
              <w:rPr>
                <w:rFonts w:hint="eastAsia" w:ascii="宋体" w:hAnsi="宋体" w:cs="宋体"/>
                <w:color w:val="auto"/>
                <w:sz w:val="24"/>
                <w:szCs w:val="24"/>
                <w:highlight w:val="none"/>
              </w:rPr>
            </w:pPr>
          </w:p>
        </w:tc>
        <w:tc>
          <w:tcPr>
            <w:tcW w:w="1604" w:type="dxa"/>
            <w:tcBorders>
              <w:top w:val="single" w:color="auto" w:sz="4" w:space="0"/>
              <w:left w:val="single" w:color="auto" w:sz="4" w:space="0"/>
              <w:bottom w:val="single" w:color="auto" w:sz="4" w:space="0"/>
              <w:right w:val="single" w:color="auto" w:sz="4" w:space="0"/>
            </w:tcBorders>
            <w:noWrap w:val="0"/>
            <w:vAlign w:val="center"/>
          </w:tcPr>
          <w:p w14:paraId="2807C4AC">
            <w:pPr>
              <w:spacing w:line="240" w:lineRule="auto"/>
              <w:jc w:val="center"/>
              <w:rPr>
                <w:rFonts w:hint="eastAsia" w:ascii="宋体" w:hAnsi="宋体" w:cs="宋体"/>
                <w:color w:val="auto"/>
                <w:sz w:val="24"/>
                <w:szCs w:val="24"/>
                <w:highlight w:val="none"/>
              </w:rPr>
            </w:pPr>
          </w:p>
        </w:tc>
        <w:tc>
          <w:tcPr>
            <w:tcW w:w="1552" w:type="dxa"/>
            <w:tcBorders>
              <w:top w:val="single" w:color="auto" w:sz="4" w:space="0"/>
              <w:left w:val="single" w:color="auto" w:sz="4" w:space="0"/>
              <w:bottom w:val="single" w:color="auto" w:sz="4" w:space="0"/>
              <w:right w:val="single" w:color="auto" w:sz="4" w:space="0"/>
            </w:tcBorders>
            <w:noWrap w:val="0"/>
            <w:vAlign w:val="center"/>
          </w:tcPr>
          <w:p w14:paraId="648DF9D3">
            <w:pPr>
              <w:spacing w:line="240" w:lineRule="auto"/>
              <w:jc w:val="center"/>
              <w:rPr>
                <w:rFonts w:hint="eastAsia" w:ascii="宋体" w:hAnsi="宋体" w:cs="宋体"/>
                <w:color w:val="auto"/>
                <w:sz w:val="24"/>
                <w:szCs w:val="24"/>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14:paraId="39207B62">
            <w:pPr>
              <w:spacing w:line="240" w:lineRule="auto"/>
              <w:jc w:val="center"/>
              <w:rPr>
                <w:rFonts w:hint="eastAsia" w:ascii="宋体" w:hAnsi="宋体" w:cs="宋体"/>
                <w:color w:val="auto"/>
                <w:sz w:val="24"/>
                <w:szCs w:val="24"/>
                <w:highlight w:val="none"/>
              </w:rPr>
            </w:pPr>
          </w:p>
        </w:tc>
        <w:tc>
          <w:tcPr>
            <w:tcW w:w="892" w:type="dxa"/>
            <w:tcBorders>
              <w:top w:val="single" w:color="auto" w:sz="4" w:space="0"/>
              <w:left w:val="single" w:color="auto" w:sz="4" w:space="0"/>
              <w:bottom w:val="single" w:color="auto" w:sz="4" w:space="0"/>
              <w:right w:val="single" w:color="auto" w:sz="4" w:space="0"/>
            </w:tcBorders>
            <w:noWrap w:val="0"/>
            <w:vAlign w:val="center"/>
          </w:tcPr>
          <w:p w14:paraId="261FA977">
            <w:pPr>
              <w:spacing w:line="240" w:lineRule="auto"/>
              <w:jc w:val="center"/>
              <w:rPr>
                <w:rFonts w:hint="eastAsia" w:ascii="宋体" w:hAnsi="宋体" w:cs="宋体"/>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C3DA898">
            <w:pPr>
              <w:spacing w:line="240" w:lineRule="auto"/>
              <w:jc w:val="center"/>
              <w:rPr>
                <w:rFonts w:hint="eastAsia" w:ascii="宋体" w:hAnsi="宋体" w:cs="宋体"/>
                <w:color w:val="auto"/>
                <w:sz w:val="24"/>
                <w:szCs w:val="24"/>
                <w:highlight w:val="none"/>
              </w:rPr>
            </w:pPr>
          </w:p>
        </w:tc>
        <w:tc>
          <w:tcPr>
            <w:tcW w:w="1040" w:type="dxa"/>
            <w:tcBorders>
              <w:top w:val="single" w:color="auto" w:sz="4" w:space="0"/>
              <w:left w:val="single" w:color="auto" w:sz="4" w:space="0"/>
              <w:bottom w:val="single" w:color="auto" w:sz="4" w:space="0"/>
              <w:right w:val="single" w:color="auto" w:sz="4" w:space="0"/>
            </w:tcBorders>
            <w:noWrap w:val="0"/>
            <w:vAlign w:val="center"/>
          </w:tcPr>
          <w:p w14:paraId="6D031111">
            <w:pPr>
              <w:spacing w:line="240" w:lineRule="auto"/>
              <w:jc w:val="center"/>
              <w:rPr>
                <w:rFonts w:hint="eastAsia" w:ascii="宋体" w:hAnsi="宋体" w:cs="宋体"/>
                <w:color w:val="auto"/>
                <w:sz w:val="24"/>
                <w:szCs w:val="24"/>
                <w:highlight w:val="none"/>
              </w:rPr>
            </w:pPr>
          </w:p>
        </w:tc>
        <w:tc>
          <w:tcPr>
            <w:tcW w:w="1628" w:type="dxa"/>
            <w:tcBorders>
              <w:top w:val="single" w:color="auto" w:sz="4" w:space="0"/>
              <w:left w:val="single" w:color="auto" w:sz="4" w:space="0"/>
              <w:bottom w:val="single" w:color="auto" w:sz="4" w:space="0"/>
            </w:tcBorders>
            <w:noWrap w:val="0"/>
            <w:vAlign w:val="center"/>
          </w:tcPr>
          <w:p w14:paraId="7D01FB6A">
            <w:pPr>
              <w:spacing w:line="240" w:lineRule="auto"/>
              <w:jc w:val="center"/>
              <w:rPr>
                <w:rFonts w:hint="eastAsia" w:ascii="宋体" w:hAnsi="宋体" w:cs="宋体"/>
                <w:color w:val="auto"/>
                <w:sz w:val="24"/>
                <w:szCs w:val="24"/>
                <w:highlight w:val="none"/>
              </w:rPr>
            </w:pPr>
          </w:p>
        </w:tc>
      </w:tr>
      <w:tr w14:paraId="280C3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dxa"/>
            <w:tcBorders>
              <w:top w:val="single" w:color="auto" w:sz="4" w:space="0"/>
              <w:bottom w:val="single" w:color="auto" w:sz="4" w:space="0"/>
              <w:right w:val="single" w:color="auto" w:sz="4" w:space="0"/>
            </w:tcBorders>
            <w:noWrap w:val="0"/>
            <w:vAlign w:val="center"/>
          </w:tcPr>
          <w:p w14:paraId="5F09308E">
            <w:pPr>
              <w:spacing w:line="240" w:lineRule="auto"/>
              <w:jc w:val="center"/>
              <w:rPr>
                <w:rFonts w:hint="eastAsia" w:ascii="宋体" w:hAnsi="宋体" w:cs="宋体"/>
                <w:color w:val="auto"/>
                <w:sz w:val="24"/>
                <w:szCs w:val="24"/>
                <w:highlight w:val="none"/>
              </w:rPr>
            </w:pPr>
          </w:p>
        </w:tc>
        <w:tc>
          <w:tcPr>
            <w:tcW w:w="1604" w:type="dxa"/>
            <w:tcBorders>
              <w:top w:val="single" w:color="auto" w:sz="4" w:space="0"/>
              <w:left w:val="single" w:color="auto" w:sz="4" w:space="0"/>
              <w:bottom w:val="single" w:color="auto" w:sz="4" w:space="0"/>
              <w:right w:val="single" w:color="auto" w:sz="4" w:space="0"/>
            </w:tcBorders>
            <w:noWrap w:val="0"/>
            <w:vAlign w:val="center"/>
          </w:tcPr>
          <w:p w14:paraId="4017D2C4">
            <w:pPr>
              <w:spacing w:line="240" w:lineRule="auto"/>
              <w:jc w:val="center"/>
              <w:rPr>
                <w:rFonts w:hint="eastAsia" w:ascii="宋体" w:hAnsi="宋体" w:cs="宋体"/>
                <w:color w:val="auto"/>
                <w:sz w:val="24"/>
                <w:szCs w:val="24"/>
                <w:highlight w:val="none"/>
              </w:rPr>
            </w:pPr>
          </w:p>
        </w:tc>
        <w:tc>
          <w:tcPr>
            <w:tcW w:w="1552" w:type="dxa"/>
            <w:tcBorders>
              <w:top w:val="single" w:color="auto" w:sz="4" w:space="0"/>
              <w:left w:val="single" w:color="auto" w:sz="4" w:space="0"/>
              <w:bottom w:val="single" w:color="auto" w:sz="4" w:space="0"/>
              <w:right w:val="single" w:color="auto" w:sz="4" w:space="0"/>
            </w:tcBorders>
            <w:noWrap w:val="0"/>
            <w:vAlign w:val="center"/>
          </w:tcPr>
          <w:p w14:paraId="748A99CA">
            <w:pPr>
              <w:spacing w:line="240" w:lineRule="auto"/>
              <w:jc w:val="center"/>
              <w:rPr>
                <w:rFonts w:hint="eastAsia" w:ascii="宋体" w:hAnsi="宋体" w:cs="宋体"/>
                <w:color w:val="auto"/>
                <w:sz w:val="24"/>
                <w:szCs w:val="24"/>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14:paraId="04704AEB">
            <w:pPr>
              <w:spacing w:line="240" w:lineRule="auto"/>
              <w:jc w:val="center"/>
              <w:rPr>
                <w:rFonts w:hint="eastAsia" w:ascii="宋体" w:hAnsi="宋体" w:cs="宋体"/>
                <w:color w:val="auto"/>
                <w:sz w:val="24"/>
                <w:szCs w:val="24"/>
                <w:highlight w:val="none"/>
              </w:rPr>
            </w:pPr>
          </w:p>
        </w:tc>
        <w:tc>
          <w:tcPr>
            <w:tcW w:w="892" w:type="dxa"/>
            <w:tcBorders>
              <w:top w:val="single" w:color="auto" w:sz="4" w:space="0"/>
              <w:left w:val="single" w:color="auto" w:sz="4" w:space="0"/>
              <w:bottom w:val="single" w:color="auto" w:sz="4" w:space="0"/>
              <w:right w:val="single" w:color="auto" w:sz="4" w:space="0"/>
            </w:tcBorders>
            <w:noWrap w:val="0"/>
            <w:vAlign w:val="center"/>
          </w:tcPr>
          <w:p w14:paraId="05FAC605">
            <w:pPr>
              <w:spacing w:line="240" w:lineRule="auto"/>
              <w:jc w:val="center"/>
              <w:rPr>
                <w:rFonts w:hint="eastAsia" w:ascii="宋体" w:hAnsi="宋体" w:cs="宋体"/>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602BFB46">
            <w:pPr>
              <w:spacing w:line="240" w:lineRule="auto"/>
              <w:jc w:val="center"/>
              <w:rPr>
                <w:rFonts w:hint="eastAsia" w:ascii="宋体" w:hAnsi="宋体" w:cs="宋体"/>
                <w:color w:val="auto"/>
                <w:sz w:val="24"/>
                <w:szCs w:val="24"/>
                <w:highlight w:val="none"/>
              </w:rPr>
            </w:pPr>
          </w:p>
        </w:tc>
        <w:tc>
          <w:tcPr>
            <w:tcW w:w="1040" w:type="dxa"/>
            <w:tcBorders>
              <w:top w:val="single" w:color="auto" w:sz="4" w:space="0"/>
              <w:left w:val="single" w:color="auto" w:sz="4" w:space="0"/>
              <w:bottom w:val="single" w:color="auto" w:sz="4" w:space="0"/>
              <w:right w:val="single" w:color="auto" w:sz="4" w:space="0"/>
            </w:tcBorders>
            <w:noWrap w:val="0"/>
            <w:vAlign w:val="center"/>
          </w:tcPr>
          <w:p w14:paraId="135EC743">
            <w:pPr>
              <w:spacing w:line="240" w:lineRule="auto"/>
              <w:jc w:val="center"/>
              <w:rPr>
                <w:rFonts w:hint="eastAsia" w:ascii="宋体" w:hAnsi="宋体" w:cs="宋体"/>
                <w:color w:val="auto"/>
                <w:sz w:val="24"/>
                <w:szCs w:val="24"/>
                <w:highlight w:val="none"/>
              </w:rPr>
            </w:pPr>
          </w:p>
        </w:tc>
        <w:tc>
          <w:tcPr>
            <w:tcW w:w="1628" w:type="dxa"/>
            <w:tcBorders>
              <w:top w:val="single" w:color="auto" w:sz="4" w:space="0"/>
              <w:left w:val="single" w:color="auto" w:sz="4" w:space="0"/>
              <w:bottom w:val="single" w:color="auto" w:sz="4" w:space="0"/>
            </w:tcBorders>
            <w:noWrap w:val="0"/>
            <w:vAlign w:val="center"/>
          </w:tcPr>
          <w:p w14:paraId="6DFB60D9">
            <w:pPr>
              <w:spacing w:line="240" w:lineRule="auto"/>
              <w:jc w:val="center"/>
              <w:rPr>
                <w:rFonts w:hint="eastAsia" w:ascii="宋体" w:hAnsi="宋体" w:cs="宋体"/>
                <w:color w:val="auto"/>
                <w:sz w:val="24"/>
                <w:szCs w:val="24"/>
                <w:highlight w:val="none"/>
              </w:rPr>
            </w:pPr>
          </w:p>
        </w:tc>
      </w:tr>
      <w:tr w14:paraId="5C6313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dxa"/>
            <w:tcBorders>
              <w:top w:val="single" w:color="auto" w:sz="4" w:space="0"/>
              <w:bottom w:val="single" w:color="auto" w:sz="4" w:space="0"/>
              <w:right w:val="single" w:color="auto" w:sz="4" w:space="0"/>
            </w:tcBorders>
            <w:noWrap w:val="0"/>
            <w:vAlign w:val="center"/>
          </w:tcPr>
          <w:p w14:paraId="04B3AD37">
            <w:pPr>
              <w:spacing w:line="240" w:lineRule="auto"/>
              <w:jc w:val="center"/>
              <w:rPr>
                <w:rFonts w:hint="eastAsia" w:ascii="宋体" w:hAnsi="宋体" w:eastAsia="宋体" w:cs="宋体"/>
                <w:color w:val="auto"/>
                <w:sz w:val="24"/>
                <w:szCs w:val="24"/>
                <w:highlight w:val="none"/>
              </w:rPr>
            </w:pPr>
          </w:p>
        </w:tc>
        <w:tc>
          <w:tcPr>
            <w:tcW w:w="1604" w:type="dxa"/>
            <w:tcBorders>
              <w:top w:val="single" w:color="auto" w:sz="4" w:space="0"/>
              <w:left w:val="single" w:color="auto" w:sz="4" w:space="0"/>
              <w:bottom w:val="single" w:color="auto" w:sz="4" w:space="0"/>
              <w:right w:val="single" w:color="auto" w:sz="4" w:space="0"/>
            </w:tcBorders>
            <w:noWrap w:val="0"/>
            <w:vAlign w:val="center"/>
          </w:tcPr>
          <w:p w14:paraId="4F3FE566">
            <w:pPr>
              <w:spacing w:line="240" w:lineRule="auto"/>
              <w:jc w:val="center"/>
              <w:rPr>
                <w:rFonts w:hint="eastAsia" w:ascii="宋体" w:hAnsi="宋体" w:eastAsia="宋体" w:cs="宋体"/>
                <w:color w:val="auto"/>
                <w:sz w:val="24"/>
                <w:szCs w:val="24"/>
                <w:highlight w:val="none"/>
              </w:rPr>
            </w:pPr>
          </w:p>
        </w:tc>
        <w:tc>
          <w:tcPr>
            <w:tcW w:w="1552" w:type="dxa"/>
            <w:tcBorders>
              <w:top w:val="single" w:color="auto" w:sz="4" w:space="0"/>
              <w:left w:val="single" w:color="auto" w:sz="4" w:space="0"/>
              <w:bottom w:val="single" w:color="auto" w:sz="4" w:space="0"/>
              <w:right w:val="single" w:color="auto" w:sz="4" w:space="0"/>
            </w:tcBorders>
            <w:noWrap w:val="0"/>
            <w:vAlign w:val="center"/>
          </w:tcPr>
          <w:p w14:paraId="1B0F6074">
            <w:pPr>
              <w:spacing w:line="240" w:lineRule="auto"/>
              <w:jc w:val="center"/>
              <w:rPr>
                <w:rFonts w:hint="eastAsia" w:ascii="宋体" w:hAnsi="宋体" w:eastAsia="宋体" w:cs="宋体"/>
                <w:color w:val="auto"/>
                <w:sz w:val="24"/>
                <w:szCs w:val="24"/>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14:paraId="3BCD6589">
            <w:pPr>
              <w:spacing w:line="240" w:lineRule="auto"/>
              <w:jc w:val="center"/>
              <w:rPr>
                <w:rFonts w:hint="eastAsia" w:ascii="宋体" w:hAnsi="宋体" w:eastAsia="宋体" w:cs="宋体"/>
                <w:color w:val="auto"/>
                <w:sz w:val="24"/>
                <w:szCs w:val="24"/>
                <w:highlight w:val="none"/>
              </w:rPr>
            </w:pPr>
          </w:p>
        </w:tc>
        <w:tc>
          <w:tcPr>
            <w:tcW w:w="892" w:type="dxa"/>
            <w:tcBorders>
              <w:top w:val="single" w:color="auto" w:sz="4" w:space="0"/>
              <w:left w:val="single" w:color="auto" w:sz="4" w:space="0"/>
              <w:bottom w:val="single" w:color="auto" w:sz="4" w:space="0"/>
              <w:right w:val="single" w:color="auto" w:sz="4" w:space="0"/>
            </w:tcBorders>
            <w:noWrap w:val="0"/>
            <w:vAlign w:val="center"/>
          </w:tcPr>
          <w:p w14:paraId="67AAE15E">
            <w:pPr>
              <w:spacing w:line="240" w:lineRule="auto"/>
              <w:jc w:val="center"/>
              <w:rPr>
                <w:rFonts w:hint="eastAsia" w:ascii="宋体" w:hAnsi="宋体" w:eastAsia="宋体" w:cs="宋体"/>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19363B2">
            <w:pPr>
              <w:spacing w:line="240" w:lineRule="auto"/>
              <w:jc w:val="center"/>
              <w:rPr>
                <w:rFonts w:hint="eastAsia" w:ascii="宋体" w:hAnsi="宋体" w:eastAsia="宋体" w:cs="宋体"/>
                <w:color w:val="auto"/>
                <w:sz w:val="24"/>
                <w:szCs w:val="24"/>
                <w:highlight w:val="none"/>
              </w:rPr>
            </w:pPr>
          </w:p>
        </w:tc>
        <w:tc>
          <w:tcPr>
            <w:tcW w:w="1040" w:type="dxa"/>
            <w:tcBorders>
              <w:top w:val="single" w:color="auto" w:sz="4" w:space="0"/>
              <w:left w:val="single" w:color="auto" w:sz="4" w:space="0"/>
              <w:bottom w:val="single" w:color="auto" w:sz="4" w:space="0"/>
            </w:tcBorders>
            <w:noWrap w:val="0"/>
            <w:vAlign w:val="center"/>
          </w:tcPr>
          <w:p w14:paraId="72A01689">
            <w:pPr>
              <w:spacing w:line="240" w:lineRule="auto"/>
              <w:jc w:val="center"/>
              <w:rPr>
                <w:rFonts w:hint="eastAsia" w:ascii="宋体" w:hAnsi="宋体" w:eastAsia="宋体" w:cs="宋体"/>
                <w:color w:val="auto"/>
                <w:sz w:val="24"/>
                <w:szCs w:val="24"/>
                <w:highlight w:val="none"/>
              </w:rPr>
            </w:pPr>
          </w:p>
        </w:tc>
        <w:tc>
          <w:tcPr>
            <w:tcW w:w="1628" w:type="dxa"/>
            <w:tcBorders>
              <w:top w:val="single" w:color="auto" w:sz="4" w:space="0"/>
              <w:left w:val="single" w:color="auto" w:sz="4" w:space="0"/>
              <w:bottom w:val="single" w:color="auto" w:sz="4" w:space="0"/>
            </w:tcBorders>
            <w:noWrap w:val="0"/>
            <w:vAlign w:val="center"/>
          </w:tcPr>
          <w:p w14:paraId="7C4E85CE">
            <w:pPr>
              <w:spacing w:line="240" w:lineRule="auto"/>
              <w:jc w:val="center"/>
              <w:rPr>
                <w:rFonts w:hint="eastAsia" w:ascii="宋体" w:hAnsi="宋体" w:eastAsia="宋体" w:cs="宋体"/>
                <w:color w:val="auto"/>
                <w:sz w:val="24"/>
                <w:szCs w:val="24"/>
                <w:highlight w:val="none"/>
              </w:rPr>
            </w:pPr>
          </w:p>
        </w:tc>
      </w:tr>
      <w:tr w14:paraId="7D3155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64" w:type="dxa"/>
            <w:tcBorders>
              <w:top w:val="single" w:color="auto" w:sz="4" w:space="0"/>
              <w:bottom w:val="single" w:color="auto" w:sz="4" w:space="0"/>
              <w:right w:val="single" w:color="auto" w:sz="4" w:space="0"/>
            </w:tcBorders>
            <w:noWrap w:val="0"/>
            <w:vAlign w:val="center"/>
          </w:tcPr>
          <w:p w14:paraId="6B8E2BC0">
            <w:pPr>
              <w:spacing w:line="240" w:lineRule="auto"/>
              <w:jc w:val="center"/>
              <w:rPr>
                <w:rFonts w:hint="eastAsia" w:ascii="宋体" w:hAnsi="宋体" w:eastAsia="宋体" w:cs="宋体"/>
                <w:color w:val="auto"/>
                <w:sz w:val="24"/>
                <w:szCs w:val="24"/>
                <w:highlight w:val="none"/>
              </w:rPr>
            </w:pPr>
          </w:p>
        </w:tc>
        <w:tc>
          <w:tcPr>
            <w:tcW w:w="1604" w:type="dxa"/>
            <w:tcBorders>
              <w:top w:val="single" w:color="auto" w:sz="4" w:space="0"/>
              <w:left w:val="single" w:color="auto" w:sz="4" w:space="0"/>
              <w:bottom w:val="single" w:color="auto" w:sz="4" w:space="0"/>
              <w:right w:val="single" w:color="auto" w:sz="4" w:space="0"/>
            </w:tcBorders>
            <w:noWrap w:val="0"/>
            <w:vAlign w:val="center"/>
          </w:tcPr>
          <w:p w14:paraId="73477EB9">
            <w:pPr>
              <w:spacing w:line="240" w:lineRule="auto"/>
              <w:jc w:val="center"/>
              <w:rPr>
                <w:rFonts w:hint="eastAsia" w:ascii="宋体" w:hAnsi="宋体" w:eastAsia="宋体" w:cs="宋体"/>
                <w:color w:val="auto"/>
                <w:sz w:val="24"/>
                <w:szCs w:val="24"/>
                <w:highlight w:val="none"/>
              </w:rPr>
            </w:pPr>
          </w:p>
        </w:tc>
        <w:tc>
          <w:tcPr>
            <w:tcW w:w="1552" w:type="dxa"/>
            <w:tcBorders>
              <w:top w:val="single" w:color="auto" w:sz="4" w:space="0"/>
              <w:left w:val="single" w:color="auto" w:sz="4" w:space="0"/>
              <w:bottom w:val="single" w:color="auto" w:sz="4" w:space="0"/>
              <w:right w:val="single" w:color="auto" w:sz="4" w:space="0"/>
            </w:tcBorders>
            <w:noWrap w:val="0"/>
            <w:vAlign w:val="center"/>
          </w:tcPr>
          <w:p w14:paraId="1DB9B739">
            <w:pPr>
              <w:spacing w:line="240" w:lineRule="auto"/>
              <w:jc w:val="center"/>
              <w:rPr>
                <w:rFonts w:hint="eastAsia" w:ascii="宋体" w:hAnsi="宋体" w:eastAsia="宋体" w:cs="宋体"/>
                <w:color w:val="auto"/>
                <w:sz w:val="24"/>
                <w:szCs w:val="24"/>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14:paraId="36DB43F8">
            <w:pPr>
              <w:spacing w:line="240" w:lineRule="auto"/>
              <w:jc w:val="center"/>
              <w:rPr>
                <w:rFonts w:hint="eastAsia" w:ascii="宋体" w:hAnsi="宋体" w:eastAsia="宋体" w:cs="宋体"/>
                <w:color w:val="auto"/>
                <w:sz w:val="24"/>
                <w:szCs w:val="24"/>
                <w:highlight w:val="none"/>
              </w:rPr>
            </w:pPr>
          </w:p>
        </w:tc>
        <w:tc>
          <w:tcPr>
            <w:tcW w:w="892" w:type="dxa"/>
            <w:tcBorders>
              <w:top w:val="single" w:color="auto" w:sz="4" w:space="0"/>
              <w:left w:val="single" w:color="auto" w:sz="4" w:space="0"/>
              <w:bottom w:val="single" w:color="auto" w:sz="4" w:space="0"/>
              <w:right w:val="single" w:color="auto" w:sz="4" w:space="0"/>
            </w:tcBorders>
            <w:noWrap w:val="0"/>
            <w:vAlign w:val="center"/>
          </w:tcPr>
          <w:p w14:paraId="5D5357A0">
            <w:pPr>
              <w:spacing w:line="240" w:lineRule="auto"/>
              <w:jc w:val="center"/>
              <w:rPr>
                <w:rFonts w:hint="eastAsia" w:ascii="宋体" w:hAnsi="宋体" w:eastAsia="宋体" w:cs="宋体"/>
                <w:color w:val="auto"/>
                <w:sz w:val="24"/>
                <w:szCs w:val="24"/>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2A2002D9">
            <w:pPr>
              <w:spacing w:line="240" w:lineRule="auto"/>
              <w:jc w:val="center"/>
              <w:rPr>
                <w:rFonts w:hint="eastAsia" w:ascii="宋体" w:hAnsi="宋体" w:eastAsia="宋体" w:cs="宋体"/>
                <w:color w:val="auto"/>
                <w:sz w:val="24"/>
                <w:szCs w:val="24"/>
                <w:highlight w:val="none"/>
              </w:rPr>
            </w:pPr>
          </w:p>
        </w:tc>
        <w:tc>
          <w:tcPr>
            <w:tcW w:w="1040" w:type="dxa"/>
            <w:tcBorders>
              <w:top w:val="single" w:color="auto" w:sz="4" w:space="0"/>
              <w:left w:val="single" w:color="auto" w:sz="4" w:space="0"/>
              <w:bottom w:val="single" w:color="auto" w:sz="4" w:space="0"/>
            </w:tcBorders>
            <w:noWrap w:val="0"/>
            <w:vAlign w:val="center"/>
          </w:tcPr>
          <w:p w14:paraId="1ADCFD98">
            <w:pPr>
              <w:spacing w:line="240" w:lineRule="auto"/>
              <w:jc w:val="center"/>
              <w:rPr>
                <w:rFonts w:hint="eastAsia" w:ascii="宋体" w:hAnsi="宋体" w:eastAsia="宋体" w:cs="宋体"/>
                <w:color w:val="auto"/>
                <w:sz w:val="24"/>
                <w:szCs w:val="24"/>
                <w:highlight w:val="none"/>
              </w:rPr>
            </w:pPr>
          </w:p>
        </w:tc>
        <w:tc>
          <w:tcPr>
            <w:tcW w:w="1628" w:type="dxa"/>
            <w:tcBorders>
              <w:top w:val="single" w:color="auto" w:sz="4" w:space="0"/>
              <w:left w:val="single" w:color="auto" w:sz="4" w:space="0"/>
              <w:bottom w:val="single" w:color="auto" w:sz="4" w:space="0"/>
            </w:tcBorders>
            <w:noWrap w:val="0"/>
            <w:vAlign w:val="center"/>
          </w:tcPr>
          <w:p w14:paraId="22351301">
            <w:pPr>
              <w:spacing w:line="240" w:lineRule="auto"/>
              <w:jc w:val="center"/>
              <w:rPr>
                <w:rFonts w:hint="eastAsia" w:ascii="宋体" w:hAnsi="宋体" w:eastAsia="宋体" w:cs="宋体"/>
                <w:color w:val="auto"/>
                <w:sz w:val="24"/>
                <w:szCs w:val="24"/>
                <w:highlight w:val="none"/>
              </w:rPr>
            </w:pPr>
          </w:p>
        </w:tc>
      </w:tr>
      <w:tr w14:paraId="1322EA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64" w:type="dxa"/>
            <w:tcBorders>
              <w:top w:val="single" w:color="auto" w:sz="4" w:space="0"/>
              <w:bottom w:val="single" w:color="auto" w:sz="12" w:space="0"/>
              <w:right w:val="single" w:color="auto" w:sz="4" w:space="0"/>
            </w:tcBorders>
            <w:noWrap w:val="0"/>
            <w:vAlign w:val="center"/>
          </w:tcPr>
          <w:p w14:paraId="41B1F0CE">
            <w:pPr>
              <w:spacing w:line="240" w:lineRule="auto"/>
              <w:jc w:val="center"/>
              <w:rPr>
                <w:rFonts w:hint="eastAsia" w:ascii="宋体" w:hAnsi="宋体" w:eastAsia="宋体" w:cs="宋体"/>
                <w:color w:val="auto"/>
                <w:sz w:val="24"/>
                <w:szCs w:val="24"/>
                <w:highlight w:val="none"/>
              </w:rPr>
            </w:pPr>
          </w:p>
        </w:tc>
        <w:tc>
          <w:tcPr>
            <w:tcW w:w="1604" w:type="dxa"/>
            <w:tcBorders>
              <w:top w:val="single" w:color="auto" w:sz="4" w:space="0"/>
              <w:left w:val="single" w:color="auto" w:sz="4" w:space="0"/>
              <w:bottom w:val="single" w:color="auto" w:sz="12" w:space="0"/>
              <w:right w:val="single" w:color="auto" w:sz="4" w:space="0"/>
            </w:tcBorders>
            <w:noWrap w:val="0"/>
            <w:vAlign w:val="center"/>
          </w:tcPr>
          <w:p w14:paraId="46365921">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4339" w:type="dxa"/>
            <w:gridSpan w:val="4"/>
            <w:tcBorders>
              <w:top w:val="single" w:color="auto" w:sz="4" w:space="0"/>
              <w:left w:val="single" w:color="auto" w:sz="4" w:space="0"/>
              <w:bottom w:val="single" w:color="auto" w:sz="12" w:space="0"/>
              <w:right w:val="single" w:color="auto" w:sz="4" w:space="0"/>
            </w:tcBorders>
            <w:noWrap w:val="0"/>
            <w:vAlign w:val="center"/>
          </w:tcPr>
          <w:p w14:paraId="0E6670C9">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大写</w:t>
            </w:r>
          </w:p>
        </w:tc>
        <w:tc>
          <w:tcPr>
            <w:tcW w:w="2668" w:type="dxa"/>
            <w:gridSpan w:val="2"/>
            <w:tcBorders>
              <w:top w:val="single" w:color="auto" w:sz="4" w:space="0"/>
              <w:left w:val="single" w:color="auto" w:sz="4" w:space="0"/>
              <w:bottom w:val="single" w:color="auto" w:sz="12" w:space="0"/>
            </w:tcBorders>
            <w:noWrap w:val="0"/>
            <w:vAlign w:val="center"/>
          </w:tcPr>
          <w:p w14:paraId="37E3B083">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bl>
    <w:p w14:paraId="0FA91836">
      <w:pPr>
        <w:pStyle w:val="12"/>
        <w:spacing w:line="360" w:lineRule="auto"/>
        <w:ind w:firstLine="424" w:firstLineChars="176"/>
        <w:rPr>
          <w:rFonts w:hint="eastAsia" w:ascii="宋体" w:hAnsi="宋体"/>
          <w:b/>
          <w:color w:val="auto"/>
          <w:szCs w:val="24"/>
          <w:highlight w:val="none"/>
        </w:rPr>
      </w:pPr>
    </w:p>
    <w:p w14:paraId="288738B1">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第二条 合同价款</w:t>
      </w:r>
    </w:p>
    <w:p w14:paraId="4EC797D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1.合同总价：人民币（大写）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元，（￥</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573E0D2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2.本合同总价是货物（产品）设计、材料、制造、包装、运输、安装、调试、检测、验收合格交付使用之前及保修期内保修服务与备用物件等其他有关各项的含税费用。</w:t>
      </w:r>
    </w:p>
    <w:p w14:paraId="507720B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3.本合同总价还包含乙方应当提供的伴随服务和售后服务费用。</w:t>
      </w:r>
    </w:p>
    <w:p w14:paraId="228C16F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4.本合同执行期间合同总价不变，甲方无须另向乙方支付本合同规定之外的其他任何费用。</w:t>
      </w:r>
    </w:p>
    <w:p w14:paraId="494764D1">
      <w:pPr>
        <w:spacing w:line="360" w:lineRule="auto"/>
        <w:ind w:firstLine="480" w:firstLineChars="200"/>
        <w:rPr>
          <w:rFonts w:hint="eastAsia" w:ascii="宋体" w:hAnsi="宋体"/>
          <w:b/>
          <w:color w:val="auto"/>
          <w:szCs w:val="24"/>
          <w:highlight w:val="none"/>
        </w:rPr>
      </w:pPr>
      <w:r>
        <w:rPr>
          <w:rFonts w:hint="eastAsia" w:ascii="宋体" w:hAnsi="宋体" w:eastAsia="宋体" w:cs="宋体"/>
          <w:color w:val="auto"/>
          <w:sz w:val="24"/>
          <w:szCs w:val="24"/>
          <w:highlight w:val="none"/>
          <w:lang w:val="en-US" w:eastAsia="zh-CN"/>
        </w:rPr>
        <w:t>5.结算要求：</w:t>
      </w:r>
      <w:r>
        <w:rPr>
          <w:rFonts w:hint="eastAsia" w:ascii="宋体" w:hAnsi="宋体" w:eastAsia="宋体" w:cs="宋体"/>
          <w:color w:val="auto"/>
          <w:sz w:val="24"/>
          <w:szCs w:val="24"/>
          <w:highlight w:val="none"/>
        </w:rPr>
        <w:t>按项目合同约定的总价包干标准结算，结算时需提供完整的验收资料、发票及相关凭证，经学校审核无误后办理结算手续</w:t>
      </w:r>
      <w:r>
        <w:rPr>
          <w:rFonts w:hint="eastAsia" w:ascii="宋体" w:hAnsi="宋体" w:eastAsia="宋体" w:cs="宋体"/>
          <w:color w:val="auto"/>
          <w:sz w:val="24"/>
          <w:szCs w:val="24"/>
          <w:highlight w:val="none"/>
          <w:lang w:eastAsia="zh-CN"/>
        </w:rPr>
        <w:t>。</w:t>
      </w:r>
    </w:p>
    <w:p w14:paraId="461071E2">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第三条 货款支付</w:t>
      </w:r>
    </w:p>
    <w:p w14:paraId="59BAFAE9">
      <w:pPr>
        <w:pStyle w:val="13"/>
        <w:autoSpaceDE w:val="0"/>
        <w:autoSpaceDN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lang w:eastAsia="zh-CN"/>
        </w:rPr>
        <w:t>1.</w:t>
      </w:r>
      <w:r>
        <w:rPr>
          <w:rFonts w:hint="eastAsia" w:ascii="宋体" w:hAnsi="宋体"/>
          <w:color w:val="auto"/>
          <w:sz w:val="24"/>
          <w:szCs w:val="24"/>
          <w:highlight w:val="none"/>
        </w:rPr>
        <w:t>产品按下列比例</w:t>
      </w:r>
      <w:r>
        <w:rPr>
          <w:rFonts w:hint="eastAsia" w:ascii="宋体" w:hAnsi="宋体"/>
          <w:color w:val="auto"/>
          <w:sz w:val="24"/>
          <w:szCs w:val="24"/>
          <w:highlight w:val="none"/>
          <w:lang w:val="en-US" w:eastAsia="zh-CN"/>
        </w:rPr>
        <w:t>分期</w:t>
      </w:r>
      <w:r>
        <w:rPr>
          <w:rFonts w:hint="eastAsia" w:ascii="宋体" w:hAnsi="宋体"/>
          <w:color w:val="auto"/>
          <w:sz w:val="24"/>
          <w:szCs w:val="24"/>
          <w:highlight w:val="none"/>
        </w:rPr>
        <w:t>支付价款：</w:t>
      </w:r>
    </w:p>
    <w:p w14:paraId="4AAAFBB1">
      <w:pPr>
        <w:pStyle w:val="12"/>
        <w:spacing w:line="360" w:lineRule="auto"/>
        <w:ind w:firstLine="422" w:firstLineChars="176"/>
        <w:rPr>
          <w:rFonts w:hint="eastAsia" w:ascii="宋体" w:hAnsi="宋体" w:eastAsia="宋体" w:cs="宋体"/>
          <w:b w:val="0"/>
          <w:bCs/>
          <w:color w:val="auto"/>
          <w:szCs w:val="24"/>
          <w:highlight w:val="none"/>
          <w:lang w:val="en-US" w:eastAsia="zh-CN"/>
        </w:rPr>
      </w:pPr>
      <w:r>
        <w:rPr>
          <w:rFonts w:hint="eastAsia" w:ascii="宋体" w:hAnsi="宋体" w:eastAsia="宋体" w:cs="宋体"/>
          <w:b w:val="0"/>
          <w:bCs/>
          <w:color w:val="auto"/>
          <w:szCs w:val="24"/>
          <w:highlight w:val="none"/>
          <w:lang w:val="en-US" w:eastAsia="zh-CN"/>
        </w:rPr>
        <w:t xml:space="preserve"> （1）合同签订后，达到付款条件起30日内，支付合同总金额的40.00%；</w:t>
      </w:r>
    </w:p>
    <w:p w14:paraId="302654EE">
      <w:pPr>
        <w:pStyle w:val="12"/>
        <w:spacing w:line="360" w:lineRule="auto"/>
        <w:ind w:firstLine="422" w:firstLineChars="176"/>
        <w:rPr>
          <w:rFonts w:hint="eastAsia" w:ascii="宋体" w:hAnsi="宋体" w:eastAsia="宋体" w:cs="宋体"/>
          <w:b w:val="0"/>
          <w:bCs/>
          <w:color w:val="auto"/>
          <w:szCs w:val="24"/>
          <w:highlight w:val="none"/>
          <w:lang w:val="en-US" w:eastAsia="zh-CN"/>
        </w:rPr>
      </w:pPr>
      <w:r>
        <w:rPr>
          <w:rFonts w:hint="eastAsia" w:ascii="宋体" w:hAnsi="宋体" w:eastAsia="宋体" w:cs="宋体"/>
          <w:b w:val="0"/>
          <w:bCs/>
          <w:color w:val="auto"/>
          <w:szCs w:val="24"/>
          <w:highlight w:val="none"/>
          <w:lang w:val="en-US" w:eastAsia="zh-CN"/>
        </w:rPr>
        <w:t>（2）货物交付验收合格后，乙方连同货款发票、供货合同，货物验收单等相关材料送交甲方，达到付款条件起 30 日内，支付合同总金额的60.00%。</w:t>
      </w:r>
    </w:p>
    <w:p w14:paraId="6823A1CD">
      <w:pPr>
        <w:pStyle w:val="12"/>
        <w:spacing w:line="360" w:lineRule="auto"/>
        <w:ind w:firstLine="422" w:firstLineChars="176"/>
        <w:rPr>
          <w:rFonts w:hint="eastAsia" w:ascii="宋体" w:hAnsi="宋体" w:eastAsia="宋体" w:cs="宋体"/>
          <w:b w:val="0"/>
          <w:bCs/>
          <w:color w:val="auto"/>
          <w:szCs w:val="24"/>
          <w:highlight w:val="none"/>
          <w:lang w:val="en-US" w:eastAsia="zh-CN"/>
        </w:rPr>
      </w:pPr>
      <w:r>
        <w:rPr>
          <w:rFonts w:hint="eastAsia" w:ascii="宋体" w:hAnsi="宋体" w:eastAsia="宋体" w:cs="宋体"/>
          <w:b w:val="0"/>
          <w:bCs/>
          <w:color w:val="auto"/>
          <w:szCs w:val="24"/>
          <w:highlight w:val="none"/>
          <w:lang w:val="en-US" w:eastAsia="zh-CN"/>
        </w:rPr>
        <w:t>（</w:t>
      </w:r>
      <w:r>
        <w:rPr>
          <w:rFonts w:hint="eastAsia" w:ascii="宋体" w:hAnsi="宋体" w:eastAsia="宋体" w:cs="宋体"/>
          <w:b w:val="0"/>
          <w:bCs/>
          <w:color w:val="auto"/>
          <w:szCs w:val="24"/>
          <w:highlight w:val="none"/>
          <w:lang w:val="en-US" w:eastAsia="zh-CN"/>
        </w:rPr>
        <w:t>3）验收节点根据实施情况双方约定。</w:t>
      </w:r>
    </w:p>
    <w:p w14:paraId="55184995">
      <w:pPr>
        <w:pStyle w:val="12"/>
        <w:spacing w:line="360" w:lineRule="auto"/>
        <w:ind w:firstLine="422" w:firstLineChars="176"/>
        <w:rPr>
          <w:rFonts w:hint="eastAsia" w:ascii="宋体" w:hAnsi="宋体"/>
          <w:b w:val="0"/>
          <w:bCs/>
          <w:color w:val="auto"/>
          <w:szCs w:val="24"/>
          <w:highlight w:val="none"/>
        </w:rPr>
      </w:pPr>
      <w:r>
        <w:rPr>
          <w:rFonts w:hint="eastAsia" w:ascii="宋体" w:hAnsi="宋体"/>
          <w:b w:val="0"/>
          <w:bCs/>
          <w:color w:val="auto"/>
          <w:szCs w:val="24"/>
          <w:highlight w:val="none"/>
          <w:lang w:eastAsia="zh-CN"/>
        </w:rPr>
        <w:t>2.</w:t>
      </w:r>
      <w:r>
        <w:rPr>
          <w:rFonts w:hint="eastAsia" w:ascii="宋体" w:hAnsi="宋体"/>
          <w:b w:val="0"/>
          <w:bCs/>
          <w:color w:val="auto"/>
          <w:szCs w:val="24"/>
          <w:highlight w:val="none"/>
        </w:rPr>
        <w:t>乙方须向甲方出具合法有效的完税发票，甲方进行支付结算。</w:t>
      </w:r>
    </w:p>
    <w:p w14:paraId="1B9307CA">
      <w:pPr>
        <w:pStyle w:val="12"/>
        <w:spacing w:line="360" w:lineRule="auto"/>
        <w:ind w:firstLine="422" w:firstLineChars="176"/>
        <w:rPr>
          <w:rFonts w:hint="eastAsia" w:ascii="宋体" w:hAnsi="宋体"/>
          <w:b w:val="0"/>
          <w:bCs/>
          <w:color w:val="auto"/>
          <w:szCs w:val="24"/>
          <w:highlight w:val="none"/>
        </w:rPr>
      </w:pPr>
      <w:r>
        <w:rPr>
          <w:rFonts w:hint="eastAsia" w:ascii="宋体" w:hAnsi="宋体"/>
          <w:b w:val="0"/>
          <w:bCs/>
          <w:color w:val="auto"/>
          <w:szCs w:val="24"/>
          <w:highlight w:val="none"/>
          <w:lang w:eastAsia="zh-CN"/>
        </w:rPr>
        <w:t>3.</w:t>
      </w:r>
      <w:r>
        <w:rPr>
          <w:rFonts w:hint="eastAsia" w:ascii="宋体" w:hAnsi="宋体"/>
          <w:b w:val="0"/>
          <w:bCs/>
          <w:color w:val="auto"/>
          <w:szCs w:val="24"/>
          <w:highlight w:val="none"/>
        </w:rPr>
        <w:t>结算方式：银行转账。</w:t>
      </w:r>
    </w:p>
    <w:p w14:paraId="3C3A613E">
      <w:pPr>
        <w:pStyle w:val="12"/>
        <w:spacing w:line="360" w:lineRule="auto"/>
        <w:ind w:firstLine="422" w:firstLineChars="176"/>
        <w:rPr>
          <w:rFonts w:hint="eastAsia" w:ascii="宋体" w:hAnsi="宋体"/>
          <w:b w:val="0"/>
          <w:bCs/>
          <w:color w:val="auto"/>
          <w:szCs w:val="24"/>
          <w:highlight w:val="none"/>
        </w:rPr>
      </w:pPr>
      <w:r>
        <w:rPr>
          <w:rFonts w:hint="eastAsia" w:ascii="宋体" w:hAnsi="宋体"/>
          <w:b w:val="0"/>
          <w:bCs/>
          <w:color w:val="auto"/>
          <w:szCs w:val="24"/>
          <w:highlight w:val="none"/>
          <w:lang w:eastAsia="zh-CN"/>
        </w:rPr>
        <w:t>4.</w:t>
      </w:r>
      <w:r>
        <w:rPr>
          <w:rFonts w:hint="eastAsia" w:ascii="宋体" w:hAnsi="宋体"/>
          <w:b w:val="0"/>
          <w:bCs/>
          <w:color w:val="auto"/>
          <w:szCs w:val="24"/>
          <w:highlight w:val="none"/>
        </w:rPr>
        <w:t>付款方式可与</w:t>
      </w:r>
      <w:r>
        <w:rPr>
          <w:rFonts w:hint="eastAsia" w:ascii="宋体" w:hAnsi="宋体"/>
          <w:b w:val="0"/>
          <w:bCs/>
          <w:color w:val="auto"/>
          <w:szCs w:val="24"/>
          <w:highlight w:val="none"/>
          <w:lang w:val="en-US" w:eastAsia="zh-CN"/>
        </w:rPr>
        <w:t>招标</w:t>
      </w:r>
      <w:r>
        <w:rPr>
          <w:rFonts w:hint="eastAsia" w:ascii="宋体" w:hAnsi="宋体"/>
          <w:b w:val="0"/>
          <w:bCs/>
          <w:color w:val="auto"/>
          <w:szCs w:val="24"/>
          <w:highlight w:val="none"/>
        </w:rPr>
        <w:t>人在合同签订中具体约定。</w:t>
      </w:r>
    </w:p>
    <w:p w14:paraId="169C7DA0">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第四条 交货时间与地点</w:t>
      </w:r>
    </w:p>
    <w:p w14:paraId="3D224B5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乙方在合同签订生效之日起，按甲方指定时间、地点交货。</w:t>
      </w:r>
    </w:p>
    <w:p w14:paraId="18834CC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.交货时间（期限）：自合同签订之日起</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rPr>
        <w:t>个日历日内完成所有设备的安装、调试等工作，达到交钥匙工程。</w:t>
      </w:r>
    </w:p>
    <w:p w14:paraId="6085379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.交货地点：甲方指定地点</w:t>
      </w:r>
    </w:p>
    <w:p w14:paraId="57FC38B2">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第五条 质量保证</w:t>
      </w:r>
    </w:p>
    <w:p w14:paraId="5C29BE93">
      <w:pPr>
        <w:pStyle w:val="12"/>
        <w:spacing w:line="360" w:lineRule="auto"/>
        <w:ind w:firstLine="600" w:firstLineChars="250"/>
        <w:rPr>
          <w:rFonts w:hint="eastAsia" w:ascii="宋体" w:hAnsi="宋体"/>
          <w:color w:val="auto"/>
          <w:szCs w:val="24"/>
          <w:highlight w:val="none"/>
        </w:rPr>
      </w:pPr>
      <w:r>
        <w:rPr>
          <w:rFonts w:hint="eastAsia" w:ascii="宋体" w:hAnsi="宋体"/>
          <w:color w:val="auto"/>
          <w:szCs w:val="24"/>
          <w:highlight w:val="none"/>
        </w:rPr>
        <w:t>1.乙方须提供全新的、未使用过的合格正品货物（含零部件、配件等），完全符合合同规定的质量、规格和性能的要求。</w:t>
      </w:r>
    </w:p>
    <w:p w14:paraId="3493F5B2">
      <w:pPr>
        <w:pStyle w:val="12"/>
        <w:spacing w:line="360" w:lineRule="auto"/>
        <w:ind w:firstLine="600" w:firstLineChars="250"/>
        <w:rPr>
          <w:rFonts w:hint="eastAsia" w:ascii="宋体" w:hAnsi="宋体"/>
          <w:color w:val="auto"/>
          <w:szCs w:val="24"/>
          <w:highlight w:val="none"/>
        </w:rPr>
      </w:pPr>
      <w:r>
        <w:rPr>
          <w:rFonts w:hint="eastAsia" w:ascii="宋体" w:hAnsi="宋体"/>
          <w:color w:val="auto"/>
          <w:szCs w:val="24"/>
          <w:highlight w:val="none"/>
        </w:rPr>
        <w:t>2.乙方提供的节能和环保产品必须是列入节能、环保标志产品品目清单中的产品。</w:t>
      </w:r>
    </w:p>
    <w:p w14:paraId="02853FAC">
      <w:pPr>
        <w:pStyle w:val="12"/>
        <w:spacing w:line="360" w:lineRule="auto"/>
        <w:ind w:firstLine="600" w:firstLineChars="250"/>
        <w:rPr>
          <w:rFonts w:hint="eastAsia" w:ascii="宋体" w:hAnsi="宋体"/>
          <w:color w:val="auto"/>
          <w:szCs w:val="24"/>
          <w:highlight w:val="none"/>
        </w:rPr>
      </w:pPr>
      <w:r>
        <w:rPr>
          <w:rFonts w:hint="eastAsia" w:ascii="宋体" w:hAnsi="宋体"/>
          <w:color w:val="auto"/>
          <w:szCs w:val="24"/>
          <w:highlight w:val="none"/>
        </w:rPr>
        <w:t>3.质量标准按照最新颁布的国家标准、行业标准或制造商企业标准确定，上述标准不一致的，以严格标准为准。</w:t>
      </w:r>
    </w:p>
    <w:p w14:paraId="69E03858">
      <w:pPr>
        <w:pStyle w:val="12"/>
        <w:spacing w:line="360" w:lineRule="auto"/>
        <w:ind w:firstLine="600" w:firstLineChars="250"/>
        <w:rPr>
          <w:rFonts w:hint="eastAsia" w:ascii="宋体" w:hAnsi="宋体"/>
          <w:color w:val="auto"/>
          <w:szCs w:val="24"/>
          <w:highlight w:val="none"/>
        </w:rPr>
      </w:pPr>
      <w:r>
        <w:rPr>
          <w:rFonts w:hint="eastAsia" w:ascii="宋体" w:hAnsi="宋体"/>
          <w:color w:val="auto"/>
          <w:szCs w:val="24"/>
          <w:highlight w:val="none"/>
        </w:rPr>
        <w:t>4.乙方所提供货物还应符合国家和陕西省有关安全、环保、节能之规定，“3C”认证的货物（产品）应加贴“3C”认证标志。</w:t>
      </w:r>
    </w:p>
    <w:p w14:paraId="16E26B51">
      <w:pPr>
        <w:pStyle w:val="12"/>
        <w:spacing w:line="360" w:lineRule="auto"/>
        <w:ind w:firstLine="600" w:firstLineChars="250"/>
        <w:rPr>
          <w:rFonts w:hint="eastAsia" w:ascii="宋体" w:hAnsi="宋体"/>
          <w:color w:val="auto"/>
          <w:szCs w:val="24"/>
          <w:highlight w:val="none"/>
        </w:rPr>
      </w:pPr>
      <w:r>
        <w:rPr>
          <w:rFonts w:hint="eastAsia" w:ascii="宋体" w:hAnsi="宋体"/>
          <w:color w:val="auto"/>
          <w:szCs w:val="24"/>
          <w:highlight w:val="none"/>
        </w:rPr>
        <w:t>5.货物制造质量出现问题，乙方应负责三包（包修、包换、包退），费用由乙方负担，甲方有权到乙方生产场地检查货物质量和生产进度。</w:t>
      </w:r>
    </w:p>
    <w:p w14:paraId="7285060A">
      <w:pPr>
        <w:pStyle w:val="12"/>
        <w:spacing w:line="360" w:lineRule="auto"/>
        <w:ind w:firstLine="600" w:firstLineChars="250"/>
        <w:rPr>
          <w:rFonts w:hint="eastAsia" w:ascii="宋体" w:hAnsi="宋体"/>
          <w:color w:val="auto"/>
          <w:szCs w:val="24"/>
          <w:highlight w:val="none"/>
        </w:rPr>
      </w:pPr>
      <w:r>
        <w:rPr>
          <w:rFonts w:hint="eastAsia" w:ascii="宋体" w:hAnsi="宋体"/>
          <w:color w:val="auto"/>
          <w:szCs w:val="24"/>
          <w:highlight w:val="none"/>
        </w:rPr>
        <w:t>6. 货物（产品）的质保期具体以中标人的投标文件承诺为准。</w:t>
      </w:r>
    </w:p>
    <w:p w14:paraId="6622F4F6">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第六条 权利保证</w:t>
      </w:r>
    </w:p>
    <w:p w14:paraId="3E9186A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1.乙方保证对其出售的货物享有合法的权利。</w:t>
      </w:r>
    </w:p>
    <w:p w14:paraId="14D783B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2.乙方保证对其出售的货物上不存在任何未曾向甲方透露的担保物权，如抵押权、质押权、留置权。</w:t>
      </w:r>
    </w:p>
    <w:p w14:paraId="0EB4A0B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3.乙方保证对其出售的货物或其任何一部分没有侵犯第三方的专利权、版权、商标权或其他权利。</w:t>
      </w:r>
    </w:p>
    <w:p w14:paraId="4F84B016">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4.如甲方在使用该货物构成上述侵权的，则由乙方承担全部责任。</w:t>
      </w:r>
    </w:p>
    <w:p w14:paraId="50F03D0A">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 xml:space="preserve">第七条 包装要求与运输方式   </w:t>
      </w:r>
    </w:p>
    <w:p w14:paraId="013F94B8">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1.除合同另有规定外，乙方提供的全部货物均应按标准保护措施进行包装，该包装应适应于远距离运输、防潮、防震、防锈和防野蛮装卸，以确保货物安全运抵指定地点。</w:t>
      </w:r>
    </w:p>
    <w:p w14:paraId="41CCEB0F">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2.每一包装单元应附详细的装箱单和质量合格证。</w:t>
      </w:r>
    </w:p>
    <w:p w14:paraId="7FC85E93">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3.货物（产品）运输方式：</w:t>
      </w:r>
      <w:r>
        <w:rPr>
          <w:rFonts w:hint="eastAsia" w:ascii="宋体" w:hAnsi="宋体"/>
          <w:color w:val="auto"/>
          <w:szCs w:val="24"/>
          <w:highlight w:val="none"/>
          <w:u w:val="single"/>
        </w:rPr>
        <w:t xml:space="preserve">       </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695371AE">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4.乙方负责货物（产品）运输，货物运输的合理损耗及计算方法</w:t>
      </w:r>
      <w:r>
        <w:rPr>
          <w:rFonts w:hint="eastAsia" w:ascii="宋体" w:hAnsi="宋体"/>
          <w:color w:val="auto"/>
          <w:szCs w:val="24"/>
          <w:highlight w:val="none"/>
          <w:u w:val="single"/>
        </w:rPr>
        <w:t xml:space="preserve">   </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69D65A9C">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第八条 货物验收</w:t>
      </w:r>
    </w:p>
    <w:p w14:paraId="63A59223">
      <w:pPr>
        <w:pStyle w:val="12"/>
        <w:spacing w:line="360" w:lineRule="auto"/>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1.验收内容包括履约验收主体、方法、程序、内容和验收阶段及验收标准等。</w:t>
      </w:r>
    </w:p>
    <w:p w14:paraId="4389E336">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lang w:val="en-US" w:eastAsia="zh-CN"/>
        </w:rPr>
        <w:t>2</w:t>
      </w:r>
      <w:r>
        <w:rPr>
          <w:rFonts w:hint="eastAsia" w:ascii="宋体" w:hAnsi="宋体"/>
          <w:color w:val="auto"/>
          <w:szCs w:val="24"/>
          <w:highlight w:val="none"/>
        </w:rPr>
        <w:t>.货物验收由甲方组织，乙方配合，并按下列程序进行：</w:t>
      </w:r>
    </w:p>
    <w:p w14:paraId="25196D0D">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1</w:t>
      </w:r>
      <w:r>
        <w:rPr>
          <w:rFonts w:hint="eastAsia" w:ascii="宋体" w:hAnsi="宋体"/>
          <w:color w:val="auto"/>
          <w:szCs w:val="24"/>
          <w:highlight w:val="none"/>
          <w:lang w:eastAsia="zh-CN"/>
        </w:rPr>
        <w:t>）</w:t>
      </w:r>
      <w:r>
        <w:rPr>
          <w:rFonts w:hint="eastAsia" w:ascii="宋体" w:hAnsi="宋体"/>
          <w:color w:val="auto"/>
          <w:szCs w:val="24"/>
          <w:highlight w:val="none"/>
        </w:rPr>
        <w:t>验收分</w:t>
      </w:r>
      <w:r>
        <w:rPr>
          <w:rFonts w:hint="eastAsia" w:ascii="宋体" w:hAnsi="宋体"/>
          <w:color w:val="auto"/>
          <w:szCs w:val="24"/>
          <w:highlight w:val="none"/>
          <w:lang w:val="en-US" w:eastAsia="zh-CN"/>
        </w:rPr>
        <w:t>项目单位初验</w:t>
      </w:r>
      <w:r>
        <w:rPr>
          <w:rFonts w:hint="eastAsia" w:ascii="宋体" w:hAnsi="宋体"/>
          <w:color w:val="auto"/>
          <w:szCs w:val="24"/>
          <w:highlight w:val="none"/>
        </w:rPr>
        <w:t>和学校最终验收两个阶段，以最终验收为准。</w:t>
      </w:r>
    </w:p>
    <w:p w14:paraId="42385EBA">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2</w:t>
      </w:r>
      <w:r>
        <w:rPr>
          <w:rFonts w:hint="eastAsia" w:ascii="宋体" w:hAnsi="宋体"/>
          <w:color w:val="auto"/>
          <w:szCs w:val="24"/>
          <w:highlight w:val="none"/>
          <w:lang w:eastAsia="zh-CN"/>
        </w:rPr>
        <w:t>）</w:t>
      </w:r>
      <w:r>
        <w:rPr>
          <w:rFonts w:hint="eastAsia" w:ascii="宋体" w:hAnsi="宋体"/>
          <w:color w:val="auto"/>
          <w:szCs w:val="24"/>
          <w:highlight w:val="none"/>
        </w:rPr>
        <w:t>货物到货后，甲、乙双方共同开箱验收。在检查货物原产地、型号、规格、配置符合合同要求后，由乙方负责安装调试、甲方</w:t>
      </w:r>
      <w:r>
        <w:rPr>
          <w:rFonts w:hint="eastAsia" w:ascii="宋体" w:hAnsi="宋体"/>
          <w:color w:val="auto"/>
          <w:szCs w:val="24"/>
          <w:highlight w:val="none"/>
          <w:lang w:val="en-US" w:eastAsia="zh-CN"/>
        </w:rPr>
        <w:t>项目</w:t>
      </w:r>
      <w:r>
        <w:rPr>
          <w:rFonts w:hint="eastAsia" w:ascii="宋体" w:hAnsi="宋体"/>
          <w:color w:val="auto"/>
          <w:szCs w:val="24"/>
          <w:highlight w:val="none"/>
        </w:rPr>
        <w:t>单位负责技术指标验收（乙方协助），验收以国内行业标准或</w:t>
      </w:r>
      <w:r>
        <w:rPr>
          <w:rFonts w:hint="eastAsia" w:ascii="宋体" w:hAnsi="宋体"/>
          <w:color w:val="auto"/>
          <w:szCs w:val="24"/>
          <w:highlight w:val="none"/>
          <w:lang w:val="en-US" w:eastAsia="zh-CN"/>
        </w:rPr>
        <w:t>投标文件、</w:t>
      </w:r>
      <w:r>
        <w:rPr>
          <w:rFonts w:hint="eastAsia" w:ascii="宋体" w:hAnsi="宋体"/>
          <w:color w:val="auto"/>
          <w:szCs w:val="24"/>
          <w:highlight w:val="none"/>
        </w:rPr>
        <w:t>合同文本货物供货配置清单中描述的有关技术要求为准。</w:t>
      </w:r>
    </w:p>
    <w:p w14:paraId="02592AA9">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3</w:t>
      </w:r>
      <w:r>
        <w:rPr>
          <w:rFonts w:hint="eastAsia" w:ascii="宋体" w:hAnsi="宋体"/>
          <w:color w:val="auto"/>
          <w:szCs w:val="24"/>
          <w:highlight w:val="none"/>
          <w:lang w:eastAsia="zh-CN"/>
        </w:rPr>
        <w:t>）</w:t>
      </w:r>
      <w:r>
        <w:rPr>
          <w:rFonts w:hint="eastAsia" w:ascii="宋体" w:hAnsi="宋体"/>
          <w:color w:val="auto"/>
          <w:szCs w:val="24"/>
          <w:highlight w:val="none"/>
        </w:rPr>
        <w:t>甲方</w:t>
      </w:r>
      <w:r>
        <w:rPr>
          <w:rFonts w:hint="eastAsia" w:ascii="宋体" w:hAnsi="宋体"/>
          <w:color w:val="auto"/>
          <w:szCs w:val="24"/>
          <w:highlight w:val="none"/>
          <w:lang w:val="en-US" w:eastAsia="zh-CN"/>
        </w:rPr>
        <w:t>项目</w:t>
      </w:r>
      <w:r>
        <w:rPr>
          <w:rFonts w:hint="eastAsia" w:ascii="宋体" w:hAnsi="宋体"/>
          <w:color w:val="auto"/>
          <w:szCs w:val="24"/>
          <w:highlight w:val="none"/>
        </w:rPr>
        <w:t>单位</w:t>
      </w:r>
      <w:r>
        <w:rPr>
          <w:rFonts w:hint="eastAsia" w:ascii="宋体" w:hAnsi="宋体"/>
          <w:color w:val="auto"/>
          <w:szCs w:val="24"/>
          <w:highlight w:val="none"/>
          <w:lang w:val="en-US" w:eastAsia="zh-CN"/>
        </w:rPr>
        <w:t>初验</w:t>
      </w:r>
      <w:r>
        <w:rPr>
          <w:rFonts w:hint="eastAsia" w:ascii="宋体" w:hAnsi="宋体"/>
          <w:color w:val="auto"/>
          <w:szCs w:val="24"/>
          <w:highlight w:val="none"/>
        </w:rPr>
        <w:t>合格后提出</w:t>
      </w:r>
      <w:r>
        <w:rPr>
          <w:rFonts w:hint="eastAsia" w:ascii="宋体" w:hAnsi="宋体"/>
          <w:color w:val="auto"/>
          <w:szCs w:val="24"/>
          <w:highlight w:val="none"/>
          <w:lang w:val="en-US" w:eastAsia="zh-CN"/>
        </w:rPr>
        <w:t>终</w:t>
      </w:r>
      <w:r>
        <w:rPr>
          <w:rFonts w:hint="eastAsia" w:ascii="宋体" w:hAnsi="宋体"/>
          <w:color w:val="auto"/>
          <w:szCs w:val="24"/>
          <w:highlight w:val="none"/>
        </w:rPr>
        <w:t>验申请，学校相关部门根据</w:t>
      </w:r>
      <w:r>
        <w:rPr>
          <w:rFonts w:hint="eastAsia" w:ascii="宋体" w:hAnsi="宋体"/>
          <w:color w:val="auto"/>
          <w:szCs w:val="24"/>
          <w:highlight w:val="none"/>
          <w:lang w:val="en-US" w:eastAsia="zh-CN"/>
        </w:rPr>
        <w:t>项目</w:t>
      </w:r>
      <w:r>
        <w:rPr>
          <w:rFonts w:hint="eastAsia" w:ascii="宋体" w:hAnsi="宋体"/>
          <w:color w:val="auto"/>
          <w:szCs w:val="24"/>
          <w:highlight w:val="none"/>
        </w:rPr>
        <w:t>单位</w:t>
      </w:r>
      <w:r>
        <w:rPr>
          <w:rFonts w:hint="eastAsia" w:ascii="宋体" w:hAnsi="宋体"/>
          <w:color w:val="auto"/>
          <w:szCs w:val="24"/>
          <w:highlight w:val="none"/>
          <w:lang w:val="en-US" w:eastAsia="zh-CN"/>
        </w:rPr>
        <w:t>初验</w:t>
      </w:r>
      <w:r>
        <w:rPr>
          <w:rFonts w:hint="eastAsia" w:ascii="宋体" w:hAnsi="宋体"/>
          <w:color w:val="auto"/>
          <w:szCs w:val="24"/>
          <w:highlight w:val="none"/>
        </w:rPr>
        <w:t>结果，组织有关专家进行最终验收。</w:t>
      </w:r>
    </w:p>
    <w:p w14:paraId="1B69102D">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4</w:t>
      </w:r>
      <w:r>
        <w:rPr>
          <w:rFonts w:hint="eastAsia" w:ascii="宋体" w:hAnsi="宋体"/>
          <w:color w:val="auto"/>
          <w:szCs w:val="24"/>
          <w:highlight w:val="none"/>
        </w:rPr>
        <w:t>）质量验收合格，双方签署质量验收报告。</w:t>
      </w:r>
    </w:p>
    <w:p w14:paraId="799683EE">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2.货物验收依据：</w:t>
      </w:r>
    </w:p>
    <w:p w14:paraId="37AEB449">
      <w:pPr>
        <w:pStyle w:val="4"/>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（1）招标文件；</w:t>
      </w:r>
    </w:p>
    <w:p w14:paraId="78515CD1">
      <w:pPr>
        <w:pStyle w:val="4"/>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（2）投标文件；</w:t>
      </w:r>
    </w:p>
    <w:p w14:paraId="24786FDB">
      <w:pPr>
        <w:pStyle w:val="4"/>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（3）采购合同及补充协议；</w:t>
      </w:r>
    </w:p>
    <w:p w14:paraId="5FF6ED77">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（4）质检部门抽样检查货物（产品）合格的检测报告。</w:t>
      </w:r>
    </w:p>
    <w:p w14:paraId="44E48B27">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3.货物验收时发现问题的处理办法：</w:t>
      </w:r>
    </w:p>
    <w:p w14:paraId="349564EF">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（1）乙方提供不符合招标文件和本合同规定的货物（产品），甲方有权拒绝</w:t>
      </w:r>
      <w:r>
        <w:rPr>
          <w:rFonts w:hint="eastAsia" w:ascii="宋体" w:hAnsi="宋体"/>
          <w:color w:val="auto"/>
          <w:szCs w:val="24"/>
          <w:highlight w:val="none"/>
          <w:lang w:eastAsia="zh-CN"/>
        </w:rPr>
        <w:t>接收</w:t>
      </w:r>
      <w:r>
        <w:rPr>
          <w:rFonts w:hint="eastAsia" w:ascii="宋体" w:hAnsi="宋体"/>
          <w:color w:val="auto"/>
          <w:szCs w:val="24"/>
          <w:highlight w:val="none"/>
        </w:rPr>
        <w:t>；</w:t>
      </w:r>
    </w:p>
    <w:p w14:paraId="10369C96">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（2）如发现所交付的货物有短装、次品、损坏或</w:t>
      </w:r>
      <w:r>
        <w:rPr>
          <w:rFonts w:hint="eastAsia" w:ascii="宋体" w:hAnsi="宋体"/>
          <w:color w:val="auto"/>
          <w:szCs w:val="24"/>
          <w:highlight w:val="none"/>
          <w:lang w:eastAsia="zh-CN"/>
        </w:rPr>
        <w:t>其他不</w:t>
      </w:r>
      <w:r>
        <w:rPr>
          <w:rFonts w:hint="eastAsia" w:ascii="宋体" w:hAnsi="宋体"/>
          <w:color w:val="auto"/>
          <w:szCs w:val="24"/>
          <w:highlight w:val="none"/>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1730A95">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（3）如货物经乙方</w:t>
      </w:r>
      <w:r>
        <w:rPr>
          <w:rFonts w:hint="eastAsia" w:ascii="宋体" w:hAnsi="宋体"/>
          <w:color w:val="auto"/>
          <w:szCs w:val="24"/>
          <w:highlight w:val="none"/>
          <w:u w:val="single"/>
        </w:rPr>
        <w:t xml:space="preserve">   </w:t>
      </w:r>
      <w:r>
        <w:rPr>
          <w:rFonts w:hint="eastAsia" w:ascii="宋体" w:hAnsi="宋体"/>
          <w:color w:val="auto"/>
          <w:szCs w:val="24"/>
          <w:highlight w:val="none"/>
        </w:rPr>
        <w:t>次维修仍不能达到合同约定的质量标准，甲方有权退货，并视作乙方不能交付货物而须支付违约赔偿金给甲方，甲方还可依法追究乙方的违约责任； </w:t>
      </w:r>
    </w:p>
    <w:p w14:paraId="48572180">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（4）货物安装完成后</w:t>
      </w:r>
      <w:r>
        <w:rPr>
          <w:rFonts w:hint="eastAsia" w:ascii="宋体" w:hAnsi="宋体"/>
          <w:color w:val="auto"/>
          <w:szCs w:val="24"/>
          <w:highlight w:val="none"/>
          <w:u w:val="single"/>
        </w:rPr>
        <w:t xml:space="preserve">  </w:t>
      </w:r>
      <w:r>
        <w:rPr>
          <w:rFonts w:hint="eastAsia" w:ascii="宋体" w:hAnsi="宋体"/>
          <w:color w:val="auto"/>
          <w:szCs w:val="24"/>
          <w:highlight w:val="none"/>
        </w:rPr>
        <w:t>日内，甲方无故不进行验收工作并已使用货物的，视同已安装调试完成并验收合格；</w:t>
      </w:r>
    </w:p>
    <w:p w14:paraId="47F8568F">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（5）乙方不能完整交付货物及本条第一款规定的单证和工具的，必须负责补齐，否则视为未按合同约定交货；</w:t>
      </w:r>
    </w:p>
    <w:p w14:paraId="326DF1CC">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（6）超出合理磅差的处理方法：</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706A2904">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第九条 售后服务</w:t>
      </w:r>
    </w:p>
    <w:p w14:paraId="4DFA93A5">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lang w:val="en-US" w:eastAsia="zh-CN"/>
        </w:rPr>
        <w:t>1.</w:t>
      </w:r>
      <w:r>
        <w:rPr>
          <w:rFonts w:hint="eastAsia" w:ascii="宋体" w:hAnsi="宋体"/>
          <w:color w:val="auto"/>
          <w:kern w:val="0"/>
          <w:szCs w:val="24"/>
          <w:highlight w:val="none"/>
        </w:rPr>
        <w:t>乙方应按照国家有关法律法规和“三包”规定以及招标文件要求和投标文件的“服务承诺”提供服务。</w:t>
      </w:r>
    </w:p>
    <w:p w14:paraId="4CEAAE76">
      <w:pPr>
        <w:pStyle w:val="12"/>
        <w:spacing w:line="360" w:lineRule="auto"/>
        <w:ind w:firstLine="480"/>
        <w:rPr>
          <w:rFonts w:hint="eastAsia" w:ascii="宋体" w:hAnsi="宋体" w:eastAsia="宋体" w:cs="宋体"/>
          <w:color w:val="auto"/>
          <w:kern w:val="0"/>
          <w:szCs w:val="24"/>
          <w:highlight w:val="none"/>
          <w:lang w:val="en-US" w:eastAsia="zh-CN"/>
        </w:rPr>
      </w:pPr>
      <w:r>
        <w:rPr>
          <w:rFonts w:hint="eastAsia" w:ascii="宋体" w:hAnsi="宋体" w:eastAsia="宋体" w:cs="宋体"/>
          <w:color w:val="auto"/>
          <w:kern w:val="0"/>
          <w:szCs w:val="24"/>
          <w:highlight w:val="none"/>
          <w:lang w:val="en-US" w:eastAsia="zh-CN"/>
        </w:rPr>
        <w:t xml:space="preserve">2.在质量保证期内免费提供设备维修、系统维护、软件升级换代等服务。2、在质量保证期内，如发现质量问题，在接到采购人维护要求后应在2小时内响应，4小时内提供解决方案，24小时内到达现场，如属质量问题，由乙方负责免费更换或维修。 </w:t>
      </w:r>
    </w:p>
    <w:p w14:paraId="5AA8C04D">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第十条 履约保证金</w:t>
      </w:r>
    </w:p>
    <w:p w14:paraId="6EEF6C71">
      <w:pPr>
        <w:widowControl/>
        <w:spacing w:line="360" w:lineRule="auto"/>
        <w:ind w:firstLine="480" w:firstLineChars="200"/>
        <w:jc w:val="left"/>
        <w:rPr>
          <w:rFonts w:hint="default" w:ascii="宋体" w:hAnsi="宋体" w:eastAsia="宋体" w:cs="宋体"/>
          <w:bCs/>
          <w:color w:val="auto"/>
          <w:sz w:val="24"/>
          <w:szCs w:val="24"/>
          <w:highlight w:val="none"/>
          <w:lang w:val="en-US" w:eastAsia="zh-CN"/>
        </w:rPr>
      </w:pPr>
      <w:r>
        <w:rPr>
          <w:rFonts w:hint="eastAsia" w:ascii="宋体" w:hAnsi="宋体" w:cs="宋体"/>
          <w:color w:val="auto"/>
          <w:kern w:val="0"/>
          <w:sz w:val="24"/>
          <w:szCs w:val="24"/>
          <w:highlight w:val="none"/>
          <w:lang w:val="en-US" w:eastAsia="zh-CN"/>
        </w:rPr>
        <w:t>本项目无履约保证金。</w:t>
      </w:r>
    </w:p>
    <w:p w14:paraId="5FBB3868">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第十一条 违约责任</w:t>
      </w:r>
    </w:p>
    <w:p w14:paraId="748E3406">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1.甲方违约责任</w:t>
      </w:r>
    </w:p>
    <w:p w14:paraId="522BA917">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（1）甲方无正当理由拒收货物的，甲方应偿付合同总价</w:t>
      </w:r>
      <w:r>
        <w:rPr>
          <w:rFonts w:hint="eastAsia" w:ascii="宋体" w:hAnsi="宋体"/>
          <w:color w:val="auto"/>
          <w:szCs w:val="24"/>
          <w:highlight w:val="none"/>
          <w:u w:val="single"/>
        </w:rPr>
        <w:t xml:space="preserve"> </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r>
        <w:rPr>
          <w:rFonts w:hint="eastAsia" w:ascii="宋体" w:hAnsi="宋体"/>
          <w:color w:val="auto"/>
          <w:szCs w:val="24"/>
          <w:highlight w:val="none"/>
        </w:rPr>
        <w:t>%的违约金；</w:t>
      </w:r>
    </w:p>
    <w:p w14:paraId="2621FA17">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（2）甲方逾期支付货款的，除应及时付足货款外，应向乙方每天支付欠款总额</w:t>
      </w:r>
      <w:r>
        <w:rPr>
          <w:rFonts w:hint="eastAsia" w:ascii="宋体" w:hAnsi="宋体"/>
          <w:color w:val="auto"/>
          <w:szCs w:val="24"/>
          <w:highlight w:val="none"/>
          <w:u w:val="single"/>
        </w:rPr>
        <w:t xml:space="preserve"> </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r>
        <w:rPr>
          <w:rFonts w:hint="eastAsia" w:ascii="宋体" w:hAnsi="宋体"/>
          <w:color w:val="auto"/>
          <w:szCs w:val="24"/>
          <w:highlight w:val="none"/>
        </w:rPr>
        <w:t>‰的滞纳金；但累计滞纳金总额不超过欠款总额的</w:t>
      </w:r>
      <w:r>
        <w:rPr>
          <w:rFonts w:hint="eastAsia" w:ascii="宋体" w:hAnsi="宋体"/>
          <w:color w:val="auto"/>
          <w:szCs w:val="24"/>
          <w:highlight w:val="none"/>
          <w:u w:val="single"/>
        </w:rPr>
        <w:t xml:space="preserve"> </w:t>
      </w:r>
      <w:r>
        <w:rPr>
          <w:rFonts w:hint="eastAsia" w:ascii="宋体" w:hAnsi="宋体"/>
          <w:color w:val="auto"/>
          <w:szCs w:val="24"/>
          <w:highlight w:val="none"/>
          <w:u w:val="single"/>
          <w:lang w:val="en-US" w:eastAsia="zh-CN"/>
        </w:rPr>
        <w:t xml:space="preserve">    </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5919DB44">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2.乙方违约责任</w:t>
      </w:r>
    </w:p>
    <w:p w14:paraId="59FB43DA">
      <w:pPr>
        <w:widowControl/>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（1）如乙方不能交付货物，甲方有权扣留全部履约保证金；同时乙方应向甲方支付合同总价</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％的违约金；</w:t>
      </w:r>
    </w:p>
    <w:p w14:paraId="699D8CF7">
      <w:pPr>
        <w:widowControl/>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（2）乙方逾期交付货物的，每逾期1天，乙方向甲方偿付逾期交货部分货款总额的</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rPr>
        <w:t>‰的滞纳金。如乙方逾期交货达</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rPr>
        <w:t>天，甲方有权解除合同，解除合同的通知自到达乙方时生效；</w:t>
      </w:r>
    </w:p>
    <w:p w14:paraId="4D623FB0">
      <w:pPr>
        <w:widowControl/>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rPr>
        <w:t>%的违约金；</w:t>
      </w:r>
    </w:p>
    <w:p w14:paraId="2FBA5AEA">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s="宋体"/>
          <w:color w:val="auto"/>
          <w:kern w:val="0"/>
          <w:sz w:val="24"/>
          <w:szCs w:val="24"/>
          <w:highlight w:val="none"/>
          <w:u w:val="single"/>
          <w:lang w:val="en-US" w:eastAsia="zh-CN"/>
        </w:rPr>
        <w:t xml:space="preserve">     </w:t>
      </w:r>
      <w:r>
        <w:rPr>
          <w:rFonts w:hint="eastAsia" w:ascii="宋体" w:hAnsi="宋体"/>
          <w:color w:val="auto"/>
          <w:szCs w:val="24"/>
          <w:highlight w:val="none"/>
        </w:rPr>
        <w:t>天内无条件更换合格的货物，如逾期不能更换合格的货物，甲方有权终止本合同，乙方应另向甲方支付货款总额的</w:t>
      </w:r>
      <w:r>
        <w:rPr>
          <w:rFonts w:hint="eastAsia" w:ascii="宋体" w:hAnsi="宋体" w:cs="宋体"/>
          <w:color w:val="auto"/>
          <w:kern w:val="0"/>
          <w:sz w:val="24"/>
          <w:szCs w:val="24"/>
          <w:highlight w:val="none"/>
          <w:u w:val="single"/>
          <w:lang w:val="en-US" w:eastAsia="zh-CN"/>
        </w:rPr>
        <w:t xml:space="preserve">     </w:t>
      </w:r>
      <w:r>
        <w:rPr>
          <w:rFonts w:hint="eastAsia" w:ascii="宋体" w:hAnsi="宋体"/>
          <w:color w:val="auto"/>
          <w:szCs w:val="24"/>
          <w:highlight w:val="none"/>
        </w:rPr>
        <w:t>%的违约金；</w:t>
      </w:r>
    </w:p>
    <w:p w14:paraId="74F88A6D">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4DF4F05E">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（6）乙方未按本合同第十条的规定向甲方交付履约保证金的，应按应交付履约保证金的</w:t>
      </w:r>
      <w:r>
        <w:rPr>
          <w:rFonts w:hint="eastAsia" w:ascii="宋体" w:hAnsi="宋体" w:cs="宋体"/>
          <w:color w:val="auto"/>
          <w:kern w:val="0"/>
          <w:sz w:val="24"/>
          <w:szCs w:val="24"/>
          <w:highlight w:val="none"/>
          <w:u w:val="single"/>
          <w:lang w:val="en-US" w:eastAsia="zh-CN"/>
        </w:rPr>
        <w:t xml:space="preserve">     </w:t>
      </w:r>
      <w:r>
        <w:rPr>
          <w:rFonts w:hint="eastAsia" w:ascii="宋体" w:hAnsi="宋体"/>
          <w:color w:val="auto"/>
          <w:kern w:val="0"/>
          <w:szCs w:val="24"/>
          <w:highlight w:val="none"/>
        </w:rPr>
        <w:t>%向甲方支付违约金，该违约金的支付不影响乙方应承担的其他违约责任；</w:t>
      </w:r>
    </w:p>
    <w:p w14:paraId="4D380482">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（7）乙方未按本合同的规定和“服务承诺”提供伴随服务/售后服务的，应按合同总价款的</w:t>
      </w:r>
      <w:r>
        <w:rPr>
          <w:rFonts w:hint="eastAsia" w:ascii="宋体" w:hAnsi="宋体" w:cs="宋体"/>
          <w:color w:val="auto"/>
          <w:kern w:val="0"/>
          <w:sz w:val="24"/>
          <w:szCs w:val="24"/>
          <w:highlight w:val="none"/>
          <w:u w:val="single"/>
          <w:lang w:val="en-US" w:eastAsia="zh-CN"/>
        </w:rPr>
        <w:t xml:space="preserve">     </w:t>
      </w:r>
      <w:r>
        <w:rPr>
          <w:rFonts w:hint="eastAsia" w:ascii="宋体" w:hAnsi="宋体"/>
          <w:color w:val="auto"/>
          <w:kern w:val="0"/>
          <w:szCs w:val="24"/>
          <w:highlight w:val="none"/>
        </w:rPr>
        <w:t>%向甲方承担违约责任；</w:t>
      </w:r>
    </w:p>
    <w:p w14:paraId="7BB03E6B">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4F890771">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（9）乙方偿付的违约金不足以弥补甲方损失的，还应按甲方损失尚未弥补的部分，支付赔偿金给甲方。</w:t>
      </w:r>
    </w:p>
    <w:p w14:paraId="15FCD6A3">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第十二条 合同的变更和终止</w:t>
      </w:r>
    </w:p>
    <w:p w14:paraId="1C52C1D9">
      <w:pPr>
        <w:widowControl/>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除《中华人民共和国政府采购法》</w:t>
      </w:r>
      <w:r>
        <w:rPr>
          <w:rFonts w:hint="eastAsia" w:ascii="宋体" w:hAnsi="宋体" w:cs="宋体"/>
          <w:color w:val="auto"/>
          <w:kern w:val="0"/>
          <w:sz w:val="24"/>
          <w:szCs w:val="24"/>
          <w:highlight w:val="none"/>
          <w:lang w:eastAsia="zh-CN"/>
        </w:rPr>
        <w:t>第四十九条</w:t>
      </w:r>
      <w:r>
        <w:rPr>
          <w:rFonts w:hint="eastAsia" w:ascii="宋体" w:hAnsi="宋体" w:cs="宋体"/>
          <w:color w:val="auto"/>
          <w:kern w:val="0"/>
          <w:sz w:val="24"/>
          <w:szCs w:val="24"/>
          <w:highlight w:val="none"/>
        </w:rPr>
        <w:t>、第</w:t>
      </w:r>
      <w:r>
        <w:rPr>
          <w:rFonts w:hint="eastAsia" w:ascii="宋体" w:hAnsi="宋体" w:cs="宋体"/>
          <w:color w:val="auto"/>
          <w:kern w:val="0"/>
          <w:sz w:val="24"/>
          <w:szCs w:val="24"/>
          <w:highlight w:val="none"/>
          <w:lang w:val="en-US" w:eastAsia="zh-CN"/>
        </w:rPr>
        <w:t>五十</w:t>
      </w:r>
      <w:r>
        <w:rPr>
          <w:rFonts w:hint="eastAsia" w:ascii="宋体" w:hAnsi="宋体" w:cs="宋体"/>
          <w:color w:val="auto"/>
          <w:kern w:val="0"/>
          <w:sz w:val="24"/>
          <w:szCs w:val="24"/>
          <w:highlight w:val="none"/>
        </w:rPr>
        <w:t>条第二款规定的情形外，本合同一经签订，甲乙双方不得擅自变更、中止或终止合同。</w:t>
      </w:r>
    </w:p>
    <w:p w14:paraId="07FED9D5">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第十三条 争议的解决</w:t>
      </w:r>
    </w:p>
    <w:p w14:paraId="6437AC57">
      <w:pPr>
        <w:pStyle w:val="12"/>
        <w:spacing w:line="360" w:lineRule="auto"/>
        <w:ind w:firstLine="480"/>
        <w:rPr>
          <w:rFonts w:hint="eastAsia" w:ascii="宋体" w:hAnsi="宋体"/>
          <w:color w:val="auto"/>
          <w:szCs w:val="24"/>
          <w:highlight w:val="none"/>
        </w:rPr>
      </w:pPr>
      <w:r>
        <w:rPr>
          <w:rFonts w:hint="eastAsia" w:ascii="宋体" w:hAnsi="宋体"/>
          <w:color w:val="auto"/>
          <w:szCs w:val="24"/>
          <w:highlight w:val="none"/>
        </w:rPr>
        <w:t>1.因货物的质量问题发生争议，由质量技术监督部门或其指定的质量鉴定机构进行质量鉴定。货物符合标准的，鉴定费由甲方承担；货物不符合质量标准的，鉴定费由乙方承担。</w:t>
      </w:r>
    </w:p>
    <w:p w14:paraId="53F27574">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2.因履行本合同引起的或与本合同有关的争议，甲、乙双方应首先通过友好协商解决，如果协商不成，则采取以下第</w:t>
      </w:r>
      <w:r>
        <w:rPr>
          <w:rFonts w:hint="eastAsia" w:ascii="宋体" w:hAnsi="宋体" w:cs="宋体"/>
          <w:color w:val="auto"/>
          <w:kern w:val="0"/>
          <w:sz w:val="24"/>
          <w:szCs w:val="24"/>
          <w:highlight w:val="none"/>
          <w:u w:val="single"/>
          <w:lang w:val="en-US" w:eastAsia="zh-CN"/>
        </w:rPr>
        <w:t xml:space="preserve">  2   </w:t>
      </w:r>
      <w:r>
        <w:rPr>
          <w:rFonts w:hint="eastAsia" w:ascii="宋体" w:hAnsi="宋体"/>
          <w:color w:val="auto"/>
          <w:kern w:val="0"/>
          <w:szCs w:val="24"/>
          <w:highlight w:val="none"/>
        </w:rPr>
        <w:t>种方式解决争议：</w:t>
      </w:r>
    </w:p>
    <w:p w14:paraId="4D35CCB1">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（1）向甲方所在地有管辖权的人民法院提起诉讼；</w:t>
      </w:r>
    </w:p>
    <w:p w14:paraId="4F9F362C">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（2）向</w:t>
      </w:r>
      <w:r>
        <w:rPr>
          <w:rFonts w:hint="eastAsia" w:ascii="宋体" w:hAnsi="宋体"/>
          <w:color w:val="auto"/>
          <w:kern w:val="0"/>
          <w:szCs w:val="24"/>
          <w:highlight w:val="none"/>
          <w:u w:val="single"/>
          <w:lang w:val="en-US" w:eastAsia="zh-CN"/>
        </w:rPr>
        <w:t xml:space="preserve">       </w:t>
      </w:r>
      <w:r>
        <w:rPr>
          <w:rFonts w:hint="eastAsia" w:ascii="宋体" w:hAnsi="宋体"/>
          <w:color w:val="auto"/>
          <w:kern w:val="0"/>
          <w:szCs w:val="24"/>
          <w:highlight w:val="none"/>
        </w:rPr>
        <w:t>仲裁委员会按其仲裁规则申请仲裁。</w:t>
      </w:r>
    </w:p>
    <w:p w14:paraId="3B7E6EEB">
      <w:pPr>
        <w:pStyle w:val="12"/>
        <w:spacing w:line="360" w:lineRule="auto"/>
        <w:ind w:firstLine="480"/>
        <w:rPr>
          <w:rFonts w:hint="eastAsia" w:ascii="宋体" w:hAnsi="宋体"/>
          <w:color w:val="auto"/>
          <w:kern w:val="0"/>
          <w:szCs w:val="24"/>
          <w:highlight w:val="none"/>
        </w:rPr>
      </w:pPr>
      <w:r>
        <w:rPr>
          <w:rFonts w:hint="eastAsia" w:ascii="宋体" w:hAnsi="宋体"/>
          <w:color w:val="auto"/>
          <w:kern w:val="0"/>
          <w:szCs w:val="24"/>
          <w:highlight w:val="none"/>
        </w:rPr>
        <w:t>3.在仲裁期间，本合同应继续履行。</w:t>
      </w:r>
    </w:p>
    <w:p w14:paraId="6CD9A1C1">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第十四条 合同文件</w:t>
      </w:r>
    </w:p>
    <w:p w14:paraId="29D8F543">
      <w:pPr>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639C980F">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1.本合同书</w:t>
      </w:r>
    </w:p>
    <w:p w14:paraId="6BC95ECE">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2.中标通知书</w:t>
      </w:r>
      <w:r>
        <w:rPr>
          <w:rFonts w:hint="eastAsia" w:ascii="宋体" w:hAnsi="宋体" w:cs="宋体"/>
          <w:color w:val="auto"/>
          <w:sz w:val="24"/>
          <w:szCs w:val="24"/>
          <w:highlight w:val="none"/>
        </w:rPr>
        <w:tab/>
      </w:r>
    </w:p>
    <w:p w14:paraId="14E51828">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3.协议</w:t>
      </w:r>
    </w:p>
    <w:p w14:paraId="072E346D">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4.招标文件</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含澄清或者修改文件</w:t>
      </w:r>
      <w:r>
        <w:rPr>
          <w:rFonts w:hint="eastAsia" w:ascii="宋体" w:hAnsi="宋体" w:cs="宋体"/>
          <w:color w:val="auto"/>
          <w:sz w:val="24"/>
          <w:szCs w:val="24"/>
          <w:highlight w:val="none"/>
          <w:lang w:eastAsia="zh-CN"/>
        </w:rPr>
        <w:t>）</w:t>
      </w:r>
    </w:p>
    <w:p w14:paraId="7AF88F54">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5.投标文件</w:t>
      </w:r>
    </w:p>
    <w:p w14:paraId="75EEBE99">
      <w:pPr>
        <w:pStyle w:val="12"/>
        <w:spacing w:line="360" w:lineRule="auto"/>
        <w:ind w:firstLine="424" w:firstLineChars="176"/>
        <w:rPr>
          <w:rFonts w:hint="eastAsia" w:ascii="宋体" w:hAnsi="宋体"/>
          <w:b/>
          <w:color w:val="auto"/>
          <w:szCs w:val="24"/>
          <w:highlight w:val="none"/>
        </w:rPr>
      </w:pPr>
      <w:r>
        <w:rPr>
          <w:rFonts w:hint="eastAsia" w:ascii="宋体" w:hAnsi="宋体"/>
          <w:b/>
          <w:color w:val="auto"/>
          <w:szCs w:val="24"/>
          <w:highlight w:val="none"/>
        </w:rPr>
        <w:t>第十五条 合同生效及其他</w:t>
      </w:r>
    </w:p>
    <w:p w14:paraId="1BFF6777">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sz w:val="24"/>
          <w:szCs w:val="24"/>
          <w:highlight w:val="none"/>
        </w:rPr>
        <w:t>如有未尽事宜，由双方依法订立补充合同。</w:t>
      </w:r>
    </w:p>
    <w:p w14:paraId="67F4B073">
      <w:pPr>
        <w:snapToGrid w:val="0"/>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2.本合同自签订之日起生效。</w:t>
      </w:r>
    </w:p>
    <w:p w14:paraId="56AC58AF">
      <w:pPr>
        <w:snapToGrid w:val="0"/>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3.本合同一式</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rPr>
        <w:t>陆</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rPr>
        <w:t>份，具有同等法律效力，</w:t>
      </w:r>
      <w:r>
        <w:rPr>
          <w:rFonts w:hint="eastAsia" w:ascii="宋体" w:hAnsi="宋体" w:cs="宋体"/>
          <w:color w:val="auto"/>
          <w:kern w:val="0"/>
          <w:sz w:val="24"/>
          <w:szCs w:val="24"/>
          <w:highlight w:val="none"/>
        </w:rPr>
        <w:t>甲方各执</w:t>
      </w:r>
      <w:r>
        <w:rPr>
          <w:rFonts w:hint="eastAsia" w:ascii="宋体" w:hAnsi="宋体" w:cs="宋体"/>
          <w:color w:val="auto"/>
          <w:kern w:val="0"/>
          <w:sz w:val="24"/>
          <w:szCs w:val="24"/>
          <w:highlight w:val="none"/>
          <w:u w:val="single"/>
          <w:lang w:val="en-US" w:eastAsia="zh-CN"/>
        </w:rPr>
        <w:t xml:space="preserve"> 贰 </w:t>
      </w:r>
      <w:r>
        <w:rPr>
          <w:rFonts w:hint="eastAsia" w:ascii="宋体" w:hAnsi="宋体" w:cs="宋体"/>
          <w:color w:val="auto"/>
          <w:kern w:val="0"/>
          <w:sz w:val="24"/>
          <w:szCs w:val="24"/>
          <w:highlight w:val="none"/>
        </w:rPr>
        <w:t>份，</w:t>
      </w:r>
      <w:r>
        <w:rPr>
          <w:rFonts w:hint="eastAsia" w:ascii="宋体" w:hAnsi="宋体" w:cs="宋体"/>
          <w:color w:val="auto"/>
          <w:kern w:val="0"/>
          <w:sz w:val="24"/>
          <w:szCs w:val="24"/>
          <w:highlight w:val="none"/>
        </w:rPr>
        <w:t>乙方各执</w:t>
      </w:r>
      <w:r>
        <w:rPr>
          <w:rFonts w:hint="eastAsia" w:ascii="宋体" w:hAnsi="宋体" w:cs="宋体"/>
          <w:color w:val="auto"/>
          <w:kern w:val="0"/>
          <w:sz w:val="24"/>
          <w:szCs w:val="24"/>
          <w:highlight w:val="none"/>
          <w:u w:val="single"/>
          <w:lang w:val="en-US" w:eastAsia="zh-CN"/>
        </w:rPr>
        <w:t xml:space="preserve"> 贰 </w:t>
      </w:r>
      <w:r>
        <w:rPr>
          <w:rFonts w:hint="eastAsia" w:ascii="宋体" w:hAnsi="宋体" w:cs="宋体"/>
          <w:color w:val="auto"/>
          <w:kern w:val="0"/>
          <w:sz w:val="24"/>
          <w:szCs w:val="24"/>
          <w:highlight w:val="none"/>
        </w:rPr>
        <w:t>份，</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rPr>
        <w:t>壹</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rPr>
        <w:t>份报送政府采购监督管理部门备案，</w:t>
      </w:r>
      <w:r>
        <w:rPr>
          <w:rFonts w:hint="eastAsia" w:ascii="宋体" w:hAnsi="宋体" w:cs="宋体"/>
          <w:color w:val="auto"/>
          <w:kern w:val="0"/>
          <w:sz w:val="24"/>
          <w:szCs w:val="24"/>
          <w:highlight w:val="none"/>
          <w:lang w:val="en-US" w:eastAsia="zh-CN"/>
        </w:rPr>
        <w:t>壹</w:t>
      </w:r>
      <w:r>
        <w:rPr>
          <w:rFonts w:hint="eastAsia" w:ascii="宋体" w:hAnsi="宋体" w:cs="宋体"/>
          <w:color w:val="auto"/>
          <w:kern w:val="0"/>
          <w:sz w:val="24"/>
          <w:szCs w:val="24"/>
          <w:highlight w:val="none"/>
        </w:rPr>
        <w:t>份招标代理机构存档。</w:t>
      </w:r>
      <w:bookmarkStart w:id="0" w:name="_GoBack"/>
      <w:bookmarkEnd w:id="0"/>
    </w:p>
    <w:p w14:paraId="33D67989">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br w:type="textWrapping"/>
      </w:r>
    </w:p>
    <w:p w14:paraId="05AB2A23">
      <w:pPr>
        <w:spacing w:line="360" w:lineRule="auto"/>
        <w:ind w:firstLine="480" w:firstLineChars="200"/>
        <w:rPr>
          <w:rFonts w:hint="eastAsia" w:ascii="宋体" w:hAnsi="宋体" w:cs="宋体"/>
          <w:color w:val="auto"/>
          <w:sz w:val="24"/>
          <w:szCs w:val="24"/>
          <w:highlight w:val="none"/>
        </w:rPr>
      </w:pPr>
    </w:p>
    <w:p w14:paraId="4D42155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甲方：   （盖章）   </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 乙方：   （盖章）</w:t>
      </w:r>
    </w:p>
    <w:p w14:paraId="541BA63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法定代表人/委托代理人：            法定代表人/委托代理人：</w:t>
      </w:r>
    </w:p>
    <w:p w14:paraId="0F1C089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地    址：                         地    址：</w:t>
      </w:r>
    </w:p>
    <w:p w14:paraId="161775A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开户银行：                         开户银行：</w:t>
      </w:r>
    </w:p>
    <w:p w14:paraId="45DFCDC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账    号：                         账    号：</w:t>
      </w:r>
    </w:p>
    <w:p w14:paraId="2758915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电    话：                         电    话：</w:t>
      </w:r>
    </w:p>
    <w:p w14:paraId="044E8A8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传    真：                         传    真：</w:t>
      </w:r>
    </w:p>
    <w:p w14:paraId="5432F89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签约日期：    年  月  日           签约日期：    年  月  日</w:t>
      </w:r>
    </w:p>
    <w:p w14:paraId="0DE903D9">
      <w:pPr>
        <w:spacing w:line="360" w:lineRule="auto"/>
        <w:ind w:firstLine="480" w:firstLineChars="200"/>
        <w:rPr>
          <w:rFonts w:hint="eastAsia" w:ascii="宋体" w:hAnsi="宋体" w:cs="宋体"/>
          <w:color w:val="auto"/>
          <w:sz w:val="24"/>
          <w:szCs w:val="24"/>
          <w:highlight w:val="none"/>
        </w:rPr>
      </w:pPr>
    </w:p>
    <w:p w14:paraId="32DA43BE">
      <w:pPr>
        <w:spacing w:line="360" w:lineRule="auto"/>
        <w:ind w:firstLine="480" w:firstLineChars="200"/>
        <w:rPr>
          <w:rFonts w:hint="eastAsia" w:ascii="宋体" w:hAnsi="宋体" w:cs="宋体"/>
          <w:color w:val="auto"/>
          <w:sz w:val="24"/>
          <w:szCs w:val="24"/>
          <w:highlight w:val="none"/>
        </w:rPr>
      </w:pPr>
    </w:p>
    <w:p w14:paraId="7F58CCC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见证方：   （盖章）   </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w:t>
      </w:r>
    </w:p>
    <w:p w14:paraId="7981C24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7C5CB95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51AFBAE6">
      <w:pPr>
        <w:spacing w:line="360" w:lineRule="auto"/>
        <w:ind w:firstLine="480" w:firstLineChars="200"/>
      </w:pPr>
      <w:r>
        <w:rPr>
          <w:rFonts w:hint="eastAsia" w:ascii="宋体" w:hAnsi="宋体" w:cs="宋体"/>
          <w:color w:val="auto"/>
          <w:sz w:val="24"/>
          <w:szCs w:val="24"/>
          <w:highlight w:val="none"/>
        </w:rPr>
        <w:t xml:space="preserve">传    真：    </w:t>
      </w:r>
      <w:r>
        <w:rPr>
          <w:rFonts w:hint="eastAsia" w:ascii="宋体" w:hAnsi="宋体" w:cs="宋体"/>
          <w:color w:val="auto"/>
          <w:szCs w:val="21"/>
          <w:highlight w:val="none"/>
        </w:rPr>
        <w:t xml:space="preserve">                   </w:t>
      </w:r>
    </w:p>
    <w:sectPr>
      <w:headerReference r:id="rId3" w:type="default"/>
      <w:footerReference r:id="rId4" w:type="default"/>
      <w:pgSz w:w="11497" w:h="16860"/>
      <w:pgMar w:top="1417" w:right="1417" w:bottom="1417" w:left="1417" w:header="1134" w:footer="1134" w:gutter="0"/>
      <w:pgBorders>
        <w:top w:val="none" w:sz="0" w:space="0"/>
        <w:left w:val="none" w:sz="0" w:space="0"/>
        <w:bottom w:val="none" w:sz="0" w:space="0"/>
        <w:right w:val="none" w:sz="0" w:space="0"/>
      </w:pgBorders>
      <w:pgNumType w:fmt="decimal" w:start="1" w:chapStyle="1" w:chapSep="emDash"/>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CE45E">
    <w:pPr>
      <w:widowControl/>
      <w:spacing w:line="380" w:lineRule="exact"/>
      <w:jc w:val="left"/>
    </w:pPr>
    <w:r>
      <w:rPr>
        <w:sz w:val="20"/>
      </w:rPr>
      <mc:AlternateContent>
        <mc:Choice Requires="wps">
          <w:drawing>
            <wp:anchor distT="0" distB="0" distL="114300" distR="114300" simplePos="0" relativeHeight="251659264" behindDoc="0" locked="0" layoutInCell="1" allowOverlap="1">
              <wp:simplePos x="0" y="0"/>
              <wp:positionH relativeFrom="margin">
                <wp:posOffset>2644775</wp:posOffset>
              </wp:positionH>
              <wp:positionV relativeFrom="paragraph">
                <wp:posOffset>81280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656F8">
                          <w:pPr>
                            <w:pStyle w:val="7"/>
                          </w:pPr>
                          <w:r>
                            <w:fldChar w:fldCharType="begin"/>
                          </w:r>
                          <w:r>
                            <w:instrText xml:space="preserve"> PAGE  \* MERGEFORMAT </w:instrText>
                          </w:r>
                          <w:r>
                            <w:fldChar w:fldCharType="separate"/>
                          </w:r>
                          <w:r>
                            <w:t>136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8.25pt;margin-top:6.4pt;height:144pt;width:144p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6D7656F8">
                    <w:pPr>
                      <w:pStyle w:val="7"/>
                    </w:pPr>
                    <w:r>
                      <w:fldChar w:fldCharType="begin"/>
                    </w:r>
                    <w:r>
                      <w:instrText xml:space="preserve"> PAGE  \* MERGEFORMAT </w:instrText>
                    </w:r>
                    <w:r>
                      <w:fldChar w:fldCharType="separate"/>
                    </w:r>
                    <w:r>
                      <w:t>136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1657E">
    <w:pPr>
      <w:pBdr>
        <w:bottom w:val="none" w:color="auto" w:sz="0" w:space="0"/>
      </w:pBdr>
      <w:spacing w:line="360" w:lineRule="auto"/>
      <w:ind w:left="-13" w:leftChars="-135" w:right="-245" w:rightChars="-102" w:hanging="311" w:hangingChars="129"/>
      <w:rPr>
        <w:rFonts w:hint="eastAsia" w:ascii="宋体" w:hAnsi="宋体" w:cs="宋体"/>
        <w:b/>
        <w:color w:val="000000"/>
        <w:sz w:val="24"/>
        <w:szCs w:val="24"/>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ZjNjY2IzMGQxOThjOWY3NjUzZjg0ZTA1Mzg5NWYifQ=="/>
  </w:docVars>
  <w:rsids>
    <w:rsidRoot w:val="5D9E3D5B"/>
    <w:rsid w:val="00003C14"/>
    <w:rsid w:val="000710CB"/>
    <w:rsid w:val="03AA2D77"/>
    <w:rsid w:val="077F569B"/>
    <w:rsid w:val="0897404D"/>
    <w:rsid w:val="0F6F2E95"/>
    <w:rsid w:val="112B6FA8"/>
    <w:rsid w:val="14A67ED3"/>
    <w:rsid w:val="19484350"/>
    <w:rsid w:val="19675C5B"/>
    <w:rsid w:val="19DC7815"/>
    <w:rsid w:val="1CBE1622"/>
    <w:rsid w:val="1D834E70"/>
    <w:rsid w:val="1E2E252B"/>
    <w:rsid w:val="1EC43015"/>
    <w:rsid w:val="201C11AC"/>
    <w:rsid w:val="23147BC3"/>
    <w:rsid w:val="24B6379A"/>
    <w:rsid w:val="277C3BB2"/>
    <w:rsid w:val="28E01ED3"/>
    <w:rsid w:val="2B7E4AC6"/>
    <w:rsid w:val="2C0701A0"/>
    <w:rsid w:val="2CFD1EA3"/>
    <w:rsid w:val="2F7A0BA5"/>
    <w:rsid w:val="316E5078"/>
    <w:rsid w:val="34B66FF5"/>
    <w:rsid w:val="3ABB3C0B"/>
    <w:rsid w:val="3C241E8B"/>
    <w:rsid w:val="3C8A6234"/>
    <w:rsid w:val="3F94388D"/>
    <w:rsid w:val="41BB3ED1"/>
    <w:rsid w:val="442F2E51"/>
    <w:rsid w:val="47055EB2"/>
    <w:rsid w:val="472D74E3"/>
    <w:rsid w:val="47560987"/>
    <w:rsid w:val="481D4EAD"/>
    <w:rsid w:val="4B76314D"/>
    <w:rsid w:val="5C106044"/>
    <w:rsid w:val="5C5821F7"/>
    <w:rsid w:val="5D9E3D5B"/>
    <w:rsid w:val="638455D9"/>
    <w:rsid w:val="6AA51A31"/>
    <w:rsid w:val="6DA45849"/>
    <w:rsid w:val="6EE76183"/>
    <w:rsid w:val="6FFF5C09"/>
    <w:rsid w:val="71D52EC3"/>
    <w:rsid w:val="73056828"/>
    <w:rsid w:val="74DB1079"/>
    <w:rsid w:val="7634777A"/>
    <w:rsid w:val="77AB4063"/>
    <w:rsid w:val="78770F89"/>
    <w:rsid w:val="78D00D3A"/>
    <w:rsid w:val="7D536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link w:val="11"/>
    <w:autoRedefine/>
    <w:qFormat/>
    <w:uiPriority w:val="0"/>
    <w:pPr>
      <w:keepNext/>
      <w:keepLines/>
      <w:spacing w:beforeLines="0" w:beforeAutospacing="0" w:afterLines="0" w:afterAutospacing="0" w:line="360" w:lineRule="auto"/>
      <w:ind w:firstLine="360" w:firstLineChars="200"/>
      <w:outlineLvl w:val="0"/>
    </w:pPr>
    <w:rPr>
      <w:rFonts w:ascii="Times New Roman" w:hAnsi="Times New Roman" w:eastAsia="宋体" w:cs="Times New Roman"/>
      <w:b/>
      <w:color w:val="000000"/>
      <w:kern w:val="44"/>
      <w:sz w:val="32"/>
      <w:szCs w:val="22"/>
      <w:shd w:val="clear" w:color="auto" w:fill="auto"/>
      <w:lang w:val="zh-CN" w:eastAsia="en-US" w:bidi="en-US"/>
    </w:rPr>
  </w:style>
  <w:style w:type="paragraph" w:styleId="3">
    <w:name w:val="heading 2"/>
    <w:basedOn w:val="1"/>
    <w:next w:val="1"/>
    <w:link w:val="10"/>
    <w:autoRedefine/>
    <w:semiHidden/>
    <w:unhideWhenUsed/>
    <w:qFormat/>
    <w:uiPriority w:val="0"/>
    <w:pPr>
      <w:spacing w:line="360" w:lineRule="auto"/>
      <w:ind w:right="0" w:firstLine="643" w:firstLineChars="200"/>
      <w:jc w:val="left"/>
      <w:outlineLvl w:val="1"/>
    </w:pPr>
    <w:rPr>
      <w:rFonts w:ascii="Arial Unicode MS" w:hAnsi="Arial Unicode MS" w:eastAsia="宋体" w:cs="Arial Unicode MS"/>
      <w:sz w:val="28"/>
      <w:szCs w:val="44"/>
      <w:lang w:val="zh-CN" w:bidi="zh-CN"/>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szCs w:val="24"/>
    </w:rPr>
  </w:style>
  <w:style w:type="paragraph" w:styleId="5">
    <w:name w:val="Body Text First Indent 2"/>
    <w:basedOn w:val="6"/>
    <w:qFormat/>
    <w:uiPriority w:val="0"/>
    <w:pPr>
      <w:ind w:firstLine="420"/>
    </w:pPr>
  </w:style>
  <w:style w:type="paragraph" w:styleId="6">
    <w:name w:val="Body Text Indent"/>
    <w:basedOn w:val="1"/>
    <w:qFormat/>
    <w:uiPriority w:val="99"/>
    <w:pPr>
      <w:spacing w:afterLines="50" w:line="360" w:lineRule="exact"/>
      <w:ind w:firstLine="480" w:firstLineChars="200"/>
    </w:pPr>
    <w:rPr>
      <w:rFonts w:ascii="宋体" w:hAnsi="宋体"/>
      <w:szCs w:val="24"/>
    </w:rPr>
  </w:style>
  <w:style w:type="paragraph" w:styleId="7">
    <w:name w:val="footer"/>
    <w:basedOn w:val="1"/>
    <w:qFormat/>
    <w:uiPriority w:val="0"/>
    <w:pPr>
      <w:tabs>
        <w:tab w:val="center" w:pos="4153"/>
        <w:tab w:val="right" w:pos="8306"/>
      </w:tabs>
      <w:snapToGrid w:val="0"/>
      <w:jc w:val="left"/>
    </w:pPr>
    <w:rPr>
      <w:sz w:val="18"/>
      <w:szCs w:val="18"/>
    </w:rPr>
  </w:style>
  <w:style w:type="character" w:customStyle="1" w:styleId="10">
    <w:name w:val="标题 2 Char"/>
    <w:link w:val="3"/>
    <w:autoRedefine/>
    <w:qFormat/>
    <w:uiPriority w:val="0"/>
    <w:rPr>
      <w:rFonts w:ascii="Arial Unicode MS" w:hAnsi="Arial Unicode MS" w:eastAsia="宋体" w:cs="Arial Unicode MS"/>
      <w:sz w:val="28"/>
      <w:szCs w:val="44"/>
      <w:lang w:val="zh-CN" w:eastAsia="zh-CN" w:bidi="zh-CN"/>
    </w:rPr>
  </w:style>
  <w:style w:type="character" w:customStyle="1" w:styleId="11">
    <w:name w:val="标题 1 Char"/>
    <w:link w:val="2"/>
    <w:autoRedefine/>
    <w:qFormat/>
    <w:uiPriority w:val="0"/>
    <w:rPr>
      <w:rFonts w:ascii="Times New Roman" w:hAnsi="Times New Roman" w:eastAsia="宋体" w:cs="Times New Roman"/>
      <w:b/>
      <w:color w:val="000000"/>
      <w:kern w:val="44"/>
      <w:sz w:val="32"/>
      <w:szCs w:val="22"/>
      <w:shd w:val="clear" w:color="auto" w:fill="auto"/>
      <w:lang w:val="zh-CN" w:eastAsia="en-US" w:bidi="en-US"/>
    </w:rPr>
  </w:style>
  <w:style w:type="paragraph" w:customStyle="1" w:styleId="12">
    <w:name w:val="样式 首行缩进:  2 字符"/>
    <w:basedOn w:val="1"/>
    <w:autoRedefine/>
    <w:qFormat/>
    <w:uiPriority w:val="0"/>
    <w:pPr>
      <w:spacing w:line="400" w:lineRule="exact"/>
      <w:ind w:firstLine="200" w:firstLineChars="200"/>
    </w:pPr>
    <w:rPr>
      <w:rFonts w:cs="宋体"/>
      <w:sz w:val="24"/>
    </w:rPr>
  </w:style>
  <w:style w:type="paragraph" w:customStyle="1" w:styleId="13">
    <w:name w:val="列表段落1"/>
    <w:basedOn w:val="1"/>
    <w:autoRedefine/>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a63196c0-3c1f-4d5c-9889-593c783ac0c1</errorID>
      <errorWord>:</errorWord>
      <group>L1_Format</group>
      <groupName>格式问题</groupName>
      <ability>L2_HalfPunc_CN</ability>
      <abilityName/>
      <candidateList>
        <item>：</item>
      </candidateList>
      <explain>文本全半角错误。</explain>
      <paraID> 320FDCF</paraID>
      <start>4</start>
      <end>5</end>
      <status>modified</status>
      <modifiedWord>：</modifiedWord>
      <trackRevisions>false</trackRevisions>
    </reviewItem>
    <reviewItem>
      <errorID>3ddbc4cf-0429-4066-93e7-2049f46283c2</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503FE63</paraID>
      <start>34</start>
      <end>36</end>
      <status>modified</status>
      <modifiedWord>》《</modifiedWord>
      <trackRevisions>false</trackRevisions>
    </reviewItem>
    <reviewItem>
      <errorID>0c2b2702-30b7-40ab-aa97-e30fec3db955</errorID>
      <errorWord>(</errorWord>
      <group>L1_Format</group>
      <groupName>格式问题</groupName>
      <ability>L2_HalfPunc_CN</ability>
      <abilityName/>
      <candidateList>
        <item>（</item>
      </candidateList>
      <explain>文本全半角错误。</explain>
      <paraID>2F78C091</paraID>
      <start>5</start>
      <end>6</end>
      <status>modified</status>
      <modifiedWord>（</modifiedWord>
      <trackRevisions>false</trackRevisions>
    </reviewItem>
    <reviewItem>
      <errorID>b52ebf3c-2a62-4fdc-9f52-077d6a29de9c</errorID>
      <errorWord>)</errorWord>
      <group>L1_Format</group>
      <groupName>格式问题</groupName>
      <ability>L2_HalfPunc_CN</ability>
      <abilityName/>
      <candidateList>
        <item>）</item>
      </candidateList>
      <explain>文本全半角错误。</explain>
      <paraID>2F78C091</paraID>
      <start>7</start>
      <end>8</end>
      <status>modified</status>
      <modifiedWord>）</modifiedWord>
      <trackRevisions>false</trackRevisions>
    </reviewItem>
    <reviewItem>
      <errorID>d368bfc8-4411-4bae-b3e1-9009fd6eb8a9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59BAFAE9</paraID>
      <start>0</start>
      <end>2</end>
      <status>modified</status>
      <modifiedWord>1.</modifiedWord>
      <trackRevisions>false</trackRevisions>
    </reviewItem>
    <reviewItem>
      <errorID>8ca83c68-211c-4280-be20-e19655a4a796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55184995</paraID>
      <start>0</start>
      <end>2</end>
      <status>modified</status>
      <modifiedWord>2.</modifiedWord>
      <trackRevisions>false</trackRevisions>
    </reviewItem>
    <reviewItem>
      <errorID>b415ff1a-31b9-4ffa-9865-8579813bbbc0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1B9307CA</paraID>
      <start>0</start>
      <end>2</end>
      <status>modified</status>
      <modifiedWord>3.</modifiedWord>
      <trackRevisions>false</trackRevisions>
    </reviewItem>
    <reviewItem>
      <errorID>f330e2cc-408c-4149-ab64-da4e3d08af73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3C3A613E</paraID>
      <start>0</start>
      <end>2</end>
      <status>modified</status>
      <modifiedWord>4.</modifiedWord>
      <trackRevisions>false</trackRevisions>
    </reviewItem>
    <reviewItem>
      <errorID>f4e49b06-b757-45c2-8c74-128c8b6df2c6</errorID>
      <errorWord>接受</errorWord>
      <group>L1_Word</group>
      <groupName>字词问题</groupName>
      <ability>L2_Typo</ability>
      <abilityName>字词错误</abilityName>
      <candidateList>
        <item>接收</item>
      </candidateList>
      <explain>存在发音相同字词的误用。</explain>
      <paraID>349564EF</paraID>
      <start>34</start>
      <end>36</end>
      <status>modified</status>
      <modifiedWord>接收</modifiedWord>
      <trackRevisions>false</trackRevisions>
    </reviewItem>
    <reviewItem>
      <errorID>77099d26-3118-45be-8f8e-edbd117287d1</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10369C96</paraID>
      <start>22</start>
      <end>25</end>
      <status>modified</status>
      <modifiedWord>其他不</modifiedWord>
      <trackRevisions>false</trackRevisions>
    </reviewItem>
    <reviewItem>
      <errorID>f74d72bd-8fa2-44a6-a6e5-b4a490142929</errorID>
      <errorWord>应</errorWord>
      <group>L1_Word</group>
      <groupName>字词问题</groupName>
      <ability>L2_Typo</ability>
      <abilityName>字词错误</abilityName>
      <candidateList>
        <item>应在</item>
      </candidateList>
      <explain/>
      <paraID>4CEAAE76</paraID>
      <start>62</start>
      <end>64</end>
      <status>modified</status>
      <modifiedWord>应在</modifiedWord>
      <trackRevisions>false</trackRevisions>
    </reviewItem>
    <reviewItem>
      <errorID>7b6a624d-9c1c-4f0f-a8e8-28e3b6a1c5f4</errorID>
      <errorWord>第49条</errorWord>
      <group>L1_Knowledge</group>
      <groupName>知识性问题</groupName>
      <ability>L2_Knowledge</ability>
      <abilityName>其他知识</abilityName>
      <candidateList>
        <item>第四十九条</item>
      </candidateList>
      <explain>法律条目书写应使用汉字数字，不使用阿拉伯数字。</explain>
      <paraID>1C52C1D9</paraID>
      <start>15</start>
      <end>20</end>
      <status>modified</status>
      <modifiedWord>第四十九条</modifiedWord>
      <trackRevisions>false</trackRevisions>
    </reviewItem>
    <reviewItem>
      <errorID>2394349a-43be-4905-8611-1df5bd493d95</errorID>
      <errorWord>(</errorWord>
      <group>L1_Format</group>
      <groupName>格式问题</groupName>
      <ability>L2_HalfPunc_CN</ability>
      <abilityName/>
      <candidateList>
        <item>（</item>
      </candidateList>
      <explain>文本全半角错误。</explain>
      <paraID> 72E346D</paraID>
      <start>6</start>
      <end>7</end>
      <status>modified</status>
      <modifiedWord>（</modifiedWord>
      <trackRevisions>false</trackRevisions>
    </reviewItem>
    <reviewItem>
      <errorID>df39f4ca-5b09-4670-9ec4-9edcfc410f4d</errorID>
      <errorWord>)</errorWord>
      <group>L1_Format</group>
      <groupName>格式问题</groupName>
      <ability>L2_HalfPunc_CN</ability>
      <abilityName/>
      <candidateList>
        <item>）</item>
      </candidateList>
      <explain>文本全半角错误。</explain>
      <paraID> 72E346D</paraID>
      <start>16</start>
      <end>17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5c360e-1fe8-42e2-b24e-bd5470612d08}">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4464</Words>
  <Characters>4525</Characters>
  <Lines>0</Lines>
  <Paragraphs>0</Paragraphs>
  <TotalTime>1</TotalTime>
  <ScaleCrop>false</ScaleCrop>
  <LinksUpToDate>false</LinksUpToDate>
  <CharactersWithSpaces>5266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2024-05-13T09:19:00Z</dcterms:created>
  <dc:creator>张静</dc:creator>
  <cp:lastModifiedBy>貳話不說就是幹</cp:lastModifiedBy>
  <dcterms:modified xsi:type="dcterms:W3CDTF">2026-05-30T10:06:55Z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14DDB7004E2A4EEEA354E85D657C6B48_11</vt:lpwstr>
  </property>
  <property fmtid="{D5CDD505-2E9C-101B-9397-08002B2CF9AE}" pid="4" name="KSOTemplateDocerSaveRecord">
    <vt:lpwstr>eyJoZGlkIjoiNGU3NTdjNmY2ZmRkNzNmNGU0M2UxYmI4MmQwMjQwMmIiLCJ1c2VySWQiOiI3MzU2ODg0MDEifQ==</vt:lpwstr>
  </property>
</Properties>
</file>