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版本号：QH2026-CS-02920260716001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西安市碳排放双控制度体系建设和“十五五”碳排放预算方案编制</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QH2026-CS-029</w:t>
      </w:r>
      <w:r>
        <w:br/>
      </w:r>
      <w:r>
        <w:br/>
      </w:r>
      <w:r>
        <w:br/>
      </w:r>
    </w:p>
    <w:p>
      <w:pPr>
        <w:pStyle w:val="null3"/>
        <w:jc w:val="center"/>
        <w:outlineLvl w:val="2"/>
      </w:pPr>
      <w:r>
        <w:rPr>
          <w:rFonts w:ascii="仿宋_GB2312" w:hAnsi="仿宋_GB2312" w:cs="仿宋_GB2312" w:eastAsia="仿宋_GB2312"/>
          <w:sz w:val="28"/>
          <w:b/>
        </w:rPr>
        <w:t>西安市发展和改革委员会（本级）</w:t>
      </w:r>
    </w:p>
    <w:p>
      <w:pPr>
        <w:pStyle w:val="null3"/>
        <w:jc w:val="center"/>
        <w:outlineLvl w:val="2"/>
      </w:pPr>
      <w:r>
        <w:rPr>
          <w:rFonts w:ascii="仿宋_GB2312" w:hAnsi="仿宋_GB2312" w:cs="仿宋_GB2312" w:eastAsia="仿宋_GB2312"/>
          <w:sz w:val="28"/>
          <w:b/>
        </w:rPr>
        <w:t>陕西启航项目管理咨询有限公司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陕西启航项目管理咨询有限公司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西安市发展和改革委员会（本级）</w:t>
      </w:r>
      <w:r>
        <w:rPr>
          <w:rFonts w:ascii="仿宋_GB2312" w:hAnsi="仿宋_GB2312" w:cs="仿宋_GB2312" w:eastAsia="仿宋_GB2312"/>
        </w:rPr>
        <w:t>委托，拟对</w:t>
      </w:r>
      <w:r>
        <w:rPr>
          <w:rFonts w:ascii="仿宋_GB2312" w:hAnsi="仿宋_GB2312" w:cs="仿宋_GB2312" w:eastAsia="仿宋_GB2312"/>
        </w:rPr>
        <w:t>西安市碳排放双控制度体系建设和“十五五”碳排放预算方案编制</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QH2026-CS-029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西安市碳排放双控制度体系建设和“十五五”碳排放预算方案编制</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 xml:space="preserve"> 根据陕西省下达我市碳排放双控指标，紧扣《碳达峰碳中和综合评价考核办法》要求，构建碳排放双控指标体系，研究确定我市“十五五”期间5项控制指标（碳排放总量、碳排放强度降低、煤炭消费总量、石油消费总量、非化石能源消费占比）和9项支撑指标（单位地区生产总值能源消耗降低、年度新增用电量中新增清洁能源电量占比、规模以上工业单位增加值能耗和碳排放降低等），确保目标可量化、可监测，能够有效支撑年度评价考核。以完成省级下达的碳排放强度目标为导向，通过对全市基础碳排放、重点碳排放和新增碳排放量的摸底和测算分析，展望3类碳排放的五年趋势和年度进度，研究确定全市碳排放总量（增量）五年总目标、五年分项目标以及年度目标，并将碳预算指标细化到具体行业领域、重点企业等执行层面，明确全市各行业领域管理部门、重点企业的具体落实目标和任务，编制形成《西安市“十五五”碳排放预算方案》。</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采购包1（西安市碳排放双控制度体系建设）：属于专门面向中小企业采购。</w:t>
      </w:r>
    </w:p>
    <w:p>
      <w:pPr>
        <w:pStyle w:val="null3"/>
      </w:pPr>
      <w:r>
        <w:rPr>
          <w:rFonts w:ascii="仿宋_GB2312" w:hAnsi="仿宋_GB2312" w:cs="仿宋_GB2312" w:eastAsia="仿宋_GB2312"/>
        </w:rPr>
        <w:t>采购包2（西安市十五五碳排放预算方案编制）：属于专门面向中小企业采购。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1、信用查询：供应商未被列入信用中国网站(www.creditchina.gov.cn)“重大税收违法失信主体”；未被列入中国执行信息公开网(https://zxgk.court.gov.cn)“失信被执行人”；不处于中国政府采购网(www.ccgp. gov.cn)“政府采购严重违法失信行为信息记录”中的禁止参加政府采购活动期间。</w:t>
      </w:r>
    </w:p>
    <w:p>
      <w:pPr>
        <w:pStyle w:val="null3"/>
      </w:pPr>
      <w:r>
        <w:rPr>
          <w:rFonts w:ascii="仿宋_GB2312" w:hAnsi="仿宋_GB2312" w:cs="仿宋_GB2312" w:eastAsia="仿宋_GB2312"/>
        </w:rPr>
        <w:t>2、法定代表人证明书或授权委托书：提供法定代表人授权书（附法定代表人、被授权人身份证复印件），法定代表人直接参加磋商，须提供法定代表人身份证明及身份证复印件）。</w:t>
      </w:r>
    </w:p>
    <w:p>
      <w:pPr>
        <w:pStyle w:val="null3"/>
      </w:pPr>
      <w:r>
        <w:rPr>
          <w:rFonts w:ascii="仿宋_GB2312" w:hAnsi="仿宋_GB2312" w:cs="仿宋_GB2312" w:eastAsia="仿宋_GB2312"/>
        </w:rPr>
        <w:t>3、非联合体投标：本项目不接受联合体投标，提供非联合体投标声明。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1、信用查询：供应商未被列入信用中国网站(www.creditchina.gov.cn)“重大税收违法失信主体”；未被列入中国执行信息公开网(https://zxgk.court.gov.cn)“失信被执行人”；不处于中国政府采购网(www.ccgp. gov.cn)“政府采购严重违法失信行为信息记录”中的禁止参加政府采购活动期间。</w:t>
      </w:r>
    </w:p>
    <w:p>
      <w:pPr>
        <w:pStyle w:val="null3"/>
      </w:pPr>
      <w:r>
        <w:rPr>
          <w:rFonts w:ascii="仿宋_GB2312" w:hAnsi="仿宋_GB2312" w:cs="仿宋_GB2312" w:eastAsia="仿宋_GB2312"/>
        </w:rPr>
        <w:t>2、法定代表人证明书或授权委托书：提供法定代表人授权书（附法定代表人、被授权人身份证复印件），法定代表人直接参加磋商，须提供法定代表人身份证明及身份证复印件）。</w:t>
      </w:r>
    </w:p>
    <w:p>
      <w:pPr>
        <w:pStyle w:val="null3"/>
      </w:pPr>
      <w:r>
        <w:rPr>
          <w:rFonts w:ascii="仿宋_GB2312" w:hAnsi="仿宋_GB2312" w:cs="仿宋_GB2312" w:eastAsia="仿宋_GB2312"/>
        </w:rPr>
        <w:t>3、非联合体投标：本项目不接受联合体投标，提供非联合体投标声明。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西安市发展和改革委员会（本级）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西安市政府7号楼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薛⽂谊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029-67096338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陕西启航项目管理咨询有限公司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陕西省西安市碑林区环城南路140号含光大厦4层01室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高俊峰、尹紫涵、杨思佳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029-89182979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p>
          <w:p>
            <w:pPr>
              <w:pStyle w:val="null3"/>
            </w:pPr>
            <w:r>
              <w:rPr>
                <w:rFonts w:ascii="仿宋_GB2312" w:hAnsi="仿宋_GB2312" w:cs="仿宋_GB2312" w:eastAsia="仿宋_GB2312"/>
              </w:rPr>
              <w:t>采购包2：300,000.00元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代理服务费收费标准：以成交金额为基数，依据国家计委颁布《招标代理服务收费管理暂行办法》(计价格[2002]1980号)，按照国家发改委文件发改价格[2011]534号文件及国家计委价格[2002]1980号文件规定的标准下浮 5%执行，如代理服务费按上述标准计算低于人民币5000元，则按5000元收取。若本项目划分为多个标包(标段)，招标代理服务费实行按标包(标段)独立计取。户名：陕西启航项目管理咨询有限公司；开户行：中国工商银行股份有限公司西安高新技术开发区支行；账号：3700024609200501345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西安市发展和改革委员会（本级）</w:t>
      </w:r>
      <w:r>
        <w:rPr>
          <w:rFonts w:ascii="仿宋_GB2312" w:hAnsi="仿宋_GB2312" w:cs="仿宋_GB2312" w:eastAsia="仿宋_GB2312"/>
        </w:rPr>
        <w:t>和</w:t>
      </w:r>
      <w:r>
        <w:rPr>
          <w:rFonts w:ascii="仿宋_GB2312" w:hAnsi="仿宋_GB2312" w:cs="仿宋_GB2312" w:eastAsia="仿宋_GB2312"/>
        </w:rPr>
        <w:t>陕西启航项目管理咨询有限公司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西安市发展和改革委员会（本级）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陕西启航项目管理咨询有限公司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西安市发展和改革委员会（本级）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陕西启航项目管理咨询有限公司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供应商应对所供产品具有或已取得合法知识产权，供应商应保证所供产品及服务不会出现因第三⽅提出侵权其专利权、商标权或其它知识产权⽽引发法律和经济纠纷，否则由供应商负责解决并承担全部责任；如因此影响到采购⼈的正常使⽤，采购⼈有权单⽅⾯解除本合同，供应商应⽆条件向采购⼈退回已收取的全部合同价款。</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按国家有关规定以及磋商文件的要求、供应商的响应文件及承诺与本项目合同约定标准进行验收。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按国家有关规定以及磋商文件的要求、供应商的响应文件及承诺与本项目合同约定标准进行验收。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陕西启航项目管理咨询有限公司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陕西启航项目管理咨询有限公司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陕西启航项目管理咨询有限公司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联系人：高俊峰、尹紫涵</w:t>
      </w:r>
    </w:p>
    <w:p>
      <w:pPr>
        <w:pStyle w:val="null3"/>
      </w:pPr>
      <w:r>
        <w:rPr>
          <w:rFonts w:ascii="仿宋_GB2312" w:hAnsi="仿宋_GB2312" w:cs="仿宋_GB2312" w:eastAsia="仿宋_GB2312"/>
        </w:rPr>
        <w:t>联系电话：029-89182979</w:t>
      </w:r>
    </w:p>
    <w:p>
      <w:pPr>
        <w:pStyle w:val="null3"/>
      </w:pPr>
      <w:r>
        <w:rPr>
          <w:rFonts w:ascii="仿宋_GB2312" w:hAnsi="仿宋_GB2312" w:cs="仿宋_GB2312" w:eastAsia="仿宋_GB2312"/>
        </w:rPr>
        <w:t>地址：陕西省西安市碑林区张家村街道含光北路177号含光大厦401</w:t>
      </w:r>
    </w:p>
    <w:p>
      <w:pPr>
        <w:pStyle w:val="null3"/>
      </w:pPr>
      <w:r>
        <w:rPr>
          <w:rFonts w:ascii="仿宋_GB2312" w:hAnsi="仿宋_GB2312" w:cs="仿宋_GB2312" w:eastAsia="仿宋_GB2312"/>
        </w:rPr>
        <w:t>邮编：710054</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根据陕西省下达我市碳排放双控指标，紧扣《碳达峰碳中和综合评价考核办法》要求，构建碳排放双控指标体系，研究确定我市“十五五”期间5项控制指标（碳排放总量、碳排放强度降低、煤炭消费总量、石油消费总量、非化石能源消费占比）和9项支撑指标（单位地区生产总值能源消耗降低、年度新增用电量中新增清洁能源电量占比、规模以上工业单位增加值能耗和碳排放降低等），确保目标可量化、可监测，能够有效支撑年度评价考核。 以完成省级下达的碳排放强度目标为导向，通过对全市基础碳排放、重点碳排放和新增碳排放量的摸底和测算分析，展望3类碳排放的五年趋势和年度进度，研究确定全市碳排放总量（增量）五年总目标、五年分项目标以及年度目标，并将碳预算指标细化到具体行业领域、重点企业等执行层面，明确全市各行业领域管理部门、重点企业的具体落实目标和任务，编制形成《西安市“十五五”碳排放预算方案》。</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西安市碳排放双控制度体系建设</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西安市十五五碳排放预算方案编制</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标的名称：西安市碳排放双控制度体系建设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一、项目概况</w:t>
            </w:r>
          </w:p>
          <w:p>
            <w:pPr>
              <w:pStyle w:val="null3"/>
              <w:ind w:firstLine="560"/>
              <w:jc w:val="both"/>
            </w:pPr>
            <w:r>
              <w:rPr>
                <w:rFonts w:ascii="仿宋_GB2312" w:hAnsi="仿宋_GB2312" w:cs="仿宋_GB2312" w:eastAsia="仿宋_GB2312"/>
                <w:sz w:val="21"/>
              </w:rPr>
              <w:t>根据陕西省下达我市碳排放双控指标，紧扣《碳达峰碳中和综合评价考核办法》要求</w:t>
            </w:r>
            <w:r>
              <w:rPr>
                <w:rFonts w:ascii="仿宋_GB2312" w:hAnsi="仿宋_GB2312" w:cs="仿宋_GB2312" w:eastAsia="仿宋_GB2312"/>
                <w:sz w:val="21"/>
                <w:color w:val="000000"/>
              </w:rPr>
              <w:t>，构建碳排放双控指标体系，研究确定我市“十五五”期间5项控制指标（碳排放总量、碳排放强度降低、煤炭消费总量、石油消费总量、非化石能源消费占比）和9项支撑指标（单位地区生产总值能源消耗降低、年度新增用电量中新增清洁能源电量占比、规模以上工业单位增加值能耗和碳排放降低等）</w:t>
            </w:r>
            <w:r>
              <w:rPr>
                <w:rFonts w:ascii="仿宋_GB2312" w:hAnsi="仿宋_GB2312" w:cs="仿宋_GB2312" w:eastAsia="仿宋_GB2312"/>
                <w:sz w:val="21"/>
              </w:rPr>
              <w:t>，确保目标可量化、可监测，能够有效支撑年度评价考核。</w:t>
            </w:r>
          </w:p>
          <w:p>
            <w:pPr>
              <w:pStyle w:val="null3"/>
            </w:pP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b/>
              </w:rPr>
              <w:t>二、服务内容（包括工作区域、工作内容等）</w:t>
            </w:r>
          </w:p>
          <w:p>
            <w:pPr>
              <w:pStyle w:val="null3"/>
              <w:ind w:firstLine="560"/>
              <w:jc w:val="both"/>
            </w:pPr>
            <w:r>
              <w:rPr>
                <w:rFonts w:ascii="仿宋_GB2312" w:hAnsi="仿宋_GB2312" w:cs="仿宋_GB2312" w:eastAsia="仿宋_GB2312"/>
                <w:sz w:val="21"/>
              </w:rPr>
              <w:t>1.紧扣《碳达峰碳中和综合评价考核办法》，对标衔接省上确定的“5+9+N”考核指标体系，研究确定西安市“十五五”碳排放双控各项指标，构建我市碳排放双控指标体系。</w:t>
            </w:r>
          </w:p>
          <w:p>
            <w:pPr>
              <w:pStyle w:val="null3"/>
              <w:ind w:firstLine="560"/>
              <w:jc w:val="left"/>
            </w:pPr>
            <w:r>
              <w:rPr>
                <w:rFonts w:ascii="仿宋_GB2312" w:hAnsi="仿宋_GB2312" w:cs="仿宋_GB2312" w:eastAsia="仿宋_GB2312"/>
                <w:sz w:val="21"/>
              </w:rPr>
              <w:t>2.结合我市产业特征、资源禀赋，分析双碳考核政策背景下，对西安市产业发展、产业布局的影响。按照国家、省上出台的碳达峰行动方案，形成我市落实举措。</w:t>
            </w:r>
          </w:p>
          <w:p>
            <w:pPr>
              <w:pStyle w:val="null3"/>
              <w:ind w:firstLine="560"/>
              <w:jc w:val="left"/>
            </w:pPr>
            <w:r>
              <w:rPr>
                <w:rFonts w:ascii="仿宋_GB2312" w:hAnsi="仿宋_GB2312" w:cs="仿宋_GB2312" w:eastAsia="仿宋_GB2312"/>
                <w:sz w:val="21"/>
              </w:rPr>
              <w:t>3.按照省上有关</w:t>
            </w:r>
            <w:r>
              <w:rPr>
                <w:rFonts w:ascii="仿宋_GB2312" w:hAnsi="仿宋_GB2312" w:cs="仿宋_GB2312" w:eastAsia="仿宋_GB2312"/>
                <w:sz w:val="21"/>
                <w:color w:val="000000"/>
              </w:rPr>
              <w:t>碳达峰碳中和综合评价考核的有关要求，</w:t>
            </w:r>
            <w:r>
              <w:rPr>
                <w:rFonts w:ascii="仿宋_GB2312" w:hAnsi="仿宋_GB2312" w:cs="仿宋_GB2312" w:eastAsia="仿宋_GB2312"/>
                <w:sz w:val="21"/>
              </w:rPr>
              <w:t>形成</w:t>
            </w:r>
            <w:r>
              <w:rPr>
                <w:rFonts w:ascii="仿宋_GB2312" w:hAnsi="仿宋_GB2312" w:cs="仿宋_GB2312" w:eastAsia="仿宋_GB2312"/>
                <w:sz w:val="21"/>
                <w:color w:val="000000"/>
              </w:rPr>
              <w:t>我市碳达峰碳中和综合评价考核配套文件</w:t>
            </w:r>
            <w:r>
              <w:rPr>
                <w:rFonts w:ascii="仿宋_GB2312" w:hAnsi="仿宋_GB2312" w:cs="仿宋_GB2312" w:eastAsia="仿宋_GB2312"/>
                <w:sz w:val="21"/>
              </w:rPr>
              <w:t>。</w:t>
            </w:r>
          </w:p>
          <w:p>
            <w:pPr>
              <w:pStyle w:val="null3"/>
              <w:ind w:firstLine="560"/>
              <w:jc w:val="left"/>
            </w:pP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b/>
              </w:rPr>
              <w:t>三、服务要求（如对人员配置、专业设备、服务标准等）</w:t>
            </w:r>
          </w:p>
          <w:p>
            <w:pPr>
              <w:pStyle w:val="null3"/>
              <w:ind w:firstLine="400"/>
              <w:jc w:val="both"/>
            </w:pPr>
            <w:r>
              <w:rPr>
                <w:rFonts w:ascii="仿宋_GB2312" w:hAnsi="仿宋_GB2312" w:cs="仿宋_GB2312" w:eastAsia="仿宋_GB2312"/>
                <w:sz w:val="21"/>
              </w:rPr>
              <w:t>1.人员配置要求</w:t>
            </w:r>
          </w:p>
          <w:p>
            <w:pPr>
              <w:pStyle w:val="null3"/>
              <w:ind w:firstLine="400"/>
              <w:jc w:val="both"/>
            </w:pPr>
            <w:r>
              <w:rPr>
                <w:rFonts w:ascii="仿宋_GB2312" w:hAnsi="仿宋_GB2312" w:cs="仿宋_GB2312" w:eastAsia="仿宋_GB2312"/>
                <w:sz w:val="21"/>
              </w:rPr>
              <w:t>响应供应商应满足国家相关法律法规要求，配备具有相关专业的技术人员。</w:t>
            </w:r>
          </w:p>
          <w:p>
            <w:pPr>
              <w:pStyle w:val="null3"/>
              <w:ind w:firstLine="400"/>
              <w:jc w:val="both"/>
            </w:pPr>
            <w:r>
              <w:rPr>
                <w:rFonts w:ascii="仿宋_GB2312" w:hAnsi="仿宋_GB2312" w:cs="仿宋_GB2312" w:eastAsia="仿宋_GB2312"/>
                <w:sz w:val="21"/>
              </w:rPr>
              <w:t>2.专业设备要求</w:t>
            </w:r>
          </w:p>
          <w:p>
            <w:pPr>
              <w:pStyle w:val="null3"/>
              <w:ind w:firstLine="400"/>
              <w:jc w:val="both"/>
            </w:pPr>
            <w:r>
              <w:rPr>
                <w:rFonts w:ascii="仿宋_GB2312" w:hAnsi="仿宋_GB2312" w:cs="仿宋_GB2312" w:eastAsia="仿宋_GB2312"/>
                <w:sz w:val="21"/>
              </w:rPr>
              <w:t>响应供应商需配备满足本项目服务所必需的设备和专业技术能力。</w:t>
            </w:r>
          </w:p>
          <w:p>
            <w:pPr>
              <w:pStyle w:val="null3"/>
              <w:ind w:firstLine="400"/>
              <w:jc w:val="both"/>
            </w:pPr>
            <w:r>
              <w:rPr>
                <w:rFonts w:ascii="仿宋_GB2312" w:hAnsi="仿宋_GB2312" w:cs="仿宋_GB2312" w:eastAsia="仿宋_GB2312"/>
                <w:sz w:val="21"/>
              </w:rPr>
              <w:t>3.服务标准</w:t>
            </w:r>
          </w:p>
          <w:p>
            <w:pPr>
              <w:pStyle w:val="null3"/>
              <w:ind w:firstLine="400"/>
              <w:jc w:val="both"/>
            </w:pPr>
            <w:r>
              <w:rPr>
                <w:rFonts w:ascii="仿宋_GB2312" w:hAnsi="仿宋_GB2312" w:cs="仿宋_GB2312" w:eastAsia="仿宋_GB2312"/>
                <w:sz w:val="21"/>
              </w:rPr>
              <w:t>（1）构建我市碳排放双控指标体系。</w:t>
            </w:r>
          </w:p>
          <w:p>
            <w:pPr>
              <w:pStyle w:val="null3"/>
              <w:ind w:firstLine="400"/>
              <w:jc w:val="both"/>
            </w:pPr>
            <w:r>
              <w:rPr>
                <w:rFonts w:ascii="仿宋_GB2312" w:hAnsi="仿宋_GB2312" w:cs="仿宋_GB2312" w:eastAsia="仿宋_GB2312"/>
                <w:sz w:val="21"/>
              </w:rPr>
              <w:t>（2）明确我市碳达峰落实举措。</w:t>
            </w:r>
          </w:p>
          <w:p>
            <w:pPr>
              <w:pStyle w:val="null3"/>
              <w:ind w:firstLine="400"/>
              <w:jc w:val="both"/>
            </w:pPr>
            <w:r>
              <w:rPr>
                <w:rFonts w:ascii="仿宋_GB2312" w:hAnsi="仿宋_GB2312" w:cs="仿宋_GB2312" w:eastAsia="仿宋_GB2312"/>
                <w:sz w:val="21"/>
              </w:rPr>
              <w:t>（3）形成我市碳达峰碳中和综合评价考核配套文件。</w:t>
            </w:r>
          </w:p>
          <w:p>
            <w:pPr>
              <w:pStyle w:val="null3"/>
              <w:ind w:firstLine="400"/>
              <w:jc w:val="both"/>
            </w:pPr>
            <w:r>
              <w:rPr>
                <w:rFonts w:ascii="仿宋_GB2312" w:hAnsi="仿宋_GB2312" w:cs="仿宋_GB2312" w:eastAsia="仿宋_GB2312"/>
                <w:sz w:val="21"/>
              </w:rPr>
              <w:t>4.服务执行要求</w:t>
            </w:r>
          </w:p>
          <w:p>
            <w:pPr>
              <w:pStyle w:val="null3"/>
              <w:ind w:firstLine="400"/>
              <w:jc w:val="both"/>
            </w:pPr>
            <w:r>
              <w:rPr>
                <w:rFonts w:ascii="仿宋_GB2312" w:hAnsi="仿宋_GB2312" w:cs="仿宋_GB2312" w:eastAsia="仿宋_GB2312"/>
                <w:sz w:val="21"/>
              </w:rPr>
              <w:t>严格按照采购人工作部署及时间节点推进各项工作。主动接受采购人日常监督、检查与考核，及时响应采购人工作调整要求，按时完成采购文件要求的相关内容。</w:t>
            </w:r>
          </w:p>
          <w:p>
            <w:pPr>
              <w:pStyle w:val="null3"/>
              <w:ind w:firstLine="400"/>
              <w:jc w:val="both"/>
            </w:pPr>
            <w:r>
              <w:rPr>
                <w:rFonts w:ascii="仿宋_GB2312" w:hAnsi="仿宋_GB2312" w:cs="仿宋_GB2312" w:eastAsia="仿宋_GB2312"/>
                <w:sz w:val="21"/>
              </w:rPr>
              <w:t>5.成果交付要求</w:t>
            </w:r>
          </w:p>
          <w:p>
            <w:pPr>
              <w:pStyle w:val="null3"/>
              <w:ind w:firstLine="560"/>
              <w:jc w:val="both"/>
            </w:pPr>
            <w:r>
              <w:rPr>
                <w:rFonts w:ascii="仿宋_GB2312" w:hAnsi="仿宋_GB2312" w:cs="仿宋_GB2312" w:eastAsia="仿宋_GB2312"/>
                <w:sz w:val="21"/>
              </w:rPr>
              <w:t>构建西安市碳排放双控指标体系，形成我市碳达峰碳中和综合评价考核配套文件。</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b/>
                <w:color w:val="000000"/>
              </w:rPr>
              <w:t>四、商务要求（如服务期限、款项结算等）</w:t>
            </w:r>
          </w:p>
          <w:p>
            <w:pPr>
              <w:pStyle w:val="null3"/>
              <w:ind w:firstLine="400"/>
              <w:jc w:val="both"/>
            </w:pPr>
            <w:r>
              <w:rPr>
                <w:rFonts w:ascii="仿宋_GB2312" w:hAnsi="仿宋_GB2312" w:cs="仿宋_GB2312" w:eastAsia="仿宋_GB2312"/>
                <w:sz w:val="21"/>
              </w:rPr>
              <w:t>1.服务期限</w:t>
            </w:r>
          </w:p>
          <w:p>
            <w:pPr>
              <w:pStyle w:val="null3"/>
              <w:ind w:firstLine="400"/>
              <w:jc w:val="both"/>
            </w:pPr>
            <w:r>
              <w:rPr>
                <w:rFonts w:ascii="仿宋_GB2312" w:hAnsi="仿宋_GB2312" w:cs="仿宋_GB2312" w:eastAsia="仿宋_GB2312"/>
                <w:sz w:val="21"/>
              </w:rPr>
              <w:t>自合同签订之日起至2026年12月底。</w:t>
            </w:r>
          </w:p>
          <w:p>
            <w:pPr>
              <w:pStyle w:val="null3"/>
              <w:ind w:firstLine="400"/>
              <w:jc w:val="both"/>
            </w:pPr>
            <w:r>
              <w:rPr>
                <w:rFonts w:ascii="仿宋_GB2312" w:hAnsi="仿宋_GB2312" w:cs="仿宋_GB2312" w:eastAsia="仿宋_GB2312"/>
                <w:sz w:val="21"/>
              </w:rPr>
              <w:t>2.服务地点</w:t>
            </w:r>
          </w:p>
          <w:p>
            <w:pPr>
              <w:pStyle w:val="null3"/>
              <w:ind w:firstLine="400"/>
              <w:jc w:val="both"/>
            </w:pPr>
            <w:r>
              <w:rPr>
                <w:rFonts w:ascii="仿宋_GB2312" w:hAnsi="仿宋_GB2312" w:cs="仿宋_GB2312" w:eastAsia="仿宋_GB2312"/>
                <w:sz w:val="21"/>
              </w:rPr>
              <w:t>采购人指定地点。</w:t>
            </w:r>
          </w:p>
          <w:p>
            <w:pPr>
              <w:pStyle w:val="null3"/>
              <w:ind w:firstLine="400"/>
              <w:jc w:val="both"/>
            </w:pPr>
            <w:r>
              <w:rPr>
                <w:rFonts w:ascii="仿宋_GB2312" w:hAnsi="仿宋_GB2312" w:cs="仿宋_GB2312" w:eastAsia="仿宋_GB2312"/>
                <w:sz w:val="21"/>
              </w:rPr>
              <w:t>3.验收标准</w:t>
            </w:r>
          </w:p>
          <w:p>
            <w:pPr>
              <w:pStyle w:val="null3"/>
              <w:ind w:firstLine="400"/>
              <w:jc w:val="both"/>
            </w:pPr>
            <w:r>
              <w:rPr>
                <w:rFonts w:ascii="仿宋_GB2312" w:hAnsi="仿宋_GB2312" w:cs="仿宋_GB2312" w:eastAsia="仿宋_GB2312"/>
                <w:sz w:val="21"/>
              </w:rPr>
              <w:t>符合国家《加快构建碳排放双控制度体系工作方案》、《碳达峰碳中和综合评价考核办法》要求，符合陕西、西安本地实际，数据来源可靠，结果科学、可验证。</w:t>
            </w:r>
          </w:p>
          <w:p>
            <w:pPr>
              <w:pStyle w:val="null3"/>
              <w:ind w:firstLine="400"/>
              <w:jc w:val="both"/>
            </w:pPr>
            <w:r>
              <w:rPr>
                <w:rFonts w:ascii="仿宋_GB2312" w:hAnsi="仿宋_GB2312" w:cs="仿宋_GB2312" w:eastAsia="仿宋_GB2312"/>
                <w:sz w:val="21"/>
              </w:rPr>
              <w:t>4.付款方式</w:t>
            </w:r>
          </w:p>
          <w:p>
            <w:pPr>
              <w:pStyle w:val="null3"/>
              <w:ind w:firstLine="400"/>
              <w:jc w:val="both"/>
            </w:pPr>
            <w:r>
              <w:rPr>
                <w:rFonts w:ascii="仿宋_GB2312" w:hAnsi="仿宋_GB2312" w:cs="仿宋_GB2312" w:eastAsia="仿宋_GB2312"/>
                <w:sz w:val="21"/>
              </w:rPr>
              <w:t>本项目为固定总价合同，按照供应商服务进度进行分期付款。</w:t>
            </w:r>
          </w:p>
          <w:p>
            <w:pPr>
              <w:pStyle w:val="null3"/>
              <w:ind w:firstLine="400"/>
              <w:jc w:val="both"/>
            </w:pPr>
            <w:r>
              <w:rPr>
                <w:rFonts w:ascii="仿宋_GB2312" w:hAnsi="仿宋_GB2312" w:cs="仿宋_GB2312" w:eastAsia="仿宋_GB2312"/>
                <w:sz w:val="21"/>
              </w:rPr>
              <w:t>5.款项结算</w:t>
            </w:r>
          </w:p>
          <w:p>
            <w:pPr>
              <w:pStyle w:val="null3"/>
              <w:ind w:firstLine="400"/>
              <w:jc w:val="both"/>
            </w:pPr>
            <w:r>
              <w:rPr>
                <w:rFonts w:ascii="仿宋_GB2312" w:hAnsi="仿宋_GB2312" w:cs="仿宋_GB2312" w:eastAsia="仿宋_GB2312"/>
                <w:sz w:val="21"/>
              </w:rPr>
              <w:t>（1）合同签订后，15日内，支付合同总金额的40%。</w:t>
            </w:r>
          </w:p>
          <w:p>
            <w:pPr>
              <w:pStyle w:val="null3"/>
              <w:ind w:firstLine="400"/>
              <w:jc w:val="both"/>
            </w:pPr>
            <w:r>
              <w:rPr>
                <w:rFonts w:ascii="仿宋_GB2312" w:hAnsi="仿宋_GB2312" w:cs="仿宋_GB2312" w:eastAsia="仿宋_GB2312"/>
                <w:sz w:val="21"/>
              </w:rPr>
              <w:t>（2）乙方完成所有服务内容，经甲方验收合格后15日内，支付合同总金额的60%。</w:t>
            </w:r>
          </w:p>
          <w:p>
            <w:pPr>
              <w:pStyle w:val="null3"/>
              <w:ind w:firstLine="400"/>
              <w:jc w:val="both"/>
            </w:pPr>
            <w:r>
              <w:rPr>
                <w:rFonts w:ascii="仿宋_GB2312" w:hAnsi="仿宋_GB2312" w:cs="仿宋_GB2312" w:eastAsia="仿宋_GB2312"/>
                <w:sz w:val="21"/>
              </w:rPr>
              <w:t>6.考核与履约要求</w:t>
            </w:r>
          </w:p>
          <w:p>
            <w:pPr>
              <w:pStyle w:val="null3"/>
            </w:pPr>
            <w:r>
              <w:rPr>
                <w:rFonts w:ascii="仿宋_GB2312" w:hAnsi="仿宋_GB2312" w:cs="仿宋_GB2312" w:eastAsia="仿宋_GB2312"/>
                <w:sz w:val="21"/>
                <w:color w:val="000000"/>
              </w:rPr>
              <w:t xml:space="preserve">  服务期间，采购人对供应商服务质量、工作进度、响应效率、进行常态化考核，若供应商未按要求履约、服务质量不达标、出现内容错误、逾期交付等问题，采购人有权要求限期整改，整改不到位的，有权依据合同约定追究违约责任。</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标的名称：西安市十五五碳排放预算方案编制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一、项目概况</w:t>
            </w:r>
          </w:p>
          <w:p>
            <w:pPr>
              <w:pStyle w:val="null3"/>
            </w:pPr>
            <w:r>
              <w:rPr>
                <w:rFonts w:ascii="仿宋_GB2312" w:hAnsi="仿宋_GB2312" w:cs="仿宋_GB2312" w:eastAsia="仿宋_GB2312"/>
                <w:sz w:val="21"/>
              </w:rPr>
              <w:t xml:space="preserve">   以完成省级下达的碳排放强度目标为导向，通过对全市基础碳排放、重点碳排放和新增碳排放量的摸底和测算分析，展望3类碳排放的五年趋势和年度进度，研究确定全市碳排放总量（增量）五年总目标、五年分项目标以及年度目标，并将碳预算指标细化到具体行业领域、重点企业等执行层面，明确全市各行业领域管理部门、重点企业的具体落实目标和任务，编制形成《西安市“十五五”碳排放预算方案》。</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b/>
              </w:rPr>
              <w:t>二、服务内容（包括工作区域、工作内容等）</w:t>
            </w:r>
          </w:p>
          <w:p>
            <w:pPr>
              <w:pStyle w:val="null3"/>
              <w:ind w:firstLine="560"/>
              <w:jc w:val="both"/>
            </w:pPr>
            <w:r>
              <w:rPr>
                <w:rFonts w:ascii="仿宋_GB2312" w:hAnsi="仿宋_GB2312" w:cs="仿宋_GB2312" w:eastAsia="仿宋_GB2312"/>
                <w:sz w:val="21"/>
              </w:rPr>
              <w:t>1.摸底测算2025年度全市碳排放基数，包括核定基础碳排放（一产、居民和其他民生领域）、重点碳排放（工业生产、能源供应行业）、新增碳排放（新建项目）基数，并对3类排放的五年趋势进行分析。</w:t>
            </w:r>
          </w:p>
          <w:p>
            <w:pPr>
              <w:pStyle w:val="null3"/>
              <w:ind w:firstLine="560"/>
              <w:jc w:val="both"/>
            </w:pPr>
            <w:r>
              <w:rPr>
                <w:rFonts w:ascii="仿宋_GB2312" w:hAnsi="仿宋_GB2312" w:cs="仿宋_GB2312" w:eastAsia="仿宋_GB2312"/>
                <w:sz w:val="21"/>
              </w:rPr>
              <w:t>2.核定全市“十五五”碳排放预算总体目标，以完成省上下达的碳排放强度降低目标为驱动，结合预期经济增速，测算核定全市“十五五”规划期的碳排放总量（增量）目标和年度目标。</w:t>
            </w:r>
          </w:p>
          <w:p>
            <w:pPr>
              <w:pStyle w:val="null3"/>
              <w:ind w:firstLine="560"/>
              <w:jc w:val="both"/>
            </w:pPr>
            <w:r>
              <w:rPr>
                <w:rFonts w:ascii="仿宋_GB2312" w:hAnsi="仿宋_GB2312" w:cs="仿宋_GB2312" w:eastAsia="仿宋_GB2312"/>
                <w:sz w:val="21"/>
              </w:rPr>
              <w:t>3.综合各领域减排潜力与发展需求，将碳预算指标分解到具体领域、以及重点用能和碳排放单位，形成“十五五”时期逐年逐项碳排放预算。</w:t>
            </w:r>
          </w:p>
          <w:p>
            <w:pPr>
              <w:pStyle w:val="null3"/>
              <w:ind w:firstLine="560"/>
              <w:jc w:val="both"/>
            </w:pPr>
            <w:r>
              <w:rPr>
                <w:rFonts w:ascii="仿宋_GB2312" w:hAnsi="仿宋_GB2312" w:cs="仿宋_GB2312" w:eastAsia="仿宋_GB2312"/>
                <w:sz w:val="21"/>
              </w:rPr>
              <w:t>4.研究提出碳排放预算管理重点任务，基于“十五五”时期逐年逐项碳排放预算目标，研究提出全市碳排放预算管理重点任务，进一步明确行业领域主管部门、各县（市）、重点企业具体管控责任和落实要求。</w:t>
            </w:r>
          </w:p>
          <w:p>
            <w:pPr>
              <w:pStyle w:val="null3"/>
            </w:pP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b/>
              </w:rPr>
              <w:t>三、服务要求（如对人员配置、专业设备、服务标准等）</w:t>
            </w:r>
          </w:p>
          <w:p>
            <w:pPr>
              <w:pStyle w:val="null3"/>
              <w:ind w:firstLine="560"/>
              <w:jc w:val="both"/>
            </w:pPr>
            <w:r>
              <w:rPr>
                <w:rFonts w:ascii="仿宋_GB2312" w:hAnsi="仿宋_GB2312" w:cs="仿宋_GB2312" w:eastAsia="仿宋_GB2312"/>
                <w:sz w:val="21"/>
              </w:rPr>
              <w:t>1.人员配置要求</w:t>
            </w:r>
          </w:p>
          <w:p>
            <w:pPr>
              <w:pStyle w:val="null3"/>
              <w:ind w:firstLine="560"/>
              <w:jc w:val="both"/>
            </w:pPr>
            <w:r>
              <w:rPr>
                <w:rFonts w:ascii="仿宋_GB2312" w:hAnsi="仿宋_GB2312" w:cs="仿宋_GB2312" w:eastAsia="仿宋_GB2312"/>
                <w:sz w:val="21"/>
              </w:rPr>
              <w:t>响应供应商应满足国家相关法律法规要求，配备具有相关专业的技术人员。</w:t>
            </w:r>
          </w:p>
          <w:p>
            <w:pPr>
              <w:pStyle w:val="null3"/>
              <w:ind w:firstLine="560"/>
              <w:jc w:val="both"/>
            </w:pPr>
            <w:r>
              <w:rPr>
                <w:rFonts w:ascii="仿宋_GB2312" w:hAnsi="仿宋_GB2312" w:cs="仿宋_GB2312" w:eastAsia="仿宋_GB2312"/>
                <w:sz w:val="21"/>
              </w:rPr>
              <w:t>2.专业设备要求</w:t>
            </w:r>
          </w:p>
          <w:p>
            <w:pPr>
              <w:pStyle w:val="null3"/>
              <w:ind w:firstLine="560"/>
              <w:jc w:val="both"/>
            </w:pPr>
            <w:r>
              <w:rPr>
                <w:rFonts w:ascii="仿宋_GB2312" w:hAnsi="仿宋_GB2312" w:cs="仿宋_GB2312" w:eastAsia="仿宋_GB2312"/>
                <w:sz w:val="21"/>
              </w:rPr>
              <w:t>响应供应商需配备满足本项目服务所必需的设备和专业技术能力。</w:t>
            </w:r>
          </w:p>
          <w:p>
            <w:pPr>
              <w:pStyle w:val="null3"/>
              <w:ind w:firstLine="560"/>
              <w:jc w:val="both"/>
            </w:pPr>
            <w:r>
              <w:rPr>
                <w:rFonts w:ascii="仿宋_GB2312" w:hAnsi="仿宋_GB2312" w:cs="仿宋_GB2312" w:eastAsia="仿宋_GB2312"/>
                <w:sz w:val="21"/>
              </w:rPr>
              <w:t>3.服务标准</w:t>
            </w:r>
          </w:p>
          <w:p>
            <w:pPr>
              <w:pStyle w:val="null3"/>
              <w:ind w:firstLine="560"/>
              <w:jc w:val="left"/>
            </w:pPr>
            <w:r>
              <w:rPr>
                <w:rFonts w:ascii="仿宋_GB2312" w:hAnsi="仿宋_GB2312" w:cs="仿宋_GB2312" w:eastAsia="仿宋_GB2312"/>
                <w:sz w:val="21"/>
              </w:rPr>
              <w:t>（1）科学合理预测“十五五”期间西安市基础碳排放、重点碳排放、新增碳排放3类排放趋势。</w:t>
            </w:r>
          </w:p>
          <w:p>
            <w:pPr>
              <w:pStyle w:val="null3"/>
              <w:ind w:firstLine="560"/>
              <w:jc w:val="left"/>
            </w:pPr>
            <w:r>
              <w:rPr>
                <w:rFonts w:ascii="仿宋_GB2312" w:hAnsi="仿宋_GB2312" w:cs="仿宋_GB2312" w:eastAsia="仿宋_GB2312"/>
                <w:sz w:val="21"/>
              </w:rPr>
              <w:t>（2）将预算目标合理分解到重点行业领域，提出各重点领域、重点行业碳排放预算目标，及各行业领域碳预算管理重点任务和责任分工。</w:t>
            </w:r>
          </w:p>
          <w:p>
            <w:pPr>
              <w:pStyle w:val="null3"/>
              <w:ind w:firstLine="560"/>
              <w:jc w:val="left"/>
            </w:pPr>
            <w:r>
              <w:rPr>
                <w:rFonts w:ascii="仿宋_GB2312" w:hAnsi="仿宋_GB2312" w:cs="仿宋_GB2312" w:eastAsia="仿宋_GB2312"/>
                <w:sz w:val="21"/>
              </w:rPr>
              <w:t>（3）确定全市重点用能和碳排放单位的碳预算基准值以及“十五五”碳预算指标。</w:t>
            </w:r>
          </w:p>
          <w:p>
            <w:pPr>
              <w:pStyle w:val="null3"/>
              <w:ind w:firstLine="560"/>
              <w:jc w:val="left"/>
            </w:pPr>
            <w:r>
              <w:rPr>
                <w:rFonts w:ascii="仿宋_GB2312" w:hAnsi="仿宋_GB2312" w:cs="仿宋_GB2312" w:eastAsia="仿宋_GB2312"/>
                <w:sz w:val="21"/>
              </w:rPr>
              <w:t>（4）编制形成《西安市“十五五”碳排放预算方案》。</w:t>
            </w:r>
          </w:p>
          <w:p>
            <w:pPr>
              <w:pStyle w:val="null3"/>
              <w:ind w:firstLine="560"/>
              <w:jc w:val="both"/>
            </w:pPr>
            <w:r>
              <w:rPr>
                <w:rFonts w:ascii="仿宋_GB2312" w:hAnsi="仿宋_GB2312" w:cs="仿宋_GB2312" w:eastAsia="仿宋_GB2312"/>
                <w:sz w:val="21"/>
              </w:rPr>
              <w:t>4.服务执行要求</w:t>
            </w:r>
          </w:p>
          <w:p>
            <w:pPr>
              <w:pStyle w:val="null3"/>
              <w:ind w:firstLine="560"/>
              <w:jc w:val="both"/>
            </w:pPr>
            <w:r>
              <w:rPr>
                <w:rFonts w:ascii="仿宋_GB2312" w:hAnsi="仿宋_GB2312" w:cs="仿宋_GB2312" w:eastAsia="仿宋_GB2312"/>
                <w:sz w:val="21"/>
              </w:rPr>
              <w:t>严格按照采购人工作部署及时间节点推进各项工作。主动接受采购人日常监督、检查与考核，及时响应采购人工作调整要求，按时采购文件要求的相关内容。</w:t>
            </w:r>
          </w:p>
          <w:p>
            <w:pPr>
              <w:pStyle w:val="null3"/>
              <w:ind w:firstLine="560"/>
              <w:jc w:val="both"/>
            </w:pPr>
            <w:r>
              <w:rPr>
                <w:rFonts w:ascii="仿宋_GB2312" w:hAnsi="仿宋_GB2312" w:cs="仿宋_GB2312" w:eastAsia="仿宋_GB2312"/>
                <w:sz w:val="21"/>
              </w:rPr>
              <w:t>5.成果交付要求</w:t>
            </w:r>
          </w:p>
          <w:p>
            <w:pPr>
              <w:pStyle w:val="null3"/>
              <w:ind w:firstLine="560"/>
              <w:jc w:val="left"/>
            </w:pPr>
            <w:r>
              <w:rPr>
                <w:rFonts w:ascii="仿宋_GB2312" w:hAnsi="仿宋_GB2312" w:cs="仿宋_GB2312" w:eastAsia="仿宋_GB2312"/>
                <w:sz w:val="21"/>
              </w:rPr>
              <w:t>完成《西安市“十五五”碳排放预算方案》，提出“十五五”时期逐年逐项碳排放预算目标和重点任务，将碳预算指标分解到具体领域、重点用能和碳排放单位，提出全市碳排放预算管理重点任务。</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b/>
              </w:rPr>
              <w:t>四、商务要求（如服务期限、款项结算等）</w:t>
            </w:r>
          </w:p>
          <w:p>
            <w:pPr>
              <w:pStyle w:val="null3"/>
              <w:ind w:firstLine="560"/>
              <w:jc w:val="both"/>
            </w:pPr>
            <w:r>
              <w:rPr>
                <w:rFonts w:ascii="仿宋_GB2312" w:hAnsi="仿宋_GB2312" w:cs="仿宋_GB2312" w:eastAsia="仿宋_GB2312"/>
                <w:sz w:val="21"/>
              </w:rPr>
              <w:t>1.服务期限</w:t>
            </w:r>
          </w:p>
          <w:p>
            <w:pPr>
              <w:pStyle w:val="null3"/>
              <w:ind w:firstLine="560"/>
              <w:jc w:val="both"/>
            </w:pPr>
            <w:r>
              <w:rPr>
                <w:rFonts w:ascii="仿宋_GB2312" w:hAnsi="仿宋_GB2312" w:cs="仿宋_GB2312" w:eastAsia="仿宋_GB2312"/>
                <w:sz w:val="21"/>
              </w:rPr>
              <w:t>自合同签订之日起至2026年12月底。</w:t>
            </w:r>
          </w:p>
          <w:p>
            <w:pPr>
              <w:pStyle w:val="null3"/>
              <w:ind w:firstLine="560"/>
              <w:jc w:val="both"/>
            </w:pPr>
            <w:r>
              <w:rPr>
                <w:rFonts w:ascii="仿宋_GB2312" w:hAnsi="仿宋_GB2312" w:cs="仿宋_GB2312" w:eastAsia="仿宋_GB2312"/>
                <w:sz w:val="21"/>
              </w:rPr>
              <w:t>2.服务地点</w:t>
            </w:r>
          </w:p>
          <w:p>
            <w:pPr>
              <w:pStyle w:val="null3"/>
              <w:ind w:firstLine="560"/>
              <w:jc w:val="both"/>
            </w:pPr>
            <w:r>
              <w:rPr>
                <w:rFonts w:ascii="仿宋_GB2312" w:hAnsi="仿宋_GB2312" w:cs="仿宋_GB2312" w:eastAsia="仿宋_GB2312"/>
                <w:sz w:val="21"/>
              </w:rPr>
              <w:t>采购人指定地点。</w:t>
            </w:r>
          </w:p>
          <w:p>
            <w:pPr>
              <w:pStyle w:val="null3"/>
              <w:ind w:firstLine="560"/>
              <w:jc w:val="both"/>
            </w:pPr>
            <w:r>
              <w:rPr>
                <w:rFonts w:ascii="仿宋_GB2312" w:hAnsi="仿宋_GB2312" w:cs="仿宋_GB2312" w:eastAsia="仿宋_GB2312"/>
                <w:sz w:val="21"/>
              </w:rPr>
              <w:t>3.验收标准</w:t>
            </w:r>
          </w:p>
          <w:p>
            <w:pPr>
              <w:pStyle w:val="null3"/>
              <w:ind w:firstLine="560"/>
              <w:jc w:val="left"/>
            </w:pPr>
            <w:r>
              <w:rPr>
                <w:rFonts w:ascii="仿宋_GB2312" w:hAnsi="仿宋_GB2312" w:cs="仿宋_GB2312" w:eastAsia="仿宋_GB2312"/>
                <w:sz w:val="21"/>
              </w:rPr>
              <w:t>符合国家发展改革委印发的《加快构建碳排放双控制度体系工作方案》和《碳排放预算编制指南（试行）》要求，符合陕西、西安本地实际，数据来源可靠，结果科学、可验证。</w:t>
            </w:r>
          </w:p>
          <w:p>
            <w:pPr>
              <w:pStyle w:val="null3"/>
              <w:ind w:firstLine="560"/>
              <w:jc w:val="both"/>
            </w:pPr>
            <w:r>
              <w:rPr>
                <w:rFonts w:ascii="仿宋_GB2312" w:hAnsi="仿宋_GB2312" w:cs="仿宋_GB2312" w:eastAsia="仿宋_GB2312"/>
                <w:sz w:val="21"/>
              </w:rPr>
              <w:t>4.付款方式</w:t>
            </w:r>
          </w:p>
          <w:p>
            <w:pPr>
              <w:pStyle w:val="null3"/>
              <w:ind w:firstLine="560"/>
              <w:jc w:val="both"/>
            </w:pPr>
            <w:r>
              <w:rPr>
                <w:rFonts w:ascii="仿宋_GB2312" w:hAnsi="仿宋_GB2312" w:cs="仿宋_GB2312" w:eastAsia="仿宋_GB2312"/>
                <w:sz w:val="21"/>
              </w:rPr>
              <w:t>本项目为固定总价合同，按照供应商服务进度进行分期付款。</w:t>
            </w:r>
          </w:p>
          <w:p>
            <w:pPr>
              <w:pStyle w:val="null3"/>
              <w:ind w:firstLine="560"/>
              <w:jc w:val="both"/>
            </w:pPr>
            <w:r>
              <w:rPr>
                <w:rFonts w:ascii="仿宋_GB2312" w:hAnsi="仿宋_GB2312" w:cs="仿宋_GB2312" w:eastAsia="仿宋_GB2312"/>
                <w:sz w:val="21"/>
              </w:rPr>
              <w:t>5.款项结算</w:t>
            </w:r>
          </w:p>
          <w:p>
            <w:pPr>
              <w:pStyle w:val="null3"/>
              <w:ind w:firstLine="560"/>
              <w:jc w:val="both"/>
            </w:pPr>
            <w:r>
              <w:rPr>
                <w:rFonts w:ascii="仿宋_GB2312" w:hAnsi="仿宋_GB2312" w:cs="仿宋_GB2312" w:eastAsia="仿宋_GB2312"/>
                <w:sz w:val="21"/>
              </w:rPr>
              <w:t>（1）合同签订后，15日内，支付合同总金额的40%。</w:t>
            </w:r>
          </w:p>
          <w:p>
            <w:pPr>
              <w:pStyle w:val="null3"/>
              <w:ind w:firstLine="560"/>
              <w:jc w:val="both"/>
            </w:pPr>
            <w:r>
              <w:rPr>
                <w:rFonts w:ascii="仿宋_GB2312" w:hAnsi="仿宋_GB2312" w:cs="仿宋_GB2312" w:eastAsia="仿宋_GB2312"/>
                <w:sz w:val="21"/>
              </w:rPr>
              <w:t>（2）乙方完成所有服务内容，经甲方验收合格后15日内，支付合同总金额的60%。</w:t>
            </w:r>
          </w:p>
          <w:p>
            <w:pPr>
              <w:pStyle w:val="null3"/>
              <w:ind w:firstLine="560"/>
              <w:jc w:val="both"/>
            </w:pPr>
            <w:r>
              <w:rPr>
                <w:rFonts w:ascii="仿宋_GB2312" w:hAnsi="仿宋_GB2312" w:cs="仿宋_GB2312" w:eastAsia="仿宋_GB2312"/>
                <w:sz w:val="21"/>
              </w:rPr>
              <w:t>6.考核与履约要求</w:t>
            </w:r>
          </w:p>
          <w:p>
            <w:pPr>
              <w:pStyle w:val="null3"/>
            </w:pPr>
            <w:r>
              <w:rPr>
                <w:rFonts w:ascii="仿宋_GB2312" w:hAnsi="仿宋_GB2312" w:cs="仿宋_GB2312" w:eastAsia="仿宋_GB2312"/>
                <w:sz w:val="21"/>
              </w:rPr>
              <w:t xml:space="preserve">   服务期间，采购人对供应商服务质量、工作进度、响应效率、进行常态化考核，若供应商未按要求履约、服务质量不达标、出现内容错误、逾期交付等问题，采购人有权要求限期整改，整改不到位的，有权依据合同约定追究违约责任。</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满足招标文件及采购人要求。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满足招标文件及采购人要求。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满足招标文件及采购人要求。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满足招标文件及采购人要求。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事业单位参与投标时，可不提供财务状况报告、社会保障资金和税收缴纳证明；依法免税或不需要缴纳社会保障资金的供应商，应提供相应证明文件，证明其依法免税或不需要缴纳社会保障资金；自然人（仅限中国公民）参与投标时，只须提供身份证复印件；2.本文件中"法定代表人"系指：(1)企业法人、事业单位法人、社会团体法人等具有独立法人资格的组织，为其营业执照或登记证书上载明的法定代表人；(2)分公司等不具备法人资格的分支机构，为其营业执照上载明的负责人；(3)个人独资企业，为其营业执照上载明的投资人；(4)合伙企业，为其营业执照上载明的执行事务合伙人（或委派代表）。3.（投标文件格式-标的清单）本项目服务范围：西安市碳排放双控制度体系建设和“十五五”碳排放预算方案编制（第一包）；服务要求：符合招标文件有关技术、商务要求；服务标准：符合国家及行业现行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事业单位参与投标时，可不提供财务状况报告、社会保障资金和税收缴纳证明；依法免税或不需要缴纳社会保障资金的供应商，应提供相应证明文件，证明其依法免税或不需要缴纳社会保障资金；自然人（仅限中国公民）参与投标时，只须提供身份证复印件；2.本文件中"法定代表人"系指：(1)企业法人、事业单位法人、社会团体法人等具有独立法人资格的组织，为其营业执照或登记证书上载明的法定代表人；(2)分公司等不具备法人资格的分支机构，为其营业执照上载明的负责人；(3)个人独资企业，为其营业执照上载明的投资人；(4)合伙企业，为其营业执照上载明的执行事务合伙人（或委派代表）。3.（投标文件格式-标的清单）本项目服务范围：西安市碳排放双控制度体系建设和“十五五”碳排放预算方案编制（第二包）；服务要求：符合招标文件有关技术、商务要求；服务标准：符合国家及行业现行标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自合同签订之日起至2026年12月底。</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单位应负责在项目验收前将项目过程中产生的全部资料整理归档，并提交至采购方。2、对整个项目的验收包括是否实现了采购人在响应文件中所要求的服务内容，是否与成交单位提出的解决方案完全一致。3、本项目的最终验收由采购人、成交单位共同进行。4、验收依据：合同文本及合同补充文件（条款）；竞争性磋商文件；竞争性磋商响应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成交单位应负责在项目验收前将项目过程中产生的全部资料整理归档，并提交至采购方。2、对整个项目的验收包括是否实现了采购人在响应文件中所要求的服务内容，是否与成交单位提出的解决方案完全一致。3、本项目的最终验收由采购人、成交单位共同进行。4、验收依据：合同文本及合同补充文件（条款）；竞争性磋商文件；竞争性磋商响应文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进度款，乙方完成所有服务内容，经甲方验收合格后，达到付款条件起15个工作日内，支付合同总金额的60.0%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进度款，乙方完成所有服务内容，经甲方验收合格后，达到付款条件起15个工作日内，支付合同总金额的60.0%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照《中华人民共和国民法典》中的相关条款执行。2、未按照合同要求提供服务或服务质量不能满足服务要求和标准，采购人有权终止合同，并对供方违约行为进行追究，同时按《中华人民共和国政府采购法》的有关规定进行处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照《中华人民共和国民法典》中的相关条款执行。2、未按照合同要求提供服务或服务质量不能满足服务要求和标准，采购人有权终止合同，并对供方违约行为进行追究，同时按《中华人民共和国政府采购法》的有关规定进行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因本项目时间紧、任务重，供应商可同时参加本项目多个标包的投标，但只能成交其中一个标包，本项目按照标包号顺序进行评审，已作为采购包1第一成交候选人的供应商可参与后续标包评审，但不再作为第一候选人推荐。2、为顺利推进政府采购电子化交易平台应用工作，投标人需要在线提交所有通过电子化交易平台实施的政府采购项目的投标文件，确定成交后，成交人须在成交结果公告发布后的3个工作日内提交纸质版投标文件正本壹份、副本贰份、电子版壹份(U盘)用于项目存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证明文件：（1）供应商是企业（包括合伙企业）的，应提供其在市场监督管理部门注册的有效“营业执照”的复印件；（2）供应商是事业单位的，应提供其有效的“事业单位法人证书”复印件；（3）供应商是非企业专业服务机构的，应提供其有效的“执业许可证 ”复印件；（4）供应商是民办非企业单位的，应提供其有效的登记证书复印件；（5）供应商是个体工商户的，应提供其有效的“营业执照”复印件；（6）供应商是自然人的，应提供其有效的自然人身份证明复印件。2、提供可满足履行合同所需设备和专业技术能力的证明材料或承诺。 3、提供响应文件递交截止时间前一年内至少一个月的纳税证明或完税证明，依法免税的单位应提供相关证明材料；时间以税款所属时期为准。 4、提供响应文件递交截止时间前一年内至少一个月的社会保障资金缴存单据或社保机构开具的社会保险参保缴费情况证明，依法不需要缴纳社会保障资金的单位应提供相关证明材料。 5、提供有效的参加政府采购活动前3年内在经营活动中没有重大违法记录的书面声明。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供应商应提交的相关资格证明材料.pdf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递交响应文件截止之日前两年内任意一个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原件扫描件或复印件，应满足以下要求：①资信证明须为递交响应文件截止时间前六个月内由供应商开户银行出具。②无论开具银行是否标明“复印无效”，供应商提供的复印件在本次投标中予以认可(即不因“复印无效”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供应商应提交的相关资格证明材料.pdf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证明文件：（1）供应商是企业（包括合伙企业）的，应提供其在市场监督管理部门注册的有效“营业执照”的复印件；（2）供应商是事业单位的，应提供其有效的“事业单位法人证书”复印件；（3）供应商是非企业专业服务机构的，应提供其有效的“执业许可证 ”复印件；（4）供应商是民办非企业单位的，应提供其有效的登记证书复印件；（5）供应商是个体工商户的，应提供其有效的“营业执照”复印件；（6）供应商是自然人的，应提供其有效的自然人身份证明复印件。 2、提供可满足履行合同所需设备和专业技术能力的证明材料或承诺。 3、提供响应文件递交截止时间前一年内至少一个月的纳税证明或完税证明，依法免税的单位应提供相关证明材料；时间以税款所属时期为准。 4、提供响应文件递交截止时间前一年内至少一个月的社会保障资金缴存单据或社保机构开具的社会保险参保缴费情况证明，依法不需要缴纳社会保障资金的单位应提供相关证明材料。 5、提供有效的参加政府采购活动前3年内在经营活动中没有重大违法记录的书面声明。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供应商应提交的相关资格证明材料.pdf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递交响应文件截止之日前两年内任意一个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原件扫描件或复印件，应满足以下要求：①资信证明须为递交响应文件截止时间前六个月内由供应商开户银行出具。②无论开具银行是否标明“复印无效”，供应商提供的复印件在本次投标中予以认可(即不因“复印无效”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供应商未被列入信用中国网站(www.creditchina.gov.cn)“重大税收违法失信主体”；未被列入中国执行信息公开网(https://zxgk.court.gov.cn)“失信被执行人”；不处于中国政府采购网(www.ccgp. gov.cn)“政府采购严重违法失信行为信息记录”中的禁止参加政府采购活动期间。</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法定代表人证明书或授权委托书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提供法定代表人授权书（附法定代表人、被授权人身份证复印件），法定代表人直接参加磋商，须提供法定代表人身份证明及身份证复印件）。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本项目不接受联合体投标，提供非联合体投标声明。</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供应商未被列入信用中国网站(www.creditchina.gov.cn)“重大税收违法失信主体”；未被列入中国执行信息公开网(https://zxgk.court.gov.cn)“失信被执行人”；不处于中国政府采购网(www.ccgp. gov.cn)“政府采购严重违法失信行为信息记录”中的禁止参加政府采购活动期间。</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法定代表人证明书或授权委托书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提供法定代表人授权书（附法定代表人、被授权人身份证复印件），法定代表人直接参加磋商，须提供法定代表人身份证明及身份证复印件）。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本项目不接受联合体投标，提供非联合体投标声明。</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应符合“竞争性磋商响应文件格式”要求。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应符合竞争性磋商响应文件要求。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报价唯一，磋商报价符合唯一性要求、响应报价表填写符合要求、报价货币符合磋商文件要求、报价数量与要求符合并未出现漏项、未超出采购预算和磋商文件规定的各分项最高限价； 只能有一个有效报价，不得提交选择性报价，按要求提交二次或多次报价，且每轮报价不超过采购预算金额或磋商小组认为低于成本价的报价。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磋商响应文件内容符合磋商文件要求； 磋商响应文件中项目名称、项目编号与本项目一致；磋商响应文件至少包括：（1）响应函、（2）响应报价表、（3）供应商资格证明、（4）采购需求偏离表、（5）供应商承诺书。</w:t>
            </w:r>
          </w:p>
        </w:tc>
        <w:tc>
          <w:tcPr>
            <w:tcW w:type="dxa" w:w="1661"/>
          </w:tcPr>
          <w:p>
            <w:pPr>
              <w:pStyle w:val="null3"/>
            </w:pPr>
            <w:r>
              <w:rPr>
                <w:rFonts w:ascii="仿宋_GB2312" w:hAnsi="仿宋_GB2312" w:cs="仿宋_GB2312" w:eastAsia="仿宋_GB2312"/>
              </w:rPr>
              <w:t>服务内容响应偏差表.pdf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服务期限（合同履行期限）</w:t>
            </w:r>
          </w:p>
        </w:tc>
        <w:tc>
          <w:tcPr>
            <w:tcW w:type="dxa" w:w="3322"/>
          </w:tcPr>
          <w:p>
            <w:pPr>
              <w:pStyle w:val="null3"/>
            </w:pPr>
            <w:r>
              <w:rPr>
                <w:rFonts w:ascii="仿宋_GB2312" w:hAnsi="仿宋_GB2312" w:cs="仿宋_GB2312" w:eastAsia="仿宋_GB2312"/>
              </w:rPr>
              <w:t>应满足磋商文件中要求的服务期限（合同履行期限）。</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对磋商文件条款响应</w:t>
            </w:r>
          </w:p>
        </w:tc>
        <w:tc>
          <w:tcPr>
            <w:tcW w:type="dxa" w:w="3322"/>
          </w:tcPr>
          <w:p>
            <w:pPr>
              <w:pStyle w:val="null3"/>
            </w:pPr>
            <w:r>
              <w:rPr>
                <w:rFonts w:ascii="仿宋_GB2312" w:hAnsi="仿宋_GB2312" w:cs="仿宋_GB2312" w:eastAsia="仿宋_GB2312"/>
              </w:rPr>
              <w:t>要求实质性条款全部响应，不能有采购人不能接受的附加条件，未有负偏离且响应的内容未含有采购人不能接受的附加条件。</w:t>
            </w:r>
          </w:p>
        </w:tc>
        <w:tc>
          <w:tcPr>
            <w:tcW w:type="dxa" w:w="1661"/>
          </w:tcPr>
          <w:p>
            <w:pPr>
              <w:pStyle w:val="null3"/>
            </w:pPr>
            <w:r>
              <w:rPr>
                <w:rFonts w:ascii="仿宋_GB2312" w:hAnsi="仿宋_GB2312" w:cs="仿宋_GB2312" w:eastAsia="仿宋_GB2312"/>
              </w:rPr>
              <w:t>服务内容响应偏差表.pdf</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应符合“竞争性磋商响应文件格式”要求。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应符合竞争性磋商响应文件要求。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报价唯一，磋商报价符合唯一性要求、响应报价表填写符合要求、报价货币符合磋商文件要求、报价数量与要求符合并未出现漏项、未超出采购预算和磋商文件规定的各分项最高限价； 只能有一个有效报价，不得提交选择性报价，按要求提交二次或多次报价，且每轮报价不超过采购预算金额或磋商小组认为低于成本价的报价。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磋商响应文件内容符合磋商文件要求； 磋商响应文件中项目名称、项目编号与本项目一致；磋商响应文件至少包括：（1）响应函、（2）响应报价表、（3）供应商资格证明、（4）采购需求偏离表、（5）供应商承诺书。</w:t>
            </w:r>
          </w:p>
        </w:tc>
        <w:tc>
          <w:tcPr>
            <w:tcW w:type="dxa" w:w="1661"/>
          </w:tcPr>
          <w:p>
            <w:pPr>
              <w:pStyle w:val="null3"/>
            </w:pPr>
            <w:r>
              <w:rPr>
                <w:rFonts w:ascii="仿宋_GB2312" w:hAnsi="仿宋_GB2312" w:cs="仿宋_GB2312" w:eastAsia="仿宋_GB2312"/>
              </w:rPr>
              <w:t>服务内容响应偏差表.pdf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服务期限（合同履行期限）</w:t>
            </w:r>
          </w:p>
        </w:tc>
        <w:tc>
          <w:tcPr>
            <w:tcW w:type="dxa" w:w="3322"/>
          </w:tcPr>
          <w:p>
            <w:pPr>
              <w:pStyle w:val="null3"/>
            </w:pPr>
            <w:r>
              <w:rPr>
                <w:rFonts w:ascii="仿宋_GB2312" w:hAnsi="仿宋_GB2312" w:cs="仿宋_GB2312" w:eastAsia="仿宋_GB2312"/>
              </w:rPr>
              <w:t>应满足磋商文件中要求的服务期限（合同履行期限）。</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对磋商文件条款响应</w:t>
            </w:r>
          </w:p>
        </w:tc>
        <w:tc>
          <w:tcPr>
            <w:tcW w:type="dxa" w:w="3322"/>
          </w:tcPr>
          <w:p>
            <w:pPr>
              <w:pStyle w:val="null3"/>
            </w:pPr>
            <w:r>
              <w:rPr>
                <w:rFonts w:ascii="仿宋_GB2312" w:hAnsi="仿宋_GB2312" w:cs="仿宋_GB2312" w:eastAsia="仿宋_GB2312"/>
              </w:rPr>
              <w:t>要求实质性条款全部响应，不能有采购人不能接受的附加条件，未有负偏离且响应的内容未含有采购人不能接受的附加条件。</w:t>
            </w:r>
          </w:p>
        </w:tc>
        <w:tc>
          <w:tcPr>
            <w:tcW w:type="dxa" w:w="1661"/>
          </w:tcPr>
          <w:p>
            <w:pPr>
              <w:pStyle w:val="null3"/>
            </w:pPr>
            <w:r>
              <w:rPr>
                <w:rFonts w:ascii="仿宋_GB2312" w:hAnsi="仿宋_GB2312" w:cs="仿宋_GB2312" w:eastAsia="仿宋_GB2312"/>
              </w:rPr>
              <w:t>服务内容响应偏差表.pdf</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对项目的理解和认识</w:t>
            </w:r>
          </w:p>
        </w:tc>
        <w:tc>
          <w:tcPr>
            <w:tcW w:type="dxa" w:w="2492"/>
          </w:tcPr>
          <w:p>
            <w:pPr>
              <w:pStyle w:val="null3"/>
            </w:pPr>
            <w:r>
              <w:rPr>
                <w:rFonts w:ascii="仿宋_GB2312" w:hAnsi="仿宋_GB2312" w:cs="仿宋_GB2312" w:eastAsia="仿宋_GB2312"/>
              </w:rPr>
              <w:t>供应商根据采购需求对本项目的理解及认识，内容包含：①项目背景分析；②项目基本情况及相关政策解读；③项目目标与定位的理解。以上内容专门针对本项目且符合本项目实际需求的得6分，每缺一项内容扣2分，若上述内容存在瑕疵，每存在1处瑕疵扣1分，扣完为止。 【注：“瑕疵”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项目整体实施方案</w:t>
            </w:r>
          </w:p>
        </w:tc>
        <w:tc>
          <w:tcPr>
            <w:tcW w:type="dxa" w:w="2492"/>
          </w:tcPr>
          <w:p>
            <w:pPr>
              <w:pStyle w:val="null3"/>
            </w:pPr>
            <w:r>
              <w:rPr>
                <w:rFonts w:ascii="仿宋_GB2312" w:hAnsi="仿宋_GB2312" w:cs="仿宋_GB2312" w:eastAsia="仿宋_GB2312"/>
              </w:rPr>
              <w:t>供应商根据本项目采购需求编制针对性项目整体方案：①总体思路；②工作依据及原则；③主要工作内容；④工作阶段划分及各阶段工作内容；⑤项目重难点分析及解决方法，以上内容专门针对本项目且符合本项目实际需求的得20分，每缺一项内容扣4分，若上述内容存在瑕疵，每存在1处瑕疵扣1分，扣完为止。 【注：“瑕疵”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供应商根据本项目采购需求编制针对性质量保证措施方案，有相应的保障细则，内容包含：①质量目标;②成果文件质量控制措施;③沟通机制和及时响应等保障措施。以上内容专门针对本项目且符合本项目实际需求的得6分，每缺一项内容扣2分，若上述内容存在瑕疵，每存在1处瑕疵扣1分，扣完为止。 【注：“瑕疵”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项目的进度安排</w:t>
            </w:r>
          </w:p>
        </w:tc>
        <w:tc>
          <w:tcPr>
            <w:tcW w:type="dxa" w:w="2492"/>
          </w:tcPr>
          <w:p>
            <w:pPr>
              <w:pStyle w:val="null3"/>
            </w:pPr>
            <w:r>
              <w:rPr>
                <w:rFonts w:ascii="仿宋_GB2312" w:hAnsi="仿宋_GB2312" w:cs="仿宋_GB2312" w:eastAsia="仿宋_GB2312"/>
              </w:rPr>
              <w:t>供应商根据本项目采购需求编制针对性进度安排，是否能按照采购方要求在规定时间内完成编制成果的修改、调整、优化工作方案进行评审，内容包含：①进度保障措施、②各阶段时间节点、③各环节衔接工作的配合、④临时调整措施、⑤应急处理能力。以上内容专门针对本项目且符合本项目实际需求的得5分，每缺一项内容扣1分，若上述内容存在瑕疵，每存在1处瑕疵扣0.5分，扣完为止。 【注：“瑕疵”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供应商根据本项目采购需求编制针对性保密措施方案，有相应的保障细则，内容包含：①保密承诺事项、②保密措施、③保密工作规则要求。以上内容专门针对本项目且符合本项目实际需求的得3分，每缺一项内容扣1分，若上述内容存在瑕疵，每存在1处瑕疵扣0.5分，扣完为止。 【注：“瑕疵”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企业资质</w:t>
            </w:r>
          </w:p>
        </w:tc>
        <w:tc>
          <w:tcPr>
            <w:tcW w:type="dxa" w:w="2492"/>
          </w:tcPr>
          <w:p>
            <w:pPr>
              <w:pStyle w:val="null3"/>
            </w:pPr>
            <w:r>
              <w:rPr>
                <w:rFonts w:ascii="仿宋_GB2312" w:hAnsi="仿宋_GB2312" w:cs="仿宋_GB2312" w:eastAsia="仿宋_GB2312"/>
              </w:rPr>
              <w:t>供应商在全国投资项目在线审批监管平台备案，专业包括生态建设和环境工程，提供备案证明得5分，其余不得分，本项最多得5分。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1.拟派项目负责人具备高级职称的得3分，具备中级职称的得1分，其余不得分。 2.拟派项目负责人具有碳排放管理、碳核查、碳资产管理等碳相关职业技能证书的，得2分；其余不得分。 3.拟派项目负责人具有丰富的相关领域工作经验，担任过类似项目负责人的，每提供一份证明材料得2分，最多得4分。 【注：（1）项目负责人提供身份证、职称证、职业证书等相关证明材料复印件并加盖单位公章。 （2）项目负责人工作经验须提供项目合同等能体现项目负责人信息的相关证明材料复印件并加盖公章。】</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团队人员配置（除项目负责人外）</w:t>
            </w:r>
          </w:p>
        </w:tc>
        <w:tc>
          <w:tcPr>
            <w:tcW w:type="dxa" w:w="2492"/>
          </w:tcPr>
          <w:p>
            <w:pPr>
              <w:pStyle w:val="null3"/>
            </w:pPr>
            <w:r>
              <w:rPr>
                <w:rFonts w:ascii="仿宋_GB2312" w:hAnsi="仿宋_GB2312" w:cs="仿宋_GB2312" w:eastAsia="仿宋_GB2312"/>
              </w:rPr>
              <w:t>1.团队人员具备高级职称的，每提供1人得3分，具备中级职称的每提供1人得1分，本项最高得3分。 2.团队人员具有丰富的相关领域工作经验，具有类似项目实施经验，每提供一份证明材料得1分，最多得3分。 3.年龄结构（5分）：拟投⼊⼈员中，40周岁以下⼈员⽐例≥40%的得5分，⽐例≥30%且＜40%的得3分；⽐例≥20%且＜30%的得1分；其余不得分。 【注：（1）提供⼈员名单及⾝份证复印件（⽤于核算年龄）、职称证等相关证明材料复印件并加盖单位公章。 （2）团队人员工作经验须提供项目合同等能体现项目人员信息的相关证明材料复印件并加盖公章。】</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1.服务质量目标承诺（2分）：供应商提供针对本项目的服务质量管控标准、质量目标、质量验收、整改保障等专项承诺，承诺完整并加盖公章得2分，未提供或不完整不得分。 2.服务进度目标承诺（2分）：供应商提供针对本项目的服务期限节点、进度管控、进度保障、逾期补救措施等专项承诺，承诺完整并加盖公章得2分，未提供或不完整不得分。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服务响应保障</w:t>
            </w:r>
          </w:p>
        </w:tc>
        <w:tc>
          <w:tcPr>
            <w:tcW w:type="dxa" w:w="2492"/>
          </w:tcPr>
          <w:p>
            <w:pPr>
              <w:pStyle w:val="null3"/>
            </w:pPr>
            <w:r>
              <w:rPr>
                <w:rFonts w:ascii="仿宋_GB2312" w:hAnsi="仿宋_GB2312" w:cs="仿宋_GB2312" w:eastAsia="仿宋_GB2312"/>
              </w:rPr>
              <w:t>供应商针对本项目提供正式有效的售后服务响应机制承诺，明确承诺：1.紧急技术问题（成果文件错漏、行政主管部门核查）（2分）：承诺1小时内专人对接响应，提供7×12小时联络热线、项目专属工作群，满足得满分2分；仅承诺2小时及以内响应得50%分值1分；承诺超过2小时不得分；未提供固定联络渠道扣全部分值。2.一般咨询、资料修正需求（2分）：承诺2小时内出具修改思路/回复意见得满分2分；承诺4小时及以内得50%分值1分，超出4小时不得分。3.现场技术支持服务（2分）：承诺市区4小时、县域12小时技术人员到场服务，满足得满分2分；到场时限标准放宽得1分；未承诺现场应急服务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2024年1月1日至响应文件递交截止之日供应商完成的类似项目(包括但不限于地区温室气体清单编制、碳排放核算、碳足迹核算体系建设等)，每提供一份得3分，满分15分。【注：以合同协议书关键页或中标通知书证明为准，提供扫描件并加盖鲜章。】</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服务方案说明书.pdf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满足磋商文件要求且最终报价最低的供应商价格为磋商基准价，其价格分为满分。其他供应商的价格分统一按照下列公式计算： 磋商报价得分=（磋商基准价/最后磋商报价）×10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对项目的理解和认识</w:t>
            </w:r>
          </w:p>
        </w:tc>
        <w:tc>
          <w:tcPr>
            <w:tcW w:type="dxa" w:w="2492"/>
          </w:tcPr>
          <w:p>
            <w:pPr>
              <w:pStyle w:val="null3"/>
            </w:pPr>
            <w:r>
              <w:rPr>
                <w:rFonts w:ascii="仿宋_GB2312" w:hAnsi="仿宋_GB2312" w:cs="仿宋_GB2312" w:eastAsia="仿宋_GB2312"/>
              </w:rPr>
              <w:t>供应商根据采购需求对本项目的理解及认识，内容包含：①项目背景分析 ；②项目基本情况及相关政策解读；③项目目标与定位的理解。以上内容专门针对本项目且符合本项目实际需求的得6分，每缺一项内容扣2分，若上述内容存在瑕疵，每存在1处瑕疵扣1分，扣完为止。 【注：“瑕疵”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项目整体实施方案</w:t>
            </w:r>
          </w:p>
        </w:tc>
        <w:tc>
          <w:tcPr>
            <w:tcW w:type="dxa" w:w="2492"/>
          </w:tcPr>
          <w:p>
            <w:pPr>
              <w:pStyle w:val="null3"/>
            </w:pPr>
            <w:r>
              <w:rPr>
                <w:rFonts w:ascii="仿宋_GB2312" w:hAnsi="仿宋_GB2312" w:cs="仿宋_GB2312" w:eastAsia="仿宋_GB2312"/>
              </w:rPr>
              <w:t>供应商根据本项目采购需求编制针对性项目整体方案：①总体思路；②工作依据及原则；③主要工作内容；④工作阶段划分及各阶段工作内容；⑤项目重难点分析及解决方法，以上内容专门针对本项目且符合本项目实际需求的得20分，每缺一项内容扣4分，若上述内容存在瑕疵，每存在1处瑕疵扣1分，扣完为止。 【注：“瑕疵”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供应商根据本项目采购需求编制针对性质量保证措施方案，有相应的保障细则，内容包含：①质量目标；②成果文件质量控制措施；③沟通机制和及时响应等保障措施。以上内容专门针对本项目且符合本项目实际需求的得6分，每缺一项内容扣2分，若上述内容存在瑕疵，每存在1处瑕疵扣1分，扣完为止。 【注：“瑕疵”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项目的进度安排</w:t>
            </w:r>
          </w:p>
        </w:tc>
        <w:tc>
          <w:tcPr>
            <w:tcW w:type="dxa" w:w="2492"/>
          </w:tcPr>
          <w:p>
            <w:pPr>
              <w:pStyle w:val="null3"/>
            </w:pPr>
            <w:r>
              <w:rPr>
                <w:rFonts w:ascii="仿宋_GB2312" w:hAnsi="仿宋_GB2312" w:cs="仿宋_GB2312" w:eastAsia="仿宋_GB2312"/>
              </w:rPr>
              <w:t>供应商根据本项目采购需求编制针对性进度安排，是否能按照采购方要求在规定时间内完成编制成果的修改、调整、优化工作方案进行评审，内容包含：①进度保障措施；②各阶段时间节点；③各环节衔接工作的配合；④临时调整措施；⑤应急处理能力。以上内容专门针对本项目且符合本项目实际需求的得5分，每缺一项内容扣1分，若上述内容存在瑕疵，每存在1处瑕疵扣0.5分，扣完为止。 【注：“瑕疵”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供应商根据本项目采购需求编制针对性保密措施方案，有相应的保障细则，内容包含：①保密承诺事项；②保密措施；③保密工作规则要求。以上内容专门针对本项目且符合本项目实际需求的得3分，每缺一项内容扣1分，若上述内容存在瑕疵，每存在1处瑕疵扣0.5分，扣完为止。 【注：“瑕疵”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售后闭环管理</w:t>
            </w:r>
          </w:p>
        </w:tc>
        <w:tc>
          <w:tcPr>
            <w:tcW w:type="dxa" w:w="2492"/>
          </w:tcPr>
          <w:p>
            <w:pPr>
              <w:pStyle w:val="null3"/>
            </w:pPr>
            <w:r>
              <w:rPr>
                <w:rFonts w:ascii="仿宋_GB2312" w:hAnsi="仿宋_GB2312" w:cs="仿宋_GB2312" w:eastAsia="仿宋_GB2312"/>
              </w:rPr>
              <w:t>承诺建⽴标准化售后服务台账，完整记录时间、问题内容、处置⼈员、整改结果、甲⽅确认记录，资料统⼀归档留存备查，提供台账模板、档案管理制度得满分6分；⽆台账扣3分，⽆归档制度扣3分。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1.拟派项目负责人具备高级职称的得4分，具备中级职称的得2分，本项最高得4分，其余不得分。 2.拟派项目负责人具有丰富的相关领域工作经验，担任过类似项目负责人的，每提供一份证明材料得2分，最多得4分。 【注：（1）项目负责人提供身份证、职称证等相关证明材料复印件并加盖单位公章。 （2）项目负责人工作经验须提供项目合同等能体现项目负责人信息的相关证明材料复印件并加盖公章。】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团队人员配置（除项目负责人外）</w:t>
            </w:r>
          </w:p>
        </w:tc>
        <w:tc>
          <w:tcPr>
            <w:tcW w:type="dxa" w:w="2492"/>
          </w:tcPr>
          <w:p>
            <w:pPr>
              <w:pStyle w:val="null3"/>
            </w:pPr>
            <w:r>
              <w:rPr>
                <w:rFonts w:ascii="仿宋_GB2312" w:hAnsi="仿宋_GB2312" w:cs="仿宋_GB2312" w:eastAsia="仿宋_GB2312"/>
              </w:rPr>
              <w:t>1.团队人员具备高级职称的，每提供1人得2分；具备中级职称每提供1人得1分，本项最高得6分。 2.年龄结构（5分）：拟投⼊⼈员中，40周岁以下⼈员⽐例≥40%的得5分，⽐例≥30%且＜40%的得3分；⽐例≥20%且＜30%的得1分；其余不得分。 【注：（1）提供⼈员名单及⾝份证复印件（⽤于核算年龄）、职称证等相关证明材料复印件并加盖单位公章。】</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1.服务质量目标承诺（2分）：供应商提供针对本项目的服务质量管控标准、质量目标、质量验收、整改保障等专项承诺，承诺完整并加盖公章得2分，未提供或不完整不得分。 2.服务进度目标承诺（2分）：供应商提供针对本项目的服务期限节点、进度管控、进度保障、逾期补救措施等专项承诺，承诺完整并加盖公章得2分，未提供或不完整不得分。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服务响应保障</w:t>
            </w:r>
          </w:p>
        </w:tc>
        <w:tc>
          <w:tcPr>
            <w:tcW w:type="dxa" w:w="2492"/>
          </w:tcPr>
          <w:p>
            <w:pPr>
              <w:pStyle w:val="null3"/>
            </w:pPr>
            <w:r>
              <w:rPr>
                <w:rFonts w:ascii="仿宋_GB2312" w:hAnsi="仿宋_GB2312" w:cs="仿宋_GB2312" w:eastAsia="仿宋_GB2312"/>
              </w:rPr>
              <w:t>供应商针对本项目提供正式有效的售后服务响应机制承诺，明确承诺：1.紧急技术问题（成果文件错漏、行政主管部门核查）（2分）：承诺1小时内专人对接响应，提供7×12小时联络热线、项目专属工作群，满足得满分2分；仅承诺2小时及以内响应得50%分值1分；承诺超过2小时不得分；未提供固定联络渠道扣全部分值。2.一般咨询、资料修正需求（2分）：承诺2小时内出具修改思路/回复意见得满分2分；承诺4小时及以内得50%分值1分，超出4小时不得分。3.现场技术支持服务（2分）：承诺市区4小时、县域12小时技术人员到场服务，满足得满分2分；到场时限标准放宽得1分；未承诺现场应急服务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2024年1月1日至响应文件递交截止之日供应商完成的类似项目(包括但不限于双碳数据库开发、气候投融资咨询、碳排放核算、两高项目碳排放置换等)，每提供一份得3分，满分15分。【注：以合同协议书关键页或中标通知书证明为准，提供扫描件并加盖鲜章。】</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服务方案说明书.pdf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满足磋商文件要求且最终报价最低的供应商价格为磋商基准价，其价格分为满分。其他供应商的价格分统一按照下列公式计算： 磋商报价得分=（磋商基准价/最后磋商报价）×10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详见附件：服务方案说明书.pdf</w:t>
      </w:r>
    </w:p>
    <w:p>
      <w:pPr>
        <w:pStyle w:val="null3"/>
        <w:ind w:firstLine="960"/>
      </w:pPr>
      <w:r>
        <w:rPr>
          <w:rFonts w:ascii="仿宋_GB2312" w:hAnsi="仿宋_GB2312" w:cs="仿宋_GB2312" w:eastAsia="仿宋_GB2312"/>
        </w:rPr>
        <w:t>详见附件：服务内容响应偏差表.pdf</w:t>
      </w:r>
    </w:p>
    <w:p>
      <w:pPr>
        <w:pStyle w:val="null3"/>
        <w:ind w:firstLine="960"/>
      </w:pPr>
      <w:r>
        <w:rPr>
          <w:rFonts w:ascii="仿宋_GB2312" w:hAnsi="仿宋_GB2312" w:cs="仿宋_GB2312" w:eastAsia="仿宋_GB2312"/>
        </w:rPr>
        <w:t>详见附件：供应商应提交的相关资格证明材料.pdf</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详见附件：服务方案说明书.pdf</w:t>
      </w:r>
    </w:p>
    <w:p>
      <w:pPr>
        <w:pStyle w:val="null3"/>
        <w:ind w:firstLine="960"/>
      </w:pPr>
      <w:r>
        <w:rPr>
          <w:rFonts w:ascii="仿宋_GB2312" w:hAnsi="仿宋_GB2312" w:cs="仿宋_GB2312" w:eastAsia="仿宋_GB2312"/>
        </w:rPr>
        <w:t>详见附件：服务内容响应偏差表.pdf</w:t>
      </w:r>
    </w:p>
    <w:p>
      <w:pPr>
        <w:pStyle w:val="null3"/>
        <w:ind w:firstLine="960"/>
      </w:pPr>
      <w:r>
        <w:rPr>
          <w:rFonts w:ascii="仿宋_GB2312" w:hAnsi="仿宋_GB2312" w:cs="仿宋_GB2312" w:eastAsia="仿宋_GB2312"/>
        </w:rPr>
        <w:t>详见附件：供应商应提交的相关资格证明材料.pdf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详见附件：西安市碳排放双控制度体系建设和“十五五”碳排放预算方案编制.docx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