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版本号：SXDZ2026-ZC-CS01520260713001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操场改造项目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SXDZ2026-ZC-CS015</w:t>
      </w:r>
      <w:r>
        <w:br/>
      </w:r>
      <w:r>
        <w:br/>
      </w:r>
      <w:r>
        <w:br/>
      </w:r>
    </w:p>
    <w:p>
      <w:pPr>
        <w:pStyle w:val="null3"/>
        <w:jc w:val="center"/>
        <w:outlineLvl w:val="2"/>
      </w:pPr>
      <w:r>
        <w:rPr>
          <w:rFonts w:ascii="仿宋_GB2312" w:hAnsi="仿宋_GB2312" w:cs="仿宋_GB2312" w:eastAsia="仿宋_GB2312"/>
          <w:sz w:val="28"/>
          <w:b/>
        </w:rPr>
        <w:t>西安市西电中学</w:t>
      </w:r>
    </w:p>
    <w:p>
      <w:pPr>
        <w:pStyle w:val="null3"/>
        <w:jc w:val="center"/>
        <w:outlineLvl w:val="2"/>
      </w:pPr>
      <w:r>
        <w:rPr>
          <w:rFonts w:ascii="仿宋_GB2312" w:hAnsi="仿宋_GB2312" w:cs="仿宋_GB2312" w:eastAsia="仿宋_GB2312"/>
          <w:sz w:val="28"/>
          <w:b/>
        </w:rPr>
        <w:t>陕西东卓项目管理有限公司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2026年07月13日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陕西东卓项目管理有限公司</w:t>
      </w:r>
      <w:r>
        <w:rPr>
          <w:rFonts w:ascii="仿宋_GB2312" w:hAnsi="仿宋_GB2312" w:cs="仿宋_GB2312" w:eastAsia="仿宋_GB2312"/>
        </w:rPr>
        <w:t>（以下简称“代理机构”）受</w:t>
      </w:r>
      <w:r>
        <w:rPr>
          <w:rFonts w:ascii="仿宋_GB2312" w:hAnsi="仿宋_GB2312" w:cs="仿宋_GB2312" w:eastAsia="仿宋_GB2312"/>
        </w:rPr>
        <w:t>西安市西电中学</w:t>
      </w:r>
      <w:r>
        <w:rPr>
          <w:rFonts w:ascii="仿宋_GB2312" w:hAnsi="仿宋_GB2312" w:cs="仿宋_GB2312" w:eastAsia="仿宋_GB2312"/>
        </w:rPr>
        <w:t>委托，拟对</w:t>
      </w:r>
      <w:r>
        <w:rPr>
          <w:rFonts w:ascii="仿宋_GB2312" w:hAnsi="仿宋_GB2312" w:cs="仿宋_GB2312" w:eastAsia="仿宋_GB2312"/>
        </w:rPr>
        <w:t>操场改造项目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SXDZ2026-ZC-CS015</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操场改造项目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西安市西电中学始建于1960年，是西安市第一批市级重点中学，陕西省标准化高中。学校位于西安市莲湖区桃园西路16号，占地面积28亩，2栋教学楼，1栋综合楼，初高中部共计56个教学班，在校2800余名学生。教职工210多人。学校操场东西长度约为70米，南北长度约为100米，面积约为7000平米。 目前操场为2015年改建成塑胶跑道和硅PU篮球场地、排球场地、羽毛球场地。经过十几年高频率使用，现多处面层弹性减弱、脱落、开裂。靠近树根处树根突起地面开裂使学生多次摔倒造成严重安全隐患。硅PU面层经多年使用磨损已经非常光滑且无弹性多次造成师生运动受伤。经学校办公会研究决定实施学校操场改造项目。</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采购包1（操场改造项目）：属于专门面向中小企业采购。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财务情况：提供2025年度的经审计的完整财务会计报告（成立时间至提交投标文件截止时间不足一年的可提供成立后任意时段的资产负债表），或其基本存款账户开户银行出具的资信证明及基本存款账户开户许可证（基本账户信息表）(注:依据财政部、国务院国资委、金融监管总局印发&lt;&lt;关于加强审计报告查验工作的通知&gt;&gt;(财会(2023]15号)报告须在注册会计师行业统一监管平台备案并由该平台赋予二维码)。</w:t>
      </w:r>
    </w:p>
    <w:p>
      <w:pPr>
        <w:pStyle w:val="null3"/>
      </w:pPr>
      <w:r>
        <w:rPr>
          <w:rFonts w:ascii="仿宋_GB2312" w:hAnsi="仿宋_GB2312" w:cs="仿宋_GB2312" w:eastAsia="仿宋_GB2312"/>
        </w:rPr>
        <w:t>3、纳税证明：提供磋商截止日前六个月内任意一个月的纳税证明或完税证明（增值税、印花税、城市维护建设费、企业所得税等一种或多种税种），依法免税的单位提供相关证明材料。</w:t>
      </w:r>
    </w:p>
    <w:p>
      <w:pPr>
        <w:pStyle w:val="null3"/>
      </w:pPr>
      <w:r>
        <w:rPr>
          <w:rFonts w:ascii="仿宋_GB2312" w:hAnsi="仿宋_GB2312" w:cs="仿宋_GB2312" w:eastAsia="仿宋_GB2312"/>
        </w:rPr>
        <w:t>4、社保缴纳：提供磋商截止日前六个月内任意一个月的社保资金交纳证明，依法不需要缴纳社保资金的单位提供相关证明材料。</w:t>
      </w:r>
    </w:p>
    <w:p>
      <w:pPr>
        <w:pStyle w:val="null3"/>
      </w:pPr>
      <w:r>
        <w:rPr>
          <w:rFonts w:ascii="仿宋_GB2312" w:hAnsi="仿宋_GB2312" w:cs="仿宋_GB2312" w:eastAsia="仿宋_GB2312"/>
        </w:rPr>
        <w:t>5、专业技术能力：提供具有履行合同所必需的设备和专业技术能力的承诺；</w:t>
      </w:r>
    </w:p>
    <w:p>
      <w:pPr>
        <w:pStyle w:val="null3"/>
      </w:pPr>
      <w:r>
        <w:rPr>
          <w:rFonts w:ascii="仿宋_GB2312" w:hAnsi="仿宋_GB2312" w:cs="仿宋_GB2312" w:eastAsia="仿宋_GB2312"/>
        </w:rPr>
        <w:t>6、无重大违法：参加本次政府采购活动前三年内在经营活动中没有重大违法记录的书面声明；</w:t>
      </w:r>
    </w:p>
    <w:p>
      <w:pPr>
        <w:pStyle w:val="null3"/>
      </w:pPr>
      <w:r>
        <w:rPr>
          <w:rFonts w:ascii="仿宋_GB2312" w:hAnsi="仿宋_GB2312" w:cs="仿宋_GB2312" w:eastAsia="仿宋_GB2312"/>
        </w:rPr>
        <w:t>7、法定代表人授权书/法定代表人身份证明：法定代表人授权书（附法定代表人、被授权人身份证复印件，被授权人需提供在本单位近三个月任意一个月的社保缴纳证明），法定代表人直接参加磋商，须提供法定代表人身份证明及身份证复印件。</w:t>
      </w:r>
    </w:p>
    <w:p>
      <w:pPr>
        <w:pStyle w:val="null3"/>
      </w:pPr>
      <w:r>
        <w:rPr>
          <w:rFonts w:ascii="仿宋_GB2312" w:hAnsi="仿宋_GB2312" w:cs="仿宋_GB2312" w:eastAsia="仿宋_GB2312"/>
        </w:rPr>
        <w:t>8、资质证书：供应商须具备建设行政主管部门颁发的建筑工程施工总承包三级及以上资质，并具备建设行政主管部门颁发的安全生产许可证；</w:t>
      </w:r>
    </w:p>
    <w:p>
      <w:pPr>
        <w:pStyle w:val="null3"/>
      </w:pPr>
      <w:r>
        <w:rPr>
          <w:rFonts w:ascii="仿宋_GB2312" w:hAnsi="仿宋_GB2312" w:cs="仿宋_GB2312" w:eastAsia="仿宋_GB2312"/>
        </w:rPr>
        <w:t>9、项目负责人/经理：拟派项目经理具备建筑工程专业二级及以上注册建造师资质证书，并具备安全考核B证，且无在建工程、无不良记录（提供无在建工程、无不良记录承诺书）；</w:t>
      </w:r>
    </w:p>
    <w:p>
      <w:pPr>
        <w:pStyle w:val="null3"/>
      </w:pPr>
      <w:r>
        <w:rPr>
          <w:rFonts w:ascii="仿宋_GB2312" w:hAnsi="仿宋_GB2312" w:cs="仿宋_GB2312" w:eastAsia="仿宋_GB2312"/>
        </w:rPr>
        <w:t>10、信用记录：供应商不得为“信用中国”网站（www.creditchina.gov.cn）中列入“失信被执行人（中国执行信息公开网https：//zxgk.court.gov.cn/shixin/）”和“重大税收违法失信主体名单”的供应商，不得为中国政府采购网（www.ccgp.gov.cn）政府采购“严重违法失信行为记录名单”中被财政部门禁止参加政府采购活动的供应商；（信用记录由采购代理机构在响应文件资格审查阶段通过互联网或者相关系统查询，对列入失信被执行人、重大税收违法失信主体名单、政府采购严重违法失信行为记录名单内的，采购人和采购代理机构将拒绝其参与政府采购活动，查询结果以纸质方式留存。）；</w:t>
      </w:r>
    </w:p>
    <w:p>
      <w:pPr>
        <w:pStyle w:val="null3"/>
      </w:pPr>
      <w:r>
        <w:rPr>
          <w:rFonts w:ascii="仿宋_GB2312" w:hAnsi="仿宋_GB2312" w:cs="仿宋_GB2312" w:eastAsia="仿宋_GB2312"/>
        </w:rPr>
        <w:t>11、联合体：本项目不接受联合体磋商。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西安市西电中学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西安市莲湖区桃园西路16号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王涛</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13571893366</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陕西东卓项目管理有限公司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西安市大兴东路29号御笔城市广场（2号电梯）4层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710016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刘工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18292189959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西安市莲湖区政府采购管理股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高莎莎</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87614013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采购包1：2,050,000.00元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参照《招标代理服务收费管理暂行办法》（计价格[2002]1980号）、《国家发展改革委办公厅关于招标代理服务收费有关问题的通知》（发改办价格[2003]857号）、《国家发展改革委关于降低部分建设项目收费标准规范收费行为等有关问题的通知》（发改办价格[2011]534号）的有关规定收取招标代理服务费。 2.成交单位在领取成交通知书前，须向采购代理机构一次性支付招标代理服务费。 3.招标代理服务费交纳信息： 户名：陕西东卓项目管理有限公司 开户行：中国银行股份有限公司西安市经济技术开发区支行 账号：102494375315 请成交供应商按照要求将服务费汇入以上指定账户，如因自身原因发生错误，产生的不利后果均由供应商自行承担。</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西安市西电中学</w:t>
      </w:r>
      <w:r>
        <w:rPr>
          <w:rFonts w:ascii="仿宋_GB2312" w:hAnsi="仿宋_GB2312" w:cs="仿宋_GB2312" w:eastAsia="仿宋_GB2312"/>
        </w:rPr>
        <w:t>和</w:t>
      </w:r>
      <w:r>
        <w:rPr>
          <w:rFonts w:ascii="仿宋_GB2312" w:hAnsi="仿宋_GB2312" w:cs="仿宋_GB2312" w:eastAsia="仿宋_GB2312"/>
        </w:rPr>
        <w:t>陕西东卓项目管理有限公司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西安市西电中学</w:t>
      </w:r>
      <w:r>
        <w:rPr>
          <w:rFonts w:ascii="仿宋_GB2312" w:hAnsi="仿宋_GB2312" w:cs="仿宋_GB2312" w:eastAsia="仿宋_GB2312"/>
        </w:rPr>
        <w:t>负责解释。除上述磋商文件内容，其他内容由</w:t>
      </w:r>
      <w:r>
        <w:rPr>
          <w:rFonts w:ascii="仿宋_GB2312" w:hAnsi="仿宋_GB2312" w:cs="仿宋_GB2312" w:eastAsia="仿宋_GB2312"/>
        </w:rPr>
        <w:t>陕西东卓项目管理有限公司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西安市西电中学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陕西东卓项目管理有限公司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陕西东卓项目管理有限公司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陕西东卓项目管理有限公司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陕西东卓项目管理有限公司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联系人：刘工</w:t>
      </w:r>
    </w:p>
    <w:p>
      <w:pPr>
        <w:pStyle w:val="null3"/>
      </w:pPr>
      <w:r>
        <w:rPr>
          <w:rFonts w:ascii="仿宋_GB2312" w:hAnsi="仿宋_GB2312" w:cs="仿宋_GB2312" w:eastAsia="仿宋_GB2312"/>
        </w:rPr>
        <w:t>联系电话：18292189959</w:t>
      </w:r>
    </w:p>
    <w:p>
      <w:pPr>
        <w:pStyle w:val="null3"/>
      </w:pPr>
      <w:r>
        <w:rPr>
          <w:rFonts w:ascii="仿宋_GB2312" w:hAnsi="仿宋_GB2312" w:cs="仿宋_GB2312" w:eastAsia="仿宋_GB2312"/>
        </w:rPr>
        <w:t>地址：西安市大兴东路29号御笔城市广场（2号电梯）4层</w:t>
      </w:r>
    </w:p>
    <w:p>
      <w:pPr>
        <w:pStyle w:val="null3"/>
      </w:pPr>
      <w:r>
        <w:rPr>
          <w:rFonts w:ascii="仿宋_GB2312" w:hAnsi="仿宋_GB2312" w:cs="仿宋_GB2312" w:eastAsia="仿宋_GB2312"/>
        </w:rPr>
        <w:t>邮编：710016</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2,050,000.00</w:t>
      </w:r>
    </w:p>
    <w:p>
      <w:pPr>
        <w:pStyle w:val="null3"/>
      </w:pPr>
      <w:r>
        <w:rPr>
          <w:rFonts w:ascii="仿宋_GB2312" w:hAnsi="仿宋_GB2312" w:cs="仿宋_GB2312" w:eastAsia="仿宋_GB2312"/>
        </w:rPr>
        <w:t>采购包最高限价（元）: 1,914,567.51</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2050000</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2,050,000.00</w:t>
            </w:r>
          </w:p>
        </w:tc>
        <w:tc>
          <w:tcPr>
            <w:tcW w:type="dxa" w:w="1384"/>
          </w:tcPr>
          <w:p>
            <w:pPr>
              <w:pStyle w:val="null3"/>
            </w:pPr>
            <w:r>
              <w:rPr>
                <w:rFonts w:ascii="仿宋_GB2312" w:hAnsi="仿宋_GB2312" w:cs="仿宋_GB2312" w:eastAsia="仿宋_GB2312"/>
              </w:rPr>
              <w:t>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标的名称：2050000</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4"/>
              </w:rPr>
              <w:t>项目概况：</w:t>
            </w:r>
          </w:p>
          <w:p>
            <w:pPr>
              <w:pStyle w:val="null3"/>
              <w:ind w:firstLine="480"/>
              <w:jc w:val="both"/>
            </w:pPr>
            <w:r>
              <w:rPr>
                <w:rFonts w:ascii="仿宋_GB2312" w:hAnsi="仿宋_GB2312" w:cs="仿宋_GB2312" w:eastAsia="仿宋_GB2312"/>
                <w:sz w:val="24"/>
              </w:rPr>
              <w:t>西安市西电中学始建于</w:t>
            </w:r>
            <w:r>
              <w:rPr>
                <w:rFonts w:ascii="仿宋_GB2312" w:hAnsi="仿宋_GB2312" w:cs="仿宋_GB2312" w:eastAsia="仿宋_GB2312"/>
                <w:sz w:val="24"/>
              </w:rPr>
              <w:t>1960年，是西安市第一批市级重点中学，陕西省标准化高中。学校位于西安市莲湖区桃园西路16号，占地面积28亩，2栋教学楼，1栋综合楼，初高中部共计56个教学班，在校2800余名学生。教职工210多人。学校操场东西长度约为70米，南北长度约为100米，面积约为7000平米。</w:t>
            </w:r>
          </w:p>
          <w:p>
            <w:pPr>
              <w:pStyle w:val="null3"/>
            </w:pPr>
            <w:r>
              <w:rPr>
                <w:rFonts w:ascii="仿宋_GB2312" w:hAnsi="仿宋_GB2312" w:cs="仿宋_GB2312" w:eastAsia="仿宋_GB2312"/>
                <w:sz w:val="24"/>
              </w:rPr>
              <w:t>目前操场为</w:t>
            </w:r>
            <w:r>
              <w:rPr>
                <w:rFonts w:ascii="仿宋_GB2312" w:hAnsi="仿宋_GB2312" w:cs="仿宋_GB2312" w:eastAsia="仿宋_GB2312"/>
                <w:sz w:val="24"/>
              </w:rPr>
              <w:t>2015年改建成塑胶跑道和硅PU篮球场地、排球场地、羽毛球场地。经过十几年高频率使用，现多处面层弹性减弱、脱落、开裂。靠近树根处树根突起地面开裂使学生多次摔倒造成严重安全隐患。硅PU面层经多年使用磨损已经非常光滑且无弹性多次造成师生运动受伤。经学校办公会研究决定实施学校操场改造项目。</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both"/>
            </w:pPr>
            <w:r>
              <w:rPr>
                <w:rFonts w:ascii="仿宋_GB2312" w:hAnsi="仿宋_GB2312" w:cs="仿宋_GB2312" w:eastAsia="仿宋_GB2312"/>
                <w:sz w:val="24"/>
              </w:rPr>
              <w:t>(一)工程内容:西安市西电中学操场改造项目内容包括塑胶跑道拆除新做;硅pu球场拆除新做跑道画线、排水沟修缮;原有积水处修复，新做沙坑等施工总面积约7300平方米。</w:t>
            </w:r>
          </w:p>
          <w:p>
            <w:pPr>
              <w:pStyle w:val="null3"/>
              <w:jc w:val="both"/>
            </w:pPr>
            <w:r>
              <w:rPr>
                <w:rFonts w:ascii="仿宋_GB2312" w:hAnsi="仿宋_GB2312" w:cs="仿宋_GB2312" w:eastAsia="仿宋_GB2312"/>
                <w:sz w:val="24"/>
              </w:rPr>
              <w:t>(二)工程地点:西安市莲湖区桃园西路16号。</w:t>
            </w:r>
          </w:p>
          <w:p>
            <w:pPr>
              <w:pStyle w:val="null3"/>
              <w:jc w:val="both"/>
            </w:pPr>
            <w:r>
              <w:rPr>
                <w:rFonts w:ascii="仿宋_GB2312" w:hAnsi="仿宋_GB2312" w:cs="仿宋_GB2312" w:eastAsia="仿宋_GB2312"/>
                <w:sz w:val="24"/>
              </w:rPr>
              <w:t>(三)计划工期:自进场之日起30个日历日内竣工。</w:t>
            </w:r>
          </w:p>
          <w:p>
            <w:pPr>
              <w:pStyle w:val="null3"/>
              <w:jc w:val="both"/>
            </w:pPr>
            <w:r>
              <w:rPr>
                <w:rFonts w:ascii="仿宋_GB2312" w:hAnsi="仿宋_GB2312" w:cs="仿宋_GB2312" w:eastAsia="仿宋_GB2312"/>
                <w:sz w:val="24"/>
              </w:rPr>
              <w:t>（四）缺陷责任期：</w:t>
            </w:r>
            <w:r>
              <w:rPr>
                <w:rFonts w:ascii="仿宋_GB2312" w:hAnsi="仿宋_GB2312" w:cs="仿宋_GB2312" w:eastAsia="仿宋_GB2312"/>
                <w:sz w:val="24"/>
              </w:rPr>
              <w:t>1年。</w:t>
            </w:r>
          </w:p>
          <w:p>
            <w:pPr>
              <w:pStyle w:val="null3"/>
              <w:jc w:val="both"/>
            </w:pPr>
            <w:r>
              <w:rPr>
                <w:rFonts w:ascii="仿宋_GB2312" w:hAnsi="仿宋_GB2312" w:cs="仿宋_GB2312" w:eastAsia="仿宋_GB2312"/>
                <w:sz w:val="24"/>
              </w:rPr>
              <w:t>（五）质量保修期：</w:t>
            </w:r>
            <w:r>
              <w:rPr>
                <w:rFonts w:ascii="仿宋_GB2312" w:hAnsi="仿宋_GB2312" w:cs="仿宋_GB2312" w:eastAsia="仿宋_GB2312"/>
                <w:sz w:val="24"/>
              </w:rPr>
              <w:t>2年（防水5年）。</w:t>
            </w:r>
          </w:p>
          <w:p>
            <w:pPr>
              <w:pStyle w:val="null3"/>
              <w:jc w:val="both"/>
            </w:pPr>
            <w:r>
              <w:rPr>
                <w:rFonts w:ascii="仿宋_GB2312" w:hAnsi="仿宋_GB2312" w:cs="仿宋_GB2312" w:eastAsia="仿宋_GB2312"/>
                <w:sz w:val="24"/>
              </w:rPr>
              <w:t>（六）</w:t>
            </w:r>
            <w:r>
              <w:rPr>
                <w:rFonts w:ascii="仿宋_GB2312" w:hAnsi="仿宋_GB2312" w:cs="仿宋_GB2312" w:eastAsia="仿宋_GB2312"/>
                <w:sz w:val="24"/>
              </w:rPr>
              <w:t>质量标准：</w:t>
            </w:r>
            <w:r>
              <w:rPr>
                <w:rFonts w:ascii="仿宋_GB2312" w:hAnsi="仿宋_GB2312" w:cs="仿宋_GB2312" w:eastAsia="仿宋_GB2312"/>
                <w:sz w:val="24"/>
                <w:color w:val="000000"/>
              </w:rPr>
              <w:t>符合国家现行相关规定及施工验收规范的</w:t>
            </w:r>
            <w:r>
              <w:rPr>
                <w:rFonts w:ascii="仿宋_GB2312" w:hAnsi="仿宋_GB2312" w:cs="仿宋_GB2312" w:eastAsia="仿宋_GB2312"/>
                <w:sz w:val="24"/>
                <w:color w:val="000000"/>
              </w:rPr>
              <w:t>“合格”标准。</w:t>
            </w:r>
          </w:p>
          <w:p>
            <w:pPr>
              <w:pStyle w:val="null3"/>
            </w:pPr>
            <w:r>
              <w:rPr>
                <w:rFonts w:ascii="仿宋_GB2312" w:hAnsi="仿宋_GB2312" w:cs="仿宋_GB2312" w:eastAsia="仿宋_GB2312"/>
                <w:sz w:val="24"/>
              </w:rPr>
              <w:t>（</w:t>
            </w:r>
            <w:r>
              <w:rPr>
                <w:rFonts w:ascii="仿宋_GB2312" w:hAnsi="仿宋_GB2312" w:cs="仿宋_GB2312" w:eastAsia="仿宋_GB2312"/>
                <w:sz w:val="24"/>
              </w:rPr>
              <w:t>七</w:t>
            </w:r>
            <w:r>
              <w:rPr>
                <w:rFonts w:ascii="仿宋_GB2312" w:hAnsi="仿宋_GB2312" w:cs="仿宋_GB2312" w:eastAsia="仿宋_GB2312"/>
                <w:sz w:val="24"/>
              </w:rPr>
              <w:t>）</w:t>
            </w:r>
            <w:r>
              <w:rPr>
                <w:rFonts w:ascii="仿宋_GB2312" w:hAnsi="仿宋_GB2312" w:cs="仿宋_GB2312" w:eastAsia="仿宋_GB2312"/>
                <w:sz w:val="24"/>
              </w:rPr>
              <w:t>图纸与工程量清单不一致时以</w:t>
            </w:r>
            <w:r>
              <w:rPr>
                <w:rFonts w:ascii="仿宋_GB2312" w:hAnsi="仿宋_GB2312" w:cs="仿宋_GB2312" w:eastAsia="仿宋_GB2312"/>
                <w:sz w:val="24"/>
              </w:rPr>
              <w:t>工程量清单</w:t>
            </w:r>
            <w:r>
              <w:rPr>
                <w:rFonts w:ascii="仿宋_GB2312" w:hAnsi="仿宋_GB2312" w:cs="仿宋_GB2312" w:eastAsia="仿宋_GB2312"/>
                <w:sz w:val="24"/>
              </w:rPr>
              <w:t>为准。</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jc w:val="both"/>
            </w:pPr>
            <w:r>
              <w:rPr>
                <w:rFonts w:ascii="仿宋_GB2312" w:hAnsi="仿宋_GB2312" w:cs="仿宋_GB2312" w:eastAsia="仿宋_GB2312"/>
                <w:sz w:val="24"/>
              </w:rPr>
              <w:t>编制依据：</w:t>
            </w:r>
          </w:p>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与建设工程项目有关的标准</w:t>
            </w:r>
            <w:r>
              <w:rPr>
                <w:rFonts w:ascii="仿宋_GB2312" w:hAnsi="仿宋_GB2312" w:cs="仿宋_GB2312" w:eastAsia="仿宋_GB2312"/>
                <w:sz w:val="24"/>
              </w:rPr>
              <w:t>、规范</w:t>
            </w:r>
            <w:r>
              <w:rPr>
                <w:rFonts w:ascii="仿宋_GB2312" w:hAnsi="仿宋_GB2312" w:cs="仿宋_GB2312" w:eastAsia="仿宋_GB2312"/>
                <w:sz w:val="24"/>
              </w:rPr>
              <w:t>、</w:t>
            </w:r>
            <w:r>
              <w:rPr>
                <w:rFonts w:ascii="仿宋_GB2312" w:hAnsi="仿宋_GB2312" w:cs="仿宋_GB2312" w:eastAsia="仿宋_GB2312"/>
                <w:sz w:val="24"/>
              </w:rPr>
              <w:t>图集</w:t>
            </w:r>
            <w:r>
              <w:rPr>
                <w:rFonts w:ascii="仿宋_GB2312" w:hAnsi="仿宋_GB2312" w:cs="仿宋_GB2312" w:eastAsia="仿宋_GB2312"/>
                <w:sz w:val="24"/>
              </w:rPr>
              <w:t>、技术资料；</w:t>
            </w:r>
          </w:p>
          <w:p>
            <w:pPr>
              <w:pStyle w:val="null3"/>
              <w:jc w:val="both"/>
            </w:pPr>
            <w:r>
              <w:rPr>
                <w:rFonts w:ascii="仿宋_GB2312" w:hAnsi="仿宋_GB2312" w:cs="仿宋_GB2312" w:eastAsia="仿宋_GB2312"/>
                <w:sz w:val="24"/>
              </w:rPr>
              <w:t>2、</w:t>
            </w:r>
            <w:r>
              <w:rPr>
                <w:rFonts w:ascii="仿宋_GB2312" w:hAnsi="仿宋_GB2312" w:cs="仿宋_GB2312" w:eastAsia="仿宋_GB2312"/>
                <w:sz w:val="24"/>
              </w:rPr>
              <w:t>《陕西省建设工程量清单计价规则（</w:t>
            </w:r>
            <w:r>
              <w:rPr>
                <w:rFonts w:ascii="仿宋_GB2312" w:hAnsi="仿宋_GB2312" w:cs="仿宋_GB2312" w:eastAsia="仿宋_GB2312"/>
                <w:sz w:val="24"/>
              </w:rPr>
              <w:t>2025） 》及国家现行工程造价管理规定 ;</w:t>
            </w:r>
          </w:p>
          <w:p>
            <w:pPr>
              <w:pStyle w:val="null3"/>
              <w:jc w:val="both"/>
            </w:pPr>
            <w:r>
              <w:rPr>
                <w:rFonts w:ascii="仿宋_GB2312" w:hAnsi="仿宋_GB2312" w:cs="仿宋_GB2312" w:eastAsia="仿宋_GB2312"/>
                <w:sz w:val="24"/>
              </w:rPr>
              <w:t>3、</w:t>
            </w:r>
            <w:r>
              <w:rPr>
                <w:rFonts w:ascii="仿宋_GB2312" w:hAnsi="仿宋_GB2312" w:cs="仿宋_GB2312" w:eastAsia="仿宋_GB2312"/>
                <w:sz w:val="24"/>
              </w:rPr>
              <w:t>《陕西省房屋建筑与装饰工程消耗量定额》（</w:t>
            </w:r>
            <w:r>
              <w:rPr>
                <w:rFonts w:ascii="仿宋_GB2312" w:hAnsi="仿宋_GB2312" w:cs="仿宋_GB2312" w:eastAsia="仿宋_GB2312"/>
                <w:sz w:val="24"/>
              </w:rPr>
              <w:t>2025） 、《陕西省通用安装工程消耗量定额》（2025） 、《陕西省市政工程消耗量定额》（2025） 、《陕西省房屋建筑与装饰工程基价表》（2025） 、《陕西省通用安装工程基价表》（2025 )  、《陕西省市政工程基价表》（2025） 、《陕西省建设工程费用规则》（2025 )  及《陕西省建设工程施工机械台班费用定额》（2025） 、《陕西省建设工程施工仪器仪表台班费用定额》（2025） 等及其他相关的计价依据和办法；</w:t>
            </w:r>
          </w:p>
          <w:p>
            <w:pPr>
              <w:pStyle w:val="null3"/>
              <w:jc w:val="both"/>
            </w:pPr>
            <w:r>
              <w:rPr>
                <w:rFonts w:ascii="仿宋_GB2312" w:hAnsi="仿宋_GB2312" w:cs="仿宋_GB2312" w:eastAsia="仿宋_GB2312"/>
                <w:sz w:val="24"/>
              </w:rPr>
              <w:t>4、</w:t>
            </w:r>
            <w:r>
              <w:rPr>
                <w:rFonts w:ascii="仿宋_GB2312" w:hAnsi="仿宋_GB2312" w:cs="仿宋_GB2312" w:eastAsia="仿宋_GB2312"/>
                <w:sz w:val="24"/>
              </w:rPr>
              <w:t>材料价格采用陕西省</w:t>
            </w:r>
            <w:r>
              <w:rPr>
                <w:rFonts w:ascii="仿宋_GB2312" w:hAnsi="仿宋_GB2312" w:cs="仿宋_GB2312" w:eastAsia="仿宋_GB2312"/>
                <w:sz w:val="24"/>
              </w:rPr>
              <w:t>2026年5月《工程造价信息》信息价 ， 主材价格参照市场价中档水平；</w:t>
            </w:r>
          </w:p>
          <w:p>
            <w:pPr>
              <w:pStyle w:val="null3"/>
              <w:jc w:val="both"/>
            </w:pPr>
            <w:r>
              <w:rPr>
                <w:rFonts w:ascii="仿宋_GB2312" w:hAnsi="仿宋_GB2312" w:cs="仿宋_GB2312" w:eastAsia="仿宋_GB2312"/>
                <w:sz w:val="24"/>
              </w:rPr>
              <w:t>5、</w:t>
            </w:r>
            <w:r>
              <w:rPr>
                <w:rFonts w:ascii="仿宋_GB2312" w:hAnsi="仿宋_GB2312" w:cs="仿宋_GB2312" w:eastAsia="仿宋_GB2312"/>
                <w:sz w:val="24"/>
              </w:rPr>
              <w:t>其他相关资料；</w:t>
            </w:r>
          </w:p>
          <w:p>
            <w:pPr>
              <w:pStyle w:val="null3"/>
            </w:pPr>
            <w:r>
              <w:rPr>
                <w:rFonts w:ascii="仿宋_GB2312" w:hAnsi="仿宋_GB2312" w:cs="仿宋_GB2312" w:eastAsia="仿宋_GB2312"/>
                <w:sz w:val="24"/>
              </w:rPr>
              <w:t>6、本工程量清单采用广联达云计价平台GCCP7.0（7.5000.23.3版本）编制。</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jc w:val="both"/>
            </w:pPr>
            <w:r>
              <w:rPr>
                <w:rFonts w:ascii="仿宋_GB2312" w:hAnsi="仿宋_GB2312" w:cs="仿宋_GB2312" w:eastAsia="仿宋_GB2312"/>
                <w:sz w:val="24"/>
              </w:rPr>
              <w:t>施工要求：</w:t>
            </w:r>
          </w:p>
          <w:p>
            <w:pPr>
              <w:pStyle w:val="null3"/>
              <w:jc w:val="both"/>
            </w:pPr>
            <w:r>
              <w:rPr>
                <w:rFonts w:ascii="仿宋_GB2312" w:hAnsi="仿宋_GB2312" w:cs="仿宋_GB2312" w:eastAsia="仿宋_GB2312"/>
                <w:sz w:val="24"/>
              </w:rPr>
              <w:t>1、签订施工安全协议，施工人员在校期间，认真遵守学校规定，服从学校工作安排。</w:t>
            </w:r>
          </w:p>
          <w:p>
            <w:pPr>
              <w:pStyle w:val="null3"/>
              <w:jc w:val="both"/>
            </w:pPr>
            <w:r>
              <w:rPr>
                <w:rFonts w:ascii="仿宋_GB2312" w:hAnsi="仿宋_GB2312" w:cs="仿宋_GB2312" w:eastAsia="仿宋_GB2312"/>
                <w:sz w:val="24"/>
              </w:rPr>
              <w:t>2、施工人员施工期间，必须按照施工安全规定佩戴安全帽、安全带等防护设备进行作业。</w:t>
            </w:r>
          </w:p>
          <w:p>
            <w:pPr>
              <w:pStyle w:val="null3"/>
              <w:jc w:val="both"/>
            </w:pPr>
            <w:r>
              <w:rPr>
                <w:rFonts w:ascii="仿宋_GB2312" w:hAnsi="仿宋_GB2312" w:cs="仿宋_GB2312" w:eastAsia="仿宋_GB2312"/>
                <w:sz w:val="24"/>
              </w:rPr>
              <w:t>3、施工人员在校期间注意自身文明，禁止光膀子，禁止在校园内饮酒。</w:t>
            </w:r>
          </w:p>
          <w:p>
            <w:pPr>
              <w:pStyle w:val="null3"/>
              <w:jc w:val="both"/>
            </w:pPr>
            <w:r>
              <w:rPr>
                <w:rFonts w:ascii="仿宋_GB2312" w:hAnsi="仿宋_GB2312" w:cs="仿宋_GB2312" w:eastAsia="仿宋_GB2312"/>
                <w:sz w:val="24"/>
              </w:rPr>
              <w:t>4、施工人员必须在学校指定区域休息。</w:t>
            </w:r>
          </w:p>
          <w:p>
            <w:pPr>
              <w:pStyle w:val="null3"/>
              <w:jc w:val="both"/>
            </w:pPr>
            <w:r>
              <w:rPr>
                <w:rFonts w:ascii="仿宋_GB2312" w:hAnsi="仿宋_GB2312" w:cs="仿宋_GB2312" w:eastAsia="仿宋_GB2312"/>
                <w:sz w:val="24"/>
              </w:rPr>
              <w:t>5、来校施工车辆严格按照学校规定。进门登记，停放到指定位置。</w:t>
            </w:r>
          </w:p>
          <w:p>
            <w:pPr>
              <w:pStyle w:val="null3"/>
            </w:pPr>
            <w:r>
              <w:rPr>
                <w:rFonts w:ascii="仿宋_GB2312" w:hAnsi="仿宋_GB2312" w:cs="仿宋_GB2312" w:eastAsia="仿宋_GB2312"/>
                <w:sz w:val="24"/>
              </w:rPr>
              <w:t>6、施工单位保持其施工范围内的环境卫生，垃圾做到及时清理。</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ind w:firstLine="480"/>
              <w:jc w:val="left"/>
            </w:pPr>
            <w:r>
              <w:rPr>
                <w:rFonts w:ascii="仿宋_GB2312" w:hAnsi="仿宋_GB2312" w:cs="仿宋_GB2312" w:eastAsia="仿宋_GB2312"/>
                <w:sz w:val="24"/>
              </w:rPr>
              <w:t>工程进度款的结算与支付</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1）工程竣工且验收合格后支付合同总价款的 80%；</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2）工程结算完成支付合同总价款的 17%（支付至审定价款的97%）；</w:t>
            </w:r>
          </w:p>
          <w:p>
            <w:pPr>
              <w:pStyle w:val="null3"/>
            </w:pPr>
            <w:r>
              <w:rPr>
                <w:rFonts w:ascii="仿宋_GB2312" w:hAnsi="仿宋_GB2312" w:cs="仿宋_GB2312" w:eastAsia="仿宋_GB2312"/>
                <w:sz w:val="24"/>
              </w:rPr>
              <w:t>（</w:t>
            </w:r>
            <w:r>
              <w:rPr>
                <w:rFonts w:ascii="仿宋_GB2312" w:hAnsi="仿宋_GB2312" w:cs="仿宋_GB2312" w:eastAsia="仿宋_GB2312"/>
                <w:sz w:val="24"/>
              </w:rPr>
              <w:t>3）审定价的 3%待缺陷责任期满后一次性付清。</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符合国家现行相关规定及施工验收规范的“合格”标准。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广联达云计价平台GCCP7.0（7.5000.23.3版本）</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1.本项目专门面向中小企业采购。 2.本项目属性为工程。 3.本项目合同包1采购标的所属行业为：建筑业； 4.本项目是否属于信用担保试点范围：否。 5.本项目为固定综合单价合同。 6.本项目最高限价为1,914,567.51元，投标报价应是采购范围内全部工作内容的价格体现且不得高于最高限价。响应文件一经提交，则将被视为发包内容的全部费用，已经包含在投标报价内，供应商亦不得以任何理由在投标报价中重复计价。除合同另有约定外，对中标人提出的任何追加报价，采购人将不予调整。</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（1）具有独立承担民事责任的法人、其他组织或自然人，并出具合法有效的营业执照或事业单位法人证书等国家规定的相关证明，自然人参与的提供其身份证明。 （2）税收缴纳证明：提供磋商截止日前六个月内任意一个月的纳税证明或完税证明（增值税、印花税、城市维护建设费、企业所得税等一种或多种税种），依法免税的单位提供相关证明材料。 （3）社会保障资金缴纳证明：提供磋商截止日前六个月内任意一个月的社保资金交纳证明，依法不需要缴纳社保资金的单位提供相关证明材料。 （4）参加本次政府采购活动前三年内在经营活动中没有重大违法记录的书面声明； （5）提供具有履行合同所必需的设备和专业技术能力的承诺； （6）法定代表人授权书（附法定代表人、被授权人身份证复印件，被授权人需提供在本单位近三个月任意一个月的社保缴纳证明），法定代表人直接参加磋商，须提供法定代表人身份证明及身份证复印件。 （7）供应商不得为“信用中国”网站（www.creditchina.gov.cn）中列入“失信被执行人（中国执行信息公开网https：//zxgk.court.gov.cn/shixin/）”和“重大税收违法失信主体名单”的供应商，不得为中国政府采购网（www.ccgp.gov.cn）政府采购“严重违法失信行为记录名单”中被财政部门禁止参加政府采购活动的供应商；（信用记录由采购代理机构在响应文件资格审查阶段通过互联网或者相关系统查询，对列入失信被执行人、重大税收违法失信主体名单、政府采购严重违法失信行为记录名单内的，采购人和采购代理机构将拒绝其参与政府采购活动，查询结果以纸质方式留存。）； （8）供应商须具备建设行政主管部门颁发的建筑工程施工总承包三级及以上资质，并具备建设行政主管部门颁发的安全生产许可证； （9） 拟派项目经理具备建筑工程专业二级及以上注册建造师资质证书，并具备安全考核B证，且无在建工程、无不良记录（提供无在建工程、无不良记录承诺书）； （10）本项目不接受联合体磋商。</w:t>
            </w:r>
          </w:p>
        </w:tc>
        <w:tc>
          <w:tcPr>
            <w:tcW w:type="dxa" w:w="1661"/>
          </w:tcPr>
          <w:p>
            <w:pPr>
              <w:pStyle w:val="null3"/>
            </w:pPr>
            <w:r>
              <w:rPr>
                <w:rFonts w:ascii="仿宋_GB2312" w:hAnsi="仿宋_GB2312" w:cs="仿宋_GB2312" w:eastAsia="仿宋_GB2312"/>
              </w:rPr>
              <w:t>供应商参加政府采购活动承诺书.docx 业绩.docx 已标价工程量清单 中小企业声明函 资格证明文件.docx 响应文件封面 项目管理机构人员表.docx 残疾人福利性单位声明函 报价函 其它说明.docx 标的清单 响应函 商务条款偏离表.docx 监狱企业的证明文件 磋商方案.docx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2025年度的经审计的完整财务会计报告（成立时间至提交投标文件截止时间不足一年的可提供成立后任意时段的资产负债表），或其基本存款账户开户银行出具的资信证明及基本存款账户开户许可证（基本账户信息表）(注:依据财政部、国务院国资委、金融监管总局印发&lt;&lt;关于加强审计报告查验工作的通知&gt;&gt;(财会(2023]15号)报告须在注册会计师行业统一监管平台备案并由该平台赋予二维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供应商参加政府采购活动承诺书.docx 业绩.docx 已标价工程量清单 中小企业声明函 资格证明文件.docx 响应文件封面 项目管理机构人员表.docx 残疾人福利性单位声明函 报价函 其它说明.docx 标的清单 响应函 商务条款偏离表.docx 监狱企业的证明文件 磋商方案.docx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财务情况</w:t>
            </w:r>
          </w:p>
        </w:tc>
        <w:tc>
          <w:tcPr>
            <w:tcW w:type="dxa" w:w="3322"/>
          </w:tcPr>
          <w:p>
            <w:pPr>
              <w:pStyle w:val="null3"/>
            </w:pPr>
            <w:r>
              <w:rPr>
                <w:rFonts w:ascii="仿宋_GB2312" w:hAnsi="仿宋_GB2312" w:cs="仿宋_GB2312" w:eastAsia="仿宋_GB2312"/>
              </w:rPr>
              <w:t>提供2025年度的经审计的完整财务会计报告（成立时间至提交投标文件截止时间不足一年的可提供成立后任意时段的资产负债表），或其基本存款账户开户银行出具的资信证明及基本存款账户开户许可证（基本账户信息表）(注:依据财政部、国务院国资委、金融监管总局印发&lt;&lt;关于加强审计报告查验工作的通知&gt;&gt;(财会(2023]15号)报告须在注册会计师行业统一监管平台备案并由该平台赋予二维码)。</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纳税证明</w:t>
            </w:r>
          </w:p>
        </w:tc>
        <w:tc>
          <w:tcPr>
            <w:tcW w:type="dxa" w:w="3322"/>
          </w:tcPr>
          <w:p>
            <w:pPr>
              <w:pStyle w:val="null3"/>
            </w:pPr>
            <w:r>
              <w:rPr>
                <w:rFonts w:ascii="仿宋_GB2312" w:hAnsi="仿宋_GB2312" w:cs="仿宋_GB2312" w:eastAsia="仿宋_GB2312"/>
              </w:rPr>
              <w:t>提供磋商截止日前六个月内任意一个月的纳税证明或完税证明（增值税、印花税、城市维护建设费、企业所得税等一种或多种税种），依法免税的单位提供相关证明材料。</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社保缴纳</w:t>
            </w:r>
          </w:p>
        </w:tc>
        <w:tc>
          <w:tcPr>
            <w:tcW w:type="dxa" w:w="3322"/>
          </w:tcPr>
          <w:p>
            <w:pPr>
              <w:pStyle w:val="null3"/>
            </w:pPr>
            <w:r>
              <w:rPr>
                <w:rFonts w:ascii="仿宋_GB2312" w:hAnsi="仿宋_GB2312" w:cs="仿宋_GB2312" w:eastAsia="仿宋_GB2312"/>
              </w:rPr>
              <w:t>提供磋商截止日前六个月内任意一个月的社保资金交纳证明，依法不需要缴纳社保资金的单位提供相关证明材料。</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专业技术能力</w:t>
            </w:r>
          </w:p>
        </w:tc>
        <w:tc>
          <w:tcPr>
            <w:tcW w:type="dxa" w:w="3322"/>
          </w:tcPr>
          <w:p>
            <w:pPr>
              <w:pStyle w:val="null3"/>
            </w:pPr>
            <w:r>
              <w:rPr>
                <w:rFonts w:ascii="仿宋_GB2312" w:hAnsi="仿宋_GB2312" w:cs="仿宋_GB2312" w:eastAsia="仿宋_GB2312"/>
              </w:rPr>
              <w:t>提供具有履行合同所必需的设备和专业技术能力的承诺；</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无重大违法</w:t>
            </w:r>
          </w:p>
        </w:tc>
        <w:tc>
          <w:tcPr>
            <w:tcW w:type="dxa" w:w="3322"/>
          </w:tcPr>
          <w:p>
            <w:pPr>
              <w:pStyle w:val="null3"/>
            </w:pPr>
            <w:r>
              <w:rPr>
                <w:rFonts w:ascii="仿宋_GB2312" w:hAnsi="仿宋_GB2312" w:cs="仿宋_GB2312" w:eastAsia="仿宋_GB2312"/>
              </w:rPr>
              <w:t>参加本次政府采购活动前三年内在经营活动中没有重大违法记录的书面声明；</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法定代表人授权书/法定代表人身份证明</w:t>
            </w:r>
          </w:p>
        </w:tc>
        <w:tc>
          <w:tcPr>
            <w:tcW w:type="dxa" w:w="3322"/>
          </w:tcPr>
          <w:p>
            <w:pPr>
              <w:pStyle w:val="null3"/>
            </w:pPr>
            <w:r>
              <w:rPr>
                <w:rFonts w:ascii="仿宋_GB2312" w:hAnsi="仿宋_GB2312" w:cs="仿宋_GB2312" w:eastAsia="仿宋_GB2312"/>
              </w:rPr>
              <w:t>法定代表人授权书（附法定代表人、被授权人身份证复印件，被授权人需提供在本单位近三个月任意一个月的社保缴纳证明），法定代表人直接参加磋商，须提供法定代表人身份证明及身份证复印件。</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资质证书</w:t>
            </w:r>
          </w:p>
        </w:tc>
        <w:tc>
          <w:tcPr>
            <w:tcW w:type="dxa" w:w="3322"/>
          </w:tcPr>
          <w:p>
            <w:pPr>
              <w:pStyle w:val="null3"/>
            </w:pPr>
            <w:r>
              <w:rPr>
                <w:rFonts w:ascii="仿宋_GB2312" w:hAnsi="仿宋_GB2312" w:cs="仿宋_GB2312" w:eastAsia="仿宋_GB2312"/>
              </w:rPr>
              <w:t>供应商须具备建设行政主管部门颁发的建筑工程施工总承包三级及以上资质，并具备建设行政主管部门颁发的安全生产许可证；</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项目负责人/经理</w:t>
            </w:r>
          </w:p>
        </w:tc>
        <w:tc>
          <w:tcPr>
            <w:tcW w:type="dxa" w:w="3322"/>
          </w:tcPr>
          <w:p>
            <w:pPr>
              <w:pStyle w:val="null3"/>
            </w:pPr>
            <w:r>
              <w:rPr>
                <w:rFonts w:ascii="仿宋_GB2312" w:hAnsi="仿宋_GB2312" w:cs="仿宋_GB2312" w:eastAsia="仿宋_GB2312"/>
              </w:rPr>
              <w:t>拟派项目经理具备建筑工程专业二级及以上注册建造师资质证书，并具备安全考核B证，且无在建工程、无不良记录（提供无在建工程、无不良记录承诺书）；</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不得为“信用中国”网站（www.creditchina.gov.cn）中列入“失信被执行人（中国执行信息公开网https：//zxgk.court.gov.cn/shixin/）”和“重大税收违法失信主体名单”的供应商，不得为中国政府采购网（www.ccgp.gov.cn）政府采购“严重违法失信行为记录名单”中被财政部门禁止参加政府采购活动的供应商；（信用记录由采购代理机构在响应文件资格审查阶段通过互联网或者相关系统查询，对列入失信被执行人、重大税收违法失信主体名单、政府采购严重违法失信行为记录名单内的，采购人和采购代理机构将拒绝其参与政府采购活动，查询结果以纸质方式留存。）；</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联合体</w:t>
            </w:r>
          </w:p>
        </w:tc>
        <w:tc>
          <w:tcPr>
            <w:tcW w:type="dxa" w:w="3322"/>
          </w:tcPr>
          <w:p>
            <w:pPr>
              <w:pStyle w:val="null3"/>
            </w:pPr>
            <w:r>
              <w:rPr>
                <w:rFonts w:ascii="仿宋_GB2312" w:hAnsi="仿宋_GB2312" w:cs="仿宋_GB2312" w:eastAsia="仿宋_GB2312"/>
              </w:rPr>
              <w:t>本项目不接受联合体磋商。</w:t>
            </w:r>
          </w:p>
        </w:tc>
        <w:tc>
          <w:tcPr>
            <w:tcW w:type="dxa" w:w="1661"/>
          </w:tcPr>
          <w:p>
            <w:pPr>
              <w:pStyle w:val="null3"/>
            </w:pPr>
            <w:r>
              <w:rPr>
                <w:rFonts w:ascii="仿宋_GB2312" w:hAnsi="仿宋_GB2312" w:cs="仿宋_GB2312" w:eastAsia="仿宋_GB2312"/>
              </w:rPr>
              <w:t>响应函 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供应商参加政府采购活动承诺书.docx 业绩.docx 中小企业声明函 响应文件封面 项目管理机构人员表.docx 残疾人福利性单位声明函 报价函 其它说明.docx 标的清单 响应函 商务条款偏离表.docx 监狱企业的证明文件 磋商方案.docx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磋商响应文件的签署盖章</w:t>
            </w:r>
          </w:p>
        </w:tc>
        <w:tc>
          <w:tcPr>
            <w:tcW w:type="dxa" w:w="3322"/>
          </w:tcPr>
          <w:p>
            <w:pPr>
              <w:pStyle w:val="null3"/>
            </w:pPr>
            <w:r>
              <w:rPr>
                <w:rFonts w:ascii="仿宋_GB2312" w:hAnsi="仿宋_GB2312" w:cs="仿宋_GB2312" w:eastAsia="仿宋_GB2312"/>
              </w:rPr>
              <w:t>磋商响应文件上法定代表人或其授权代表人的签字齐全并加盖公章。</w:t>
            </w:r>
          </w:p>
        </w:tc>
        <w:tc>
          <w:tcPr>
            <w:tcW w:type="dxa" w:w="1661"/>
          </w:tcPr>
          <w:p>
            <w:pPr>
              <w:pStyle w:val="null3"/>
            </w:pPr>
            <w:r>
              <w:rPr>
                <w:rFonts w:ascii="仿宋_GB2312" w:hAnsi="仿宋_GB2312" w:cs="仿宋_GB2312" w:eastAsia="仿宋_GB2312"/>
              </w:rPr>
              <w:t>供应商参加政府采购活动承诺书.docx 业绩.docx 中小企业声明函 响应文件封面 项目管理机构人员表.docx 残疾人福利性单位声明函 报价函 其它说明.docx 标的清单 响应函 商务条款偏离表.docx 监狱企业的证明文件 磋商方案.docx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磋商响应文件格式</w:t>
            </w:r>
          </w:p>
        </w:tc>
        <w:tc>
          <w:tcPr>
            <w:tcW w:type="dxa" w:w="3322"/>
          </w:tcPr>
          <w:p>
            <w:pPr>
              <w:pStyle w:val="null3"/>
            </w:pPr>
            <w:r>
              <w:rPr>
                <w:rFonts w:ascii="仿宋_GB2312" w:hAnsi="仿宋_GB2312" w:cs="仿宋_GB2312" w:eastAsia="仿宋_GB2312"/>
              </w:rPr>
              <w:t>应符合“磋商文件格式”要求。</w:t>
            </w:r>
          </w:p>
        </w:tc>
        <w:tc>
          <w:tcPr>
            <w:tcW w:type="dxa" w:w="1661"/>
          </w:tcPr>
          <w:p>
            <w:pPr>
              <w:pStyle w:val="null3"/>
            </w:pPr>
            <w:r>
              <w:rPr>
                <w:rFonts w:ascii="仿宋_GB2312" w:hAnsi="仿宋_GB2312" w:cs="仿宋_GB2312" w:eastAsia="仿宋_GB2312"/>
              </w:rPr>
              <w:t>供应商参加政府采购活动承诺书.docx 业绩.docx 中小企业声明函 响应文件封面 项目管理机构人员表.docx 残疾人福利性单位声明函 报价函 其它说明.docx 标的清单 响应函 商务条款偏离表.docx 监狱企业的证明文件 磋商方案.docx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只能有一个有效报价，不得提交选择性报价，且报价不超过采购预算金额或最高限价。</w:t>
            </w:r>
          </w:p>
        </w:tc>
        <w:tc>
          <w:tcPr>
            <w:tcW w:type="dxa" w:w="1661"/>
          </w:tcPr>
          <w:p>
            <w:pPr>
              <w:pStyle w:val="null3"/>
            </w:pPr>
            <w:r>
              <w:rPr>
                <w:rFonts w:ascii="仿宋_GB2312" w:hAnsi="仿宋_GB2312" w:cs="仿宋_GB2312" w:eastAsia="仿宋_GB2312"/>
              </w:rPr>
              <w:t>供应商参加政府采购活动承诺书.docx 业绩.docx 中小企业声明函 响应文件封面 项目管理机构人员表.docx 残疾人福利性单位声明函 报价函 其它说明.docx 标的清单 响应函 商务条款偏离表.docx 监狱企业的证明文件 磋商方案.docx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对磋商文件响应程度</w:t>
            </w:r>
          </w:p>
        </w:tc>
        <w:tc>
          <w:tcPr>
            <w:tcW w:type="dxa" w:w="3322"/>
          </w:tcPr>
          <w:p>
            <w:pPr>
              <w:pStyle w:val="null3"/>
            </w:pPr>
            <w:r>
              <w:rPr>
                <w:rFonts w:ascii="仿宋_GB2312" w:hAnsi="仿宋_GB2312" w:cs="仿宋_GB2312" w:eastAsia="仿宋_GB2312"/>
              </w:rPr>
              <w:t>要求全面响应，不能有任何采购人不能接受的附加条件。</w:t>
            </w:r>
          </w:p>
        </w:tc>
        <w:tc>
          <w:tcPr>
            <w:tcW w:type="dxa" w:w="1661"/>
          </w:tcPr>
          <w:p>
            <w:pPr>
              <w:pStyle w:val="null3"/>
            </w:pPr>
            <w:r>
              <w:rPr>
                <w:rFonts w:ascii="仿宋_GB2312" w:hAnsi="仿宋_GB2312" w:cs="仿宋_GB2312" w:eastAsia="仿宋_GB2312"/>
              </w:rPr>
              <w:t>供应商参加政府采购活动承诺书.docx 业绩.docx 中小企业声明函 响应文件封面 项目管理机构人员表.docx 残疾人福利性单位声明函 报价函 其它说明.docx 标的清单 响应函 商务条款偏离表.docx 监狱企业的证明文件 磋商方案.docx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应满足磋商文件中要求的工期。</w:t>
            </w:r>
          </w:p>
        </w:tc>
        <w:tc>
          <w:tcPr>
            <w:tcW w:type="dxa" w:w="1661"/>
          </w:tcPr>
          <w:p>
            <w:pPr>
              <w:pStyle w:val="null3"/>
            </w:pPr>
            <w:r>
              <w:rPr>
                <w:rFonts w:ascii="仿宋_GB2312" w:hAnsi="仿宋_GB2312" w:cs="仿宋_GB2312" w:eastAsia="仿宋_GB2312"/>
              </w:rPr>
              <w:t>供应商参加政府采购活动承诺书.docx 业绩.docx 中小企业声明函 响应文件封面 项目管理机构人员表.docx 残疾人福利性单位声明函 报价函 其它说明.docx 标的清单 响应函 商务条款偏离表.docx 监狱企业的证明文件 磋商方案.docx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应满足磋商文件中的规定。</w:t>
            </w:r>
          </w:p>
        </w:tc>
        <w:tc>
          <w:tcPr>
            <w:tcW w:type="dxa" w:w="1661"/>
          </w:tcPr>
          <w:p>
            <w:pPr>
              <w:pStyle w:val="null3"/>
            </w:pPr>
            <w:r>
              <w:rPr>
                <w:rFonts w:ascii="仿宋_GB2312" w:hAnsi="仿宋_GB2312" w:cs="仿宋_GB2312" w:eastAsia="仿宋_GB2312"/>
              </w:rPr>
              <w:t>供应商参加政府采购活动承诺书.docx 业绩.docx 中小企业声明函 响应文件封面 项目管理机构人员表.docx 残疾人福利性单位声明函 报价函 其它说明.docx 标的清单 响应函 商务条款偏离表.docx 监狱企业的证明文件 磋商方案.docx</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一、评审内容：针对本项目有详细的①施工方案（包含雨季施工方案）；②施工场地管理方案；③场地人员管理方案；④技术组织措施；⑤文明施工、环境保护及“治污减霾”的保障措施。 二、评审标准： 1、完善性：方案必须全面，对评审内容中的各项要求有详细阐述； 2、可实施性：切合本项目实际情况，提出步骤清晰、合理的方案； 3、针对性：方案能够紧扣项目实际情况，内容科学合理。 上述5项评审内容全部满足评审标准得15分，评审内容缺项每项扣3分，每有一项评审内容存在缺陷，根据缺陷内容，每出现一处缺陷扣0.5分，扣完为止。 说明：缺陷是指内容没有结合项目实际需求、虽有内容但不完善、内容表述前后不一致、套用其他项目方案或与项目需求不匹配及其他不利于项目实施的任意一种情形。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磋商方案.docx</w:t>
            </w:r>
          </w:p>
          <w:p>
            <w:pPr>
              <w:pStyle w:val="null3"/>
            </w:pPr>
            <w:r>
              <w:rPr>
                <w:rFonts w:ascii="仿宋_GB2312" w:hAnsi="仿宋_GB2312" w:cs="仿宋_GB2312" w:eastAsia="仿宋_GB2312"/>
              </w:rPr>
              <w:t>供应商参加政府采购活动承诺书.docx</w:t>
            </w:r>
          </w:p>
          <w:p>
            <w:pPr>
              <w:pStyle w:val="null3"/>
            </w:pPr>
            <w:r>
              <w:rPr>
                <w:rFonts w:ascii="仿宋_GB2312" w:hAnsi="仿宋_GB2312" w:cs="仿宋_GB2312" w:eastAsia="仿宋_GB2312"/>
              </w:rPr>
              <w:t>其它说明.docx</w:t>
            </w:r>
          </w:p>
          <w:p>
            <w:pPr>
              <w:pStyle w:val="null3"/>
            </w:pPr>
            <w:r>
              <w:rPr>
                <w:rFonts w:ascii="仿宋_GB2312" w:hAnsi="仿宋_GB2312" w:cs="仿宋_GB2312" w:eastAsia="仿宋_GB2312"/>
              </w:rPr>
              <w:t>商务条款偏离表.docx</w:t>
            </w:r>
          </w:p>
          <w:p>
            <w:pPr>
              <w:pStyle w:val="null3"/>
            </w:pPr>
            <w:r>
              <w:rPr>
                <w:rFonts w:ascii="仿宋_GB2312" w:hAnsi="仿宋_GB2312" w:cs="仿宋_GB2312" w:eastAsia="仿宋_GB2312"/>
              </w:rPr>
              <w:t>项目管理机构人员表.docx</w:t>
            </w:r>
          </w:p>
          <w:p>
            <w:pPr>
              <w:pStyle w:val="null3"/>
            </w:pPr>
            <w:r>
              <w:rPr>
                <w:rFonts w:ascii="仿宋_GB2312" w:hAnsi="仿宋_GB2312" w:cs="仿宋_GB2312" w:eastAsia="仿宋_GB2312"/>
              </w:rPr>
              <w:t>业绩.docx</w:t>
            </w:r>
          </w:p>
        </w:tc>
      </w:tr>
      <w:tr>
        <w:tc>
          <w:tcPr>
            <w:tcW w:type="dxa" w:w="831"/>
            <w:vMerge/>
          </w:tcPr>
          <w:p/>
        </w:tc>
        <w:tc>
          <w:tcPr>
            <w:tcW w:type="dxa" w:w="1661"/>
          </w:tcPr>
          <w:p>
            <w:pPr>
              <w:pStyle w:val="null3"/>
            </w:pPr>
            <w:r>
              <w:rPr>
                <w:rFonts w:ascii="仿宋_GB2312" w:hAnsi="仿宋_GB2312" w:cs="仿宋_GB2312" w:eastAsia="仿宋_GB2312"/>
              </w:rPr>
              <w:t>工程进度计划保证措施</w:t>
            </w:r>
          </w:p>
        </w:tc>
        <w:tc>
          <w:tcPr>
            <w:tcW w:type="dxa" w:w="2492"/>
          </w:tcPr>
          <w:p>
            <w:pPr>
              <w:pStyle w:val="null3"/>
            </w:pPr>
            <w:r>
              <w:rPr>
                <w:rFonts w:ascii="仿宋_GB2312" w:hAnsi="仿宋_GB2312" w:cs="仿宋_GB2312" w:eastAsia="仿宋_GB2312"/>
              </w:rPr>
              <w:t>一、评审内容：针对本项目有切实可行的①进度计划安排；②进度计划实施方案；③确保工期的技术组织措施。 二、评审标准： 1、完善性：方案必须全面，对评审内容中的各项要求有详细阐述； 2、可实施性：切合本项目实际情况，提出步骤清晰、合理的方案； 3、针对性：方案能够紧扣项目实际情况，内容科学合理。 上述3项评审内容全部满足评审标准得 6分，评审内容缺项每项扣2分，每有一项评审内容存在缺陷，根据缺陷内容，每出现一处缺陷扣0.5分，扣完为止。 说明：缺陷是指内容没有结合项目实际需求、虽有内容但不完善、内容表述前后不一致、套用其他项目方案或与项目需求不匹配及其他不利于项目实施的任意一种情形。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tc>
      </w:tr>
      <w:tr>
        <w:tc>
          <w:tcPr>
            <w:tcW w:type="dxa" w:w="831"/>
            <w:vMerge/>
          </w:tcPr>
          <w:p/>
        </w:tc>
        <w:tc>
          <w:tcPr>
            <w:tcW w:type="dxa" w:w="1661"/>
          </w:tcPr>
          <w:p>
            <w:pPr>
              <w:pStyle w:val="null3"/>
            </w:pPr>
            <w:r>
              <w:rPr>
                <w:rFonts w:ascii="仿宋_GB2312" w:hAnsi="仿宋_GB2312" w:cs="仿宋_GB2312" w:eastAsia="仿宋_GB2312"/>
              </w:rPr>
              <w:t>确保工程质量的技术组织措施</w:t>
            </w:r>
          </w:p>
        </w:tc>
        <w:tc>
          <w:tcPr>
            <w:tcW w:type="dxa" w:w="2492"/>
          </w:tcPr>
          <w:p>
            <w:pPr>
              <w:pStyle w:val="null3"/>
            </w:pPr>
            <w:r>
              <w:rPr>
                <w:rFonts w:ascii="仿宋_GB2312" w:hAnsi="仿宋_GB2312" w:cs="仿宋_GB2312" w:eastAsia="仿宋_GB2312"/>
              </w:rPr>
              <w:t>一、评审内容：针对本项目有切实可行的①质量管理制度、管理体系与职责；②质量控制与质量检查方案；③确保工程质量的技术组织措施。 二、评审标准： 1、完善性：方案必须全面，对评审内容中的各项要求有详细阐述； 2、可实施性：切合本项目实际情况，提出步骤清晰、合理的方案； 3、针对性：方案能够紧扣项目实际情况，内容科学合理。 上述3项评审内容全部满足评审标准得 6分，评审内容缺项每项扣2分，每有一项评审内容存在缺陷，根据缺陷内容，每出现一处缺陷扣0.5分，扣完为止。 说明：缺陷是指内容没有结合项目实际需求、虽有内容但不完善、内容表述前后不一致、套用其他项目方案或与项目需求不匹配及其他不利于项目实施的任意一种情形。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tc>
      </w:tr>
      <w:tr>
        <w:tc>
          <w:tcPr>
            <w:tcW w:type="dxa" w:w="831"/>
            <w:vMerge/>
          </w:tcPr>
          <w:p/>
        </w:tc>
        <w:tc>
          <w:tcPr>
            <w:tcW w:type="dxa" w:w="1661"/>
          </w:tcPr>
          <w:p>
            <w:pPr>
              <w:pStyle w:val="null3"/>
            </w:pPr>
            <w:r>
              <w:rPr>
                <w:rFonts w:ascii="仿宋_GB2312" w:hAnsi="仿宋_GB2312" w:cs="仿宋_GB2312" w:eastAsia="仿宋_GB2312"/>
              </w:rPr>
              <w:t>确保安全生产的技术组织措施</w:t>
            </w:r>
          </w:p>
        </w:tc>
        <w:tc>
          <w:tcPr>
            <w:tcW w:type="dxa" w:w="2492"/>
          </w:tcPr>
          <w:p>
            <w:pPr>
              <w:pStyle w:val="null3"/>
            </w:pPr>
            <w:r>
              <w:rPr>
                <w:rFonts w:ascii="仿宋_GB2312" w:hAnsi="仿宋_GB2312" w:cs="仿宋_GB2312" w:eastAsia="仿宋_GB2312"/>
              </w:rPr>
              <w:t>一、评审内容：针对本项目有切实可行的①施工人员安全培训措施；②设施、设备安全检查措施；③安全施工保障措施。 二、评审标准： 1、完善性：方案必须全面，对评审内容中的各项要求有详细阐述； 2、可实施性：切合本项目实际情况，提出步骤清晰、合理的方案； 3、针对性：方案能够紧扣项目实际情况，内容科学合理。 上述3项评审内容全部满足评审标准得 9分，评审内容缺项每项扣3分，每有一项评审内容存在缺陷，根据缺陷内容，每出现一处缺陷扣0.5分，扣完为止。 说明：缺陷是指内容没有结合项目实际需求、虽有内容但不完善、内容表述前后不一致、套用其他项目方案或与项目需求不匹配及其他不利于项目实施的任意一种情形。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tc>
      </w:tr>
      <w:tr>
        <w:tc>
          <w:tcPr>
            <w:tcW w:type="dxa" w:w="831"/>
            <w:vMerge/>
          </w:tcPr>
          <w:p/>
        </w:tc>
        <w:tc>
          <w:tcPr>
            <w:tcW w:type="dxa" w:w="1661"/>
          </w:tcPr>
          <w:p>
            <w:pPr>
              <w:pStyle w:val="null3"/>
            </w:pPr>
            <w:r>
              <w:rPr>
                <w:rFonts w:ascii="仿宋_GB2312" w:hAnsi="仿宋_GB2312" w:cs="仿宋_GB2312" w:eastAsia="仿宋_GB2312"/>
              </w:rPr>
              <w:t>项目重点、难点分析及应对措施</w:t>
            </w:r>
          </w:p>
        </w:tc>
        <w:tc>
          <w:tcPr>
            <w:tcW w:type="dxa" w:w="2492"/>
          </w:tcPr>
          <w:p>
            <w:pPr>
              <w:pStyle w:val="null3"/>
            </w:pPr>
            <w:r>
              <w:rPr>
                <w:rFonts w:ascii="仿宋_GB2312" w:hAnsi="仿宋_GB2312" w:cs="仿宋_GB2312" w:eastAsia="仿宋_GB2312"/>
              </w:rPr>
              <w:t>一、评审内容：针对本项目有详细的①项目特点、关键技术问题的认识；②项目重点、难点分析；③重点、难点应对措施。 二、评审标准： 1、完善性：方案必须全面，对评审内容中的各项要求有详细阐述； 2、可实施性：切合本项目实际情况，提出步骤清晰、合理的方案； 3、针对性：方案能够紧扣项目实际情况，内容科学合理。 上述3项评审内容全部满足评审标准得 6分，评审内容缺项每项扣2分，每有一项评审内容存在缺陷，根据缺陷内容，每出现一处缺陷扣0.5分，扣完为止。 说明：缺陷是指内容没有结合项目实际需求、虽有内容但不完善、内容表述前后不一致、套用其他项目方案或与项目需求不匹配及其他不利于项目实施的任意一种情形。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tc>
      </w:tr>
      <w:tr>
        <w:tc>
          <w:tcPr>
            <w:tcW w:type="dxa" w:w="831"/>
            <w:vMerge/>
          </w:tcPr>
          <w:p/>
        </w:tc>
        <w:tc>
          <w:tcPr>
            <w:tcW w:type="dxa" w:w="1661"/>
          </w:tcPr>
          <w:p>
            <w:pPr>
              <w:pStyle w:val="null3"/>
            </w:pPr>
            <w:r>
              <w:rPr>
                <w:rFonts w:ascii="仿宋_GB2312" w:hAnsi="仿宋_GB2312" w:cs="仿宋_GB2312" w:eastAsia="仿宋_GB2312"/>
              </w:rPr>
              <w:t>项目管理机构</w:t>
            </w:r>
          </w:p>
        </w:tc>
        <w:tc>
          <w:tcPr>
            <w:tcW w:type="dxa" w:w="2492"/>
          </w:tcPr>
          <w:p>
            <w:pPr>
              <w:pStyle w:val="null3"/>
            </w:pPr>
            <w:r>
              <w:rPr>
                <w:rFonts w:ascii="仿宋_GB2312" w:hAnsi="仿宋_GB2312" w:cs="仿宋_GB2312" w:eastAsia="仿宋_GB2312"/>
              </w:rPr>
              <w:t>一、评审内容：针对本项目有详细的①项目管理机构配备计划；②人员岗位职责；③团队人员配备情况（人员数量、专业分工、机构健全等）。 二、评审标准： 1、完善性：方案必须全面，对评审内容中的各项要求有详细阐述； 2、可实施性：切合本项目实际情况，提出步骤清晰、合理的方案； 3、针对性：方案能够紧扣项目实际情况，内容科学合理。 上述3项评审内容全部满足评审标准得 6分，评审内容缺项每项扣2分，每有一项评审内容存在缺陷，根据缺陷内容，每出现一处缺陷扣0.5分，扣完为止。 说明：缺陷是指内容没有结合项目实际需求、虽有内容但不完善、内容表述前后不一致、套用其他项目方案或与项目需求不匹配及其他不利于项目实施的任意一种情形。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tc>
      </w:tr>
      <w:tr>
        <w:tc>
          <w:tcPr>
            <w:tcW w:type="dxa" w:w="831"/>
            <w:vMerge/>
          </w:tcPr>
          <w:p/>
        </w:tc>
        <w:tc>
          <w:tcPr>
            <w:tcW w:type="dxa" w:w="1661"/>
          </w:tcPr>
          <w:p>
            <w:pPr>
              <w:pStyle w:val="null3"/>
            </w:pPr>
            <w:r>
              <w:rPr>
                <w:rFonts w:ascii="仿宋_GB2312" w:hAnsi="仿宋_GB2312" w:cs="仿宋_GB2312" w:eastAsia="仿宋_GB2312"/>
              </w:rPr>
              <w:t>施工机械配备和材料投入计划</w:t>
            </w:r>
          </w:p>
        </w:tc>
        <w:tc>
          <w:tcPr>
            <w:tcW w:type="dxa" w:w="2492"/>
          </w:tcPr>
          <w:p>
            <w:pPr>
              <w:pStyle w:val="null3"/>
            </w:pPr>
            <w:r>
              <w:rPr>
                <w:rFonts w:ascii="仿宋_GB2312" w:hAnsi="仿宋_GB2312" w:cs="仿宋_GB2312" w:eastAsia="仿宋_GB2312"/>
              </w:rPr>
              <w:t>一、评审内容：供应商针对本项目有完善的①施工机械配备；②材料投入计划。 二、评审标准： 1、完善性：方案必须全面，对评审内容中的各项要求有详细阐述； 2、可实施性：切合本项目实际情况，提出步骤清晰、合理的方案； 3、针对性：方案能够紧扣项目实际情况，内容科学合理。 上述2项评审内容全部满足评审标准得 6分，评审内容缺项每项扣3分，每有一项评审内容存在缺陷，根据缺陷内容，每出现一处缺陷扣0.5分，扣完为止。 说明：缺陷是指内容没有结合项目实际需求、虽有内容但不完善、内容表述前后不一致、套用其他项目方案或与项目需求不匹配及其他不利于项目实施的任意一种情形。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一、评审内容：针对本项目有切实可行的①人员事故应急预案；②突发暴雨、大风、大雾等特殊天气的应急预案。 二、评审标准： 1、完善性：方案必须全面，对评审内容中的各项要求有详细阐述； 2、可实施性：切合本项目实际情况，提出步骤清晰、合理的方案； 3、针对性：方案能够紧扣项目实际情况，内容科学合理。 上述2项评审内容全部满足评审标准得 4分，评审内容缺项每项扣2分，每有一项评审内容存在缺陷，根据缺陷内容，每出现一处缺陷扣0.5分，扣完为止。 说明：缺陷是指内容没有结合项目实际需求、虽有内容但不完善、内容表述前后不一致、套用其他项目方案或与项目需求不匹配及其他不利于项目实施的任意一种情形。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tc>
      </w:tr>
      <w:tr>
        <w:tc>
          <w:tcPr>
            <w:tcW w:type="dxa" w:w="831"/>
            <w:vMerge/>
          </w:tcPr>
          <w:p/>
        </w:tc>
        <w:tc>
          <w:tcPr>
            <w:tcW w:type="dxa" w:w="1661"/>
          </w:tcPr>
          <w:p>
            <w:pPr>
              <w:pStyle w:val="null3"/>
            </w:pPr>
            <w:r>
              <w:rPr>
                <w:rFonts w:ascii="仿宋_GB2312" w:hAnsi="仿宋_GB2312" w:cs="仿宋_GB2312" w:eastAsia="仿宋_GB2312"/>
              </w:rPr>
              <w:t>供应商承诺及合理化建议</w:t>
            </w:r>
          </w:p>
        </w:tc>
        <w:tc>
          <w:tcPr>
            <w:tcW w:type="dxa" w:w="2492"/>
          </w:tcPr>
          <w:p>
            <w:pPr>
              <w:pStyle w:val="null3"/>
            </w:pPr>
            <w:r>
              <w:rPr>
                <w:rFonts w:ascii="仿宋_GB2312" w:hAnsi="仿宋_GB2312" w:cs="仿宋_GB2312" w:eastAsia="仿宋_GB2312"/>
              </w:rPr>
              <w:t>一、评审内容：供应商针对本项目有具体的服务承诺及合理化建议：①施工材料、所用产品质量、项目人员配备的承诺；②后续服务的承诺；③针对本项目的合理化建议。 二、评审标准： 1、完善性：方案必须全面，对评审内容中的各项要求有详细阐述； 2、可实施性：切合本项目实际情况，提出步骤清晰、合理的方案； 3、针对性：方案能够紧扣项目实际情况，内容科学合理。 上述3项评审内容全部满足评审标准得 6分，评审内容缺项每项扣2分，每有一项评审内容存在缺陷，根据缺陷内容，每出现一处缺陷扣0.5分，扣完为止。 说明：缺陷是指内容没有结合项目实际需求、虽有内容但不完善、内容表述前后不一致、套用其他项目方案或与项目需求不匹配及其他不利于项目实施的任意一种情形。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tc>
      </w:tr>
      <w:tr>
        <w:tc>
          <w:tcPr>
            <w:tcW w:type="dxa" w:w="831"/>
            <w:vMerge/>
          </w:tcPr>
          <w:p/>
        </w:tc>
        <w:tc>
          <w:tcPr>
            <w:tcW w:type="dxa" w:w="1661"/>
          </w:tcPr>
          <w:p>
            <w:pPr>
              <w:pStyle w:val="null3"/>
            </w:pPr>
            <w:r>
              <w:rPr>
                <w:rFonts w:ascii="仿宋_GB2312" w:hAnsi="仿宋_GB2312" w:cs="仿宋_GB2312" w:eastAsia="仿宋_GB2312"/>
              </w:rPr>
              <w:t>类似业绩</w:t>
            </w:r>
          </w:p>
        </w:tc>
        <w:tc>
          <w:tcPr>
            <w:tcW w:type="dxa" w:w="2492"/>
          </w:tcPr>
          <w:p>
            <w:pPr>
              <w:pStyle w:val="null3"/>
            </w:pPr>
            <w:r>
              <w:rPr>
                <w:rFonts w:ascii="仿宋_GB2312" w:hAnsi="仿宋_GB2312" w:cs="仿宋_GB2312" w:eastAsia="仿宋_GB2312"/>
              </w:rPr>
              <w:t>供应商提供自2023年01月01日至今类似项目业绩，每提供1份得2分，最高得6分；业绩证明（时间以合同（协议）签订时间或中标（成交）通知书落款时间为准，须在磋商响应文件中附合同（协议）或中标（成交）通知书的扫描件加盖单位公章）弄虚作假者，取消其成交资格。</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磋商方案.docx</w:t>
            </w:r>
          </w:p>
          <w:p>
            <w:pPr>
              <w:pStyle w:val="null3"/>
            </w:pPr>
            <w:r>
              <w:rPr>
                <w:rFonts w:ascii="仿宋_GB2312" w:hAnsi="仿宋_GB2312" w:cs="仿宋_GB2312" w:eastAsia="仿宋_GB2312"/>
              </w:rPr>
              <w:t>业绩.docx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投标价格得分</w:t>
            </w:r>
          </w:p>
        </w:tc>
        <w:tc>
          <w:tcPr>
            <w:tcW w:type="dxa" w:w="2492"/>
          </w:tcPr>
          <w:p>
            <w:pPr>
              <w:pStyle w:val="null3"/>
            </w:pPr>
            <w:r>
              <w:rPr>
                <w:rFonts w:ascii="仿宋_GB2312" w:hAnsi="仿宋_GB2312" w:cs="仿宋_GB2312" w:eastAsia="仿宋_GB2312"/>
              </w:rPr>
              <w:t>1.经初审合格的磋商响应文件，其磋商报价为有效磋商报价。2.满足磋商文件实质性要求且最终报价，最低的供应商的价格为磋商基准价，其价格分为满分30分。3.磋商报价得分=（磋商基准价/最终磋商报价）×30的公式计算得分。4.磋商报价不完整的，不进入基准价的计算，本项得0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详见附件：磋商方案.docx</w:t>
      </w:r>
    </w:p>
    <w:p>
      <w:pPr>
        <w:pStyle w:val="null3"/>
        <w:ind w:firstLine="960"/>
      </w:pPr>
      <w:r>
        <w:rPr>
          <w:rFonts w:ascii="仿宋_GB2312" w:hAnsi="仿宋_GB2312" w:cs="仿宋_GB2312" w:eastAsia="仿宋_GB2312"/>
        </w:rPr>
        <w:t>详见附件：供应商参加政府采购活动承诺书.docx</w:t>
      </w:r>
    </w:p>
    <w:p>
      <w:pPr>
        <w:pStyle w:val="null3"/>
        <w:ind w:firstLine="960"/>
      </w:pPr>
      <w:r>
        <w:rPr>
          <w:rFonts w:ascii="仿宋_GB2312" w:hAnsi="仿宋_GB2312" w:cs="仿宋_GB2312" w:eastAsia="仿宋_GB2312"/>
        </w:rPr>
        <w:t>详见附件：其它说明.docx</w:t>
      </w:r>
    </w:p>
    <w:p>
      <w:pPr>
        <w:pStyle w:val="null3"/>
        <w:ind w:firstLine="960"/>
      </w:pPr>
      <w:r>
        <w:rPr>
          <w:rFonts w:ascii="仿宋_GB2312" w:hAnsi="仿宋_GB2312" w:cs="仿宋_GB2312" w:eastAsia="仿宋_GB2312"/>
        </w:rPr>
        <w:t>详见附件：商务条款偏离表.docx</w:t>
      </w:r>
    </w:p>
    <w:p>
      <w:pPr>
        <w:pStyle w:val="null3"/>
        <w:ind w:firstLine="960"/>
      </w:pPr>
      <w:r>
        <w:rPr>
          <w:rFonts w:ascii="仿宋_GB2312" w:hAnsi="仿宋_GB2312" w:cs="仿宋_GB2312" w:eastAsia="仿宋_GB2312"/>
        </w:rPr>
        <w:t>详见附件：项目管理机构人员表.docx</w:t>
      </w:r>
    </w:p>
    <w:p>
      <w:pPr>
        <w:pStyle w:val="null3"/>
        <w:ind w:firstLine="960"/>
      </w:pPr>
      <w:r>
        <w:rPr>
          <w:rFonts w:ascii="仿宋_GB2312" w:hAnsi="仿宋_GB2312" w:cs="仿宋_GB2312" w:eastAsia="仿宋_GB2312"/>
        </w:rPr>
        <w:t>详见附件：业绩.docx</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详见附件：资格证明文件.docx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