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版本号：SXLH-ZB-2026-01120260526001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黑河水源地能力提升项目（黑河水源地污水处理站系统提升）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SXLH-ZB-2026-011</w:t>
      </w:r>
      <w:r>
        <w:br/>
      </w:r>
      <w:r>
        <w:br/>
      </w:r>
      <w:r>
        <w:br/>
      </w:r>
    </w:p>
    <w:p>
      <w:pPr>
        <w:pStyle w:val="null3"/>
        <w:jc w:val="center"/>
        <w:outlineLvl w:val="2"/>
      </w:pPr>
      <w:r>
        <w:rPr>
          <w:rFonts w:ascii="仿宋_GB2312" w:hAnsi="仿宋_GB2312" w:cs="仿宋_GB2312" w:eastAsia="仿宋_GB2312"/>
          <w:sz w:val="28"/>
          <w:b/>
        </w:rPr>
        <w:t>西安市黑河水源地环境保护管理总站</w:t>
      </w:r>
    </w:p>
    <w:p>
      <w:pPr>
        <w:pStyle w:val="null3"/>
        <w:jc w:val="center"/>
        <w:outlineLvl w:val="2"/>
      </w:pPr>
      <w:r>
        <w:rPr>
          <w:rFonts w:ascii="仿宋_GB2312" w:hAnsi="仿宋_GB2312" w:cs="仿宋_GB2312" w:eastAsia="仿宋_GB2312"/>
          <w:sz w:val="28"/>
          <w:b/>
        </w:rPr>
        <w:t>陕西翎海项目管理有限公司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陕西翎海项目管理有限公司</w:t>
      </w:r>
      <w:r>
        <w:rPr>
          <w:rFonts w:ascii="仿宋_GB2312" w:hAnsi="仿宋_GB2312" w:cs="仿宋_GB2312" w:eastAsia="仿宋_GB2312"/>
        </w:rPr>
        <w:t>（以下简称“代理机构”）受</w:t>
      </w:r>
      <w:r>
        <w:rPr>
          <w:rFonts w:ascii="仿宋_GB2312" w:hAnsi="仿宋_GB2312" w:cs="仿宋_GB2312" w:eastAsia="仿宋_GB2312"/>
        </w:rPr>
        <w:t>西安市黑河水源地环境保护管理总站</w:t>
      </w:r>
      <w:r>
        <w:rPr>
          <w:rFonts w:ascii="仿宋_GB2312" w:hAnsi="仿宋_GB2312" w:cs="仿宋_GB2312" w:eastAsia="仿宋_GB2312"/>
        </w:rPr>
        <w:t>委托，拟对</w:t>
      </w:r>
      <w:r>
        <w:rPr>
          <w:rFonts w:ascii="仿宋_GB2312" w:hAnsi="仿宋_GB2312" w:cs="仿宋_GB2312" w:eastAsia="仿宋_GB2312"/>
        </w:rPr>
        <w:t>黑河水源地能力提升项目（黑河水源地污水处理站系统提升）</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SXLH-ZB-2026-011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黑河水源地能力提升项目（黑河水源地污水处理站系统提升）</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为保障西安市黑河水源地水质安全，适配新的污染源排放标准，拟对西安市 黑河水源地环境保护管理总站及沙梁子分站的老旧污水处理站进行系统更新，采 购 2 套污水处理设施。其中，总站更新后处理能力需达到 20m³/d，沙梁子分站需 达到 5m³/d，均需满足《城镇污水处理厂污染物排放标准》（GB18918-2002(含2006年、2025年修改单)）一 级 A 标准，同步完成场站园林化布置及规范标识设置，确保污水处理设施稳定达 标运行，筑牢水源地生态安全防线。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p>
      <w:pPr>
        <w:pStyle w:val="null3"/>
      </w:pPr>
      <w:r>
        <w:rPr>
          <w:rFonts w:ascii="仿宋_GB2312" w:hAnsi="仿宋_GB2312" w:cs="仿宋_GB2312" w:eastAsia="仿宋_GB2312"/>
        </w:rPr>
        <w:t>2、授权委托书：提供法定代表人授权书（附法定代表人、被授权人身份证复印件）及被授权人身份证原件（法定代表人直接参加投标，须提供法定代表人身份证明及身份证原件）</w:t>
      </w:r>
    </w:p>
    <w:p>
      <w:pPr>
        <w:pStyle w:val="null3"/>
      </w:pPr>
      <w:r>
        <w:rPr>
          <w:rFonts w:ascii="仿宋_GB2312" w:hAnsi="仿宋_GB2312" w:cs="仿宋_GB2312" w:eastAsia="仿宋_GB2312"/>
        </w:rPr>
        <w:t>3、财务状况：须提供经会计事务所或审计机构出具的2024年或2025年完整的财务审计报告（注：带二维码清晰可查验，提供的财务审计报告需在注册会计师行业统一监管平台（http://acc.mof.gov.cn/）可查询并提供网站查询截图）公司成立不足一年的提供成立以来的财务报表，至少包括资产负债表、利润表、现金流量表或开标前三个月内基本账户银行出具的资信证明（资信证明的开具内容至少包含主体信息、资信状况和证明说明）及基本账户开户许可证（或开户行基本信息）。事业单位或其他机构只需提供本单位相关财务报表（至少包括资产负债表、利润表、现金流量表）</w:t>
      </w:r>
    </w:p>
    <w:p>
      <w:pPr>
        <w:pStyle w:val="null3"/>
      </w:pPr>
      <w:r>
        <w:rPr>
          <w:rFonts w:ascii="仿宋_GB2312" w:hAnsi="仿宋_GB2312" w:cs="仿宋_GB2312" w:eastAsia="仿宋_GB2312"/>
        </w:rPr>
        <w:t>4、企业资质：供应商企业应具备市政公用工程施工总承包二级或环保工程专业承包二级及以上资质，且有合法有效的安全生产许可证，并在人员、设备、资金等方面具备相应的能力</w:t>
      </w:r>
    </w:p>
    <w:p>
      <w:pPr>
        <w:pStyle w:val="null3"/>
      </w:pPr>
      <w:r>
        <w:rPr>
          <w:rFonts w:ascii="仿宋_GB2312" w:hAnsi="仿宋_GB2312" w:cs="仿宋_GB2312" w:eastAsia="仿宋_GB2312"/>
        </w:rPr>
        <w:t>5、项目经理：供应商拟派项目经理具备市政公用工程专业注册建造师二级及以上执业资格，在本单位注册，并具有有效的安全生产考核合格证书（建安 B 证），且未担任其他在建工程项目的项目经理</w:t>
      </w:r>
    </w:p>
    <w:p>
      <w:pPr>
        <w:pStyle w:val="null3"/>
      </w:pPr>
      <w:r>
        <w:rPr>
          <w:rFonts w:ascii="仿宋_GB2312" w:hAnsi="仿宋_GB2312" w:cs="仿宋_GB2312" w:eastAsia="仿宋_GB2312"/>
        </w:rPr>
        <w:t>6、税收缴纳证明：提供2025年5月1日至今任意一个月的纳税证明或完税证明（任意税种），依法免税的单位应提供相关证明材料</w:t>
      </w:r>
    </w:p>
    <w:p>
      <w:pPr>
        <w:pStyle w:val="null3"/>
      </w:pPr>
      <w:r>
        <w:rPr>
          <w:rFonts w:ascii="仿宋_GB2312" w:hAnsi="仿宋_GB2312" w:cs="仿宋_GB2312" w:eastAsia="仿宋_GB2312"/>
        </w:rPr>
        <w:t>7、社会保障资金缴纳证明：提供2025年5月1日至今任意一个月的社会保障资金缴存单据或社保机构开具的社会保险参保缴费情况证明，依法不需要缴纳社会保障资金的单位应提供相关证明材料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信用查询截图：供应商提供在“中国执行信息公开网”未被列入失信被执行人、“信用中国”未被列入重大税收违法失信主体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9、书面声明：参加本次政府采购活动前三年内在经营活动中没有重大违纪的书面声明</w:t>
      </w:r>
    </w:p>
    <w:p>
      <w:pPr>
        <w:pStyle w:val="null3"/>
      </w:pPr>
      <w:r>
        <w:rPr>
          <w:rFonts w:ascii="仿宋_GB2312" w:hAnsi="仿宋_GB2312" w:cs="仿宋_GB2312" w:eastAsia="仿宋_GB2312"/>
        </w:rPr>
        <w:t>10、书面承诺：提供具有履行合同所必需的设备和专业技术能力的承诺</w:t>
      </w:r>
    </w:p>
    <w:p>
      <w:pPr>
        <w:pStyle w:val="null3"/>
      </w:pPr>
      <w:r>
        <w:rPr>
          <w:rFonts w:ascii="仿宋_GB2312" w:hAnsi="仿宋_GB2312" w:cs="仿宋_GB2312" w:eastAsia="仿宋_GB2312"/>
        </w:rPr>
        <w:t>11、控股关系：单位负责人为同一人或者存在直接控股、管理关系的不同投标人，不得参加同一合同项下的政府采购活动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12、非联合体磋商声明：本项目不接受联合体磋商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西安市黑河水源地环境保护管理总站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西安市周至县马召镇武家庄村金盆水库大坝交通桥西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西安市黑河水源地环境保护管理总站经办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13709189388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陕西翎海项目管理有限公司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陕西省西安市灞桥区陕西省西安市灞桥区半坡国际广场6号楼1801室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18691039583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代理服务费收费标准：招标代理费等相关费用由成交供应商支付，参照国家发展计划委员会文件《计价格〔2002〕1980号》取费标准规定的计取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西安市黑河水源地环境保护管理总站</w:t>
      </w:r>
      <w:r>
        <w:rPr>
          <w:rFonts w:ascii="仿宋_GB2312" w:hAnsi="仿宋_GB2312" w:cs="仿宋_GB2312" w:eastAsia="仿宋_GB2312"/>
        </w:rPr>
        <w:t>和</w:t>
      </w:r>
      <w:r>
        <w:rPr>
          <w:rFonts w:ascii="仿宋_GB2312" w:hAnsi="仿宋_GB2312" w:cs="仿宋_GB2312" w:eastAsia="仿宋_GB2312"/>
        </w:rPr>
        <w:t>陕西翎海项目管理有限公司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西安市黑河水源地环境保护管理总站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陕西翎海项目管理有限公司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西安市黑河水源地环境保护管理总站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陕西翎海项目管理有限公司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联系人：齐敏</w:t>
      </w:r>
    </w:p>
    <w:p>
      <w:pPr>
        <w:pStyle w:val="null3"/>
      </w:pPr>
      <w:r>
        <w:rPr>
          <w:rFonts w:ascii="仿宋_GB2312" w:hAnsi="仿宋_GB2312" w:cs="仿宋_GB2312" w:eastAsia="仿宋_GB2312"/>
        </w:rPr>
        <w:t>联系电话：18691039583</w:t>
      </w:r>
    </w:p>
    <w:p>
      <w:pPr>
        <w:pStyle w:val="null3"/>
      </w:pPr>
      <w:r>
        <w:rPr>
          <w:rFonts w:ascii="仿宋_GB2312" w:hAnsi="仿宋_GB2312" w:cs="仿宋_GB2312" w:eastAsia="仿宋_GB2312"/>
        </w:rPr>
        <w:t>地址：陕西省西安市灞桥区半坡国际广场 6 号楼 1801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805,000.00</w:t>
      </w:r>
    </w:p>
    <w:p>
      <w:pPr>
        <w:pStyle w:val="null3"/>
      </w:pPr>
      <w:r>
        <w:rPr>
          <w:rFonts w:ascii="仿宋_GB2312" w:hAnsi="仿宋_GB2312" w:cs="仿宋_GB2312" w:eastAsia="仿宋_GB2312"/>
        </w:rPr>
        <w:t>采购包最高限价（元）: 801,012.36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黑河水源地能力提升项目 (黑河水源地污水处理站系统提升)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标的名称：黑河水源地能力提升项目 (黑河水源地污水处理站系统提升)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1）原设备构筑物拆除、新建隔油池、格栅池。场地限制最大面积3*9米,无法下挖,一体</w:t>
            </w:r>
          </w:p>
          <w:p>
            <w:pPr>
              <w:pStyle w:val="null3"/>
              <w:jc w:val="left"/>
            </w:pPr>
            <w:r>
              <w:rPr>
                <w:rFonts w:ascii="仿宋_GB2312" w:hAnsi="仿宋_GB2312" w:cs="仿宋_GB2312" w:eastAsia="仿宋_GB2312"/>
                <w:sz w:val="21"/>
                <w:color w:val="333333"/>
              </w:rPr>
              <w:t>化设备需集成调节池、清水池、污泥池</w:t>
            </w:r>
            <w:r>
              <w:rPr>
                <w:rFonts w:ascii="仿宋_GB2312" w:hAnsi="仿宋_GB2312" w:cs="仿宋_GB2312" w:eastAsia="仿宋_GB2312"/>
                <w:sz w:val="21"/>
                <w:color w:val="333333"/>
              </w:rPr>
              <w:t>.</w:t>
            </w:r>
          </w:p>
          <w:p>
            <w:pPr>
              <w:pStyle w:val="null3"/>
              <w:jc w:val="left"/>
            </w:pPr>
            <w:r>
              <w:rPr>
                <w:rFonts w:ascii="仿宋_GB2312" w:hAnsi="仿宋_GB2312" w:cs="仿宋_GB2312" w:eastAsia="仿宋_GB2312"/>
                <w:sz w:val="21"/>
                <w:color w:val="333333"/>
              </w:rPr>
              <w:t>设备箱体</w:t>
            </w:r>
          </w:p>
          <w:p>
            <w:pPr>
              <w:pStyle w:val="null3"/>
              <w:jc w:val="left"/>
            </w:pPr>
            <w:r>
              <w:rPr>
                <w:rFonts w:ascii="仿宋_GB2312" w:hAnsi="仿宋_GB2312" w:cs="仿宋_GB2312" w:eastAsia="仿宋_GB2312"/>
                <w:sz w:val="21"/>
                <w:color w:val="333333"/>
              </w:rPr>
              <w:t>1、设备箱体板材厚度不低于8mm。钢结构表面除锈质量应达到GB/T8923中Sa3级要求。箱体主体采用碳钢材质，Q235-A 热轧碳钢，须用经过热处理的钢材。设备加工完成后采用整体喷砂，喷砂后采用喷漆防腐，防腐要求：容器内表面做环氧沥青防腐处理。保温：阻燃保温棉，50mm。设备外观是：四周顶盖为钢制装饰板</w:t>
            </w:r>
          </w:p>
          <w:p>
            <w:pPr>
              <w:pStyle w:val="null3"/>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3）膜材质：产水不小20%余量；膜清洗：设置在线清洗装置、在线清洗周期不小于3个月、MBR膜檫洗气水比不小于25：1； 膜架：采用304不锈钢材质；</w:t>
            </w:r>
          </w:p>
          <w:p>
            <w:pPr>
              <w:pStyle w:val="null3"/>
              <w:jc w:val="left"/>
            </w:pPr>
            <w:r>
              <w:rPr>
                <w:rFonts w:ascii="仿宋_GB2312" w:hAnsi="仿宋_GB2312" w:cs="仿宋_GB2312" w:eastAsia="仿宋_GB2312"/>
                <w:sz w:val="21"/>
                <w:color w:val="333333"/>
              </w:rPr>
              <w:t>(4)风机、泵类采用国内一线品牌、均一用一备</w:t>
            </w:r>
          </w:p>
          <w:p>
            <w:pPr>
              <w:pStyle w:val="null3"/>
              <w:jc w:val="left"/>
            </w:pPr>
            <w:r>
              <w:rPr>
                <w:rFonts w:ascii="仿宋_GB2312" w:hAnsi="仿宋_GB2312" w:cs="仿宋_GB2312" w:eastAsia="仿宋_GB2312"/>
                <w:sz w:val="21"/>
                <w:color w:val="333333"/>
              </w:rPr>
              <w:t>(5)电器及自动控制系统：处理设备控制柜为 PLC控制柜，喷塑处理或不锈钢，双层门板，内门安装触摸屏。 柜内低压元件一线品牌控制柜要求具有手动/自动/远程三种控制模式，自动模式下设备根据液位，时间等实现自动运行；设备具有过载保护，故障报警等功能，</w:t>
            </w:r>
          </w:p>
          <w:p>
            <w:pPr>
              <w:pStyle w:val="null3"/>
              <w:jc w:val="left"/>
            </w:pPr>
            <w:r>
              <w:rPr>
                <w:rFonts w:ascii="仿宋_GB2312" w:hAnsi="仿宋_GB2312" w:cs="仿宋_GB2312" w:eastAsia="仿宋_GB2312"/>
                <w:sz w:val="21"/>
                <w:color w:val="333333"/>
              </w:rPr>
              <w:t>达到安全运行；</w:t>
            </w:r>
            <w:r>
              <w:rPr>
                <w:rFonts w:ascii="仿宋_GB2312" w:hAnsi="仿宋_GB2312" w:cs="仿宋_GB2312" w:eastAsia="仿宋_GB2312"/>
                <w:sz w:val="21"/>
                <w:color w:val="333333"/>
              </w:rPr>
              <w:t>能实现单套处理设备独立启，停操作，实现参数可调节；所有运行数据需完全采集，如进出水流量，累计流量，膜负压，等</w:t>
            </w:r>
          </w:p>
          <w:p>
            <w:pPr>
              <w:pStyle w:val="null3"/>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6）场站园林化布置</w:t>
            </w:r>
          </w:p>
          <w:p>
            <w:pPr>
              <w:pStyle w:val="null3"/>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7）标识牌按照规范要求</w:t>
            </w:r>
          </w:p>
          <w:p>
            <w:pPr>
              <w:pStyle w:val="null3"/>
              <w:jc w:val="left"/>
            </w:pPr>
            <w:r>
              <w:rPr>
                <w:rFonts w:ascii="仿宋_GB2312" w:hAnsi="仿宋_GB2312" w:cs="仿宋_GB2312" w:eastAsia="仿宋_GB2312"/>
                <w:sz w:val="21"/>
                <w:color w:val="333333"/>
              </w:rPr>
              <w:t>沙梁子分站污水处理站</w:t>
            </w:r>
          </w:p>
          <w:p>
            <w:pPr>
              <w:pStyle w:val="null3"/>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1）新建化粪池、调节池和 AO一体化设备</w:t>
            </w:r>
          </w:p>
          <w:p>
            <w:pPr>
              <w:pStyle w:val="null3"/>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2）人工湿地采用耐寒植株</w:t>
            </w:r>
          </w:p>
          <w:p>
            <w:pPr>
              <w:pStyle w:val="null3"/>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3）控制柜要求具有手动/自动控制模式</w:t>
            </w:r>
          </w:p>
          <w:p>
            <w:pPr>
              <w:pStyle w:val="null3"/>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3）场站园林化布置</w:t>
            </w:r>
          </w:p>
          <w:p>
            <w:pPr>
              <w:pStyle w:val="null3"/>
              <w:jc w:val="left"/>
            </w:pPr>
            <w:r>
              <w:rPr>
                <w:rFonts w:ascii="仿宋_GB2312" w:hAnsi="仿宋_GB2312" w:cs="仿宋_GB2312" w:eastAsia="仿宋_GB2312"/>
                <w:sz w:val="21"/>
                <w:color w:val="333333"/>
              </w:rPr>
              <w:t>（</w:t>
            </w:r>
            <w:r>
              <w:rPr>
                <w:rFonts w:ascii="仿宋_GB2312" w:hAnsi="仿宋_GB2312" w:cs="仿宋_GB2312" w:eastAsia="仿宋_GB2312"/>
                <w:sz w:val="21"/>
                <w:color w:val="333333"/>
              </w:rPr>
              <w:t>4）标识牌按照规范要求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1.污水处理后达到《城镇污水处理厂污染物排放标准》（GB18918-2002(含2006年、2025年修改单)）一级 A 标准。 2.设备及施工质量：遵循《建设工程质量管理条例》《建筑给水排水及采暖 工程施工质量验收规范》（GB 50242-2019）； 3.钢结构及防腐质量：按照《涂装前钢材表面锈蚀等级和除锈等级》 （GB/T8923）执行； 4.电气及控制系统：符合《电气装置安装工程电气设备交接试验标准》（GB 50150-2016）及 PLC 控制系统相关行业规范； 5.整体工程验收：参照《建设工程施工质量验收统一标准》（GB 50300-2013）。</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 总站施工地点：西安市黑河水源地环境保护管理总站； 2. 分站施工地点：西安市黑河水源地环境保护管理总站沙梁子分站。 3.计划工期：自进场之日起180个日历日内竣工（具体工期可按采购方要求协商确定，承包人不得因甲方资金暂时不到位而影响工期）。 4.缺陷责任期 2年。 5.质量保修期： 质量保修期二年、现场建立易损件、常用件备品备件库。无故障每月回访。污水处理后达到《城镇污水处理厂污染物排放标准》（GB18918-2002(含2006年、2025年修改单)）一级A标准，须有第三方检测报告。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提供法定代表人授权书（附法定代表人、被授权人身份证复印件）及被授权人身份证原件（法定代表人直接参加投标，须提供法定代表人身份证明及身份证原件）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须提供经会计事务所或审计机构出具的2024年或2025年完整的财务审计报告（注：带二维码清晰可查验，提供的财务审计报告需在注册会计师行业统一监管平台（http://acc.mof.gov.cn/）可查询并提供网站查询截图）公司成立不足一年的提供成立以来的财务报表，至少包括资产负债表、利润表、现金流量表或开标前三个月内基本账户银行出具的资信证明（资信证明的开具内容至少包含主体信息、资信状况和证明说明）及基本账户开户许可证（或开户行基本信息）。事业单位或其他机构只需提供本单位相关财务报表（至少包括资产负债表、利润表、现金流量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供应商企业应具备市政公用工程施工总承包二级或环保工程专业承包二级及以上资质，且有合法有效的安全生产许可证，并在人员、设备、资金等方面具备相应的能力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供应商拟派项目经理具备市政公用工程专业注册建造师二级及以上执业资格，在本单位注册，并具有有效的安全生产考核合格证书（建安 B 证），且未担任其他在建工程项目的项目经理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提供2025年5月1日至今任意一个月的纳税证明或完税证明（任意税种），依法免税的单位应提供相关证明材料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提供2025年5月1日至今任意一个月的社会保障资金缴存单据或社保机构开具的社会保险参保缴费情况证明，依法不需要缴纳社会保障资金的单位应提供相关证明材料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提供在“中国执行信息公开网”未被列入失信被执行人、“信用中国”未被列入重大税收违法失信主体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磋商响应文件中项目名称、项目编号、包号与本项目一致，无遗漏</w:t>
            </w:r>
          </w:p>
        </w:tc>
        <w:tc>
          <w:tcPr>
            <w:tcW w:type="dxa" w:w="3322"/>
          </w:tcPr>
          <w:p>
            <w:pPr>
              <w:pStyle w:val="null3"/>
            </w:pPr>
            <w:r>
              <w:rPr>
                <w:rFonts w:ascii="仿宋_GB2312" w:hAnsi="仿宋_GB2312" w:cs="仿宋_GB2312" w:eastAsia="仿宋_GB2312"/>
              </w:rPr>
              <w:t>磋商响应文件中项目名称、项目编号、包号与本项目一致，无遗漏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磋商响应文件签署、盖章及磋商有效期符合磋商文件要求</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响应文件封面 响应函 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磋商内容未出现漏项或数量与要求不符</w:t>
            </w:r>
          </w:p>
        </w:tc>
        <w:tc>
          <w:tcPr>
            <w:tcW w:type="dxa" w:w="3322"/>
          </w:tcPr>
          <w:p>
            <w:pPr>
              <w:pStyle w:val="null3"/>
            </w:pPr>
            <w:r>
              <w:rPr>
                <w:rFonts w:ascii="仿宋_GB2312" w:hAnsi="仿宋_GB2312" w:cs="仿宋_GB2312" w:eastAsia="仿宋_GB2312"/>
              </w:rPr>
              <w:t>磋商内容未出现漏项或数量与要求不符</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磋商报价未超出采购预算或采购最高限价的</w:t>
            </w:r>
          </w:p>
        </w:tc>
        <w:tc>
          <w:tcPr>
            <w:tcW w:type="dxa" w:w="3322"/>
          </w:tcPr>
          <w:p>
            <w:pPr>
              <w:pStyle w:val="null3"/>
            </w:pPr>
            <w:r>
              <w:rPr>
                <w:rFonts w:ascii="仿宋_GB2312" w:hAnsi="仿宋_GB2312" w:cs="仿宋_GB2312" w:eastAsia="仿宋_GB2312"/>
              </w:rPr>
              <w:t>磋商报价未超出采购预算或采购最高限价的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无效磋商检查</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法定代表人授权书.docx 响应文件封面 项目管理机构组成表 残疾人福利性单位声明函 报价函 技术标响应方案.docx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方案能够针对本项目编制，符合项目实际情况及实施要求，内容详尽且涵盖角度基本全面，有一定的合理性和可行性的，得4分；方案基本能够针对本项目编制，基本符合项目实际情况及实施要求，内容较宽泛，涵盖角度不够全面，内容基本合理可行的，得3分；具有方案内容但内容未贴合本项目，内容涵盖角度不够全面且实施有难度的，得2分；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投入计划基本针对本项目编制，符合项目实际情况及实施要求，内容详尽且涵盖角度基本全面，有一定的合理性和可行性的，得4分；投入计划能够针对本项目编制，基本符合项目实际情况及实施要求，内容较详细，涵盖角度较全面但略有不完善，基本合理可行的，得3分；提供投入计划，但内容涵盖角度不够全面且实施具有一定难度，得2分；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网络图或进度表内容详尽、安排合理且实施性较强计4分；提供网络图或进度表内容、安排基本合理实施性缺乏计3分；提供网络图或进度表，内容不够全面，实施性不强计2分；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10分；承诺方案能够针对本项目编制，符合项目实际情况及实施要求，内容详尽且涵盖角度基本全面，有一定的合理性和可行性的，得8分；承诺方案内容基本能够针对本项目编制，基本符合项目实际情况及实施要求，内容较详细，涵盖角度较全面，基本合理可行的，得6分； 具有承诺内容但内容未贴合本项目，承诺内容涵盖角度不全面且实施有难度的，得4分；具有承诺内容但内容未针对本项目，内容空洞宽泛，可实施性不强，得2分；未提供承诺内容不得分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提供供应商2023年5月1日至今类似项目（以合同复印件加盖公章为准）每个计2分，最高得10分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以实质性满足竞争性磋商文件要求的最低投标价格为基准值，投标报价得分=（评标基准价/投标报价）×30。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详见附件：技术标响应方案.docx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