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2E820">
      <w:pPr>
        <w:keepNext/>
        <w:keepLines/>
        <w:spacing w:line="240" w:lineRule="auto"/>
        <w:jc w:val="center"/>
        <w:outlineLvl w:val="0"/>
        <w:rPr>
          <w:rFonts w:hint="eastAsia" w:ascii="黑体" w:hAnsi="黑体" w:eastAsia="黑体" w:cs="黑体"/>
          <w:b w:val="0"/>
          <w:bCs/>
          <w:color w:val="auto"/>
          <w:kern w:val="44"/>
          <w:sz w:val="32"/>
          <w:szCs w:val="40"/>
          <w:lang w:val="en-US" w:eastAsia="zh-CN" w:bidi="ar-SA"/>
        </w:rPr>
      </w:pPr>
      <w:bookmarkStart w:id="0" w:name="_Toc10476_WPSOffice_Level1"/>
      <w:bookmarkStart w:id="1" w:name="_Toc31517"/>
      <w:bookmarkStart w:id="2" w:name="_Toc2772"/>
      <w:bookmarkStart w:id="3" w:name="_Toc22915"/>
      <w:bookmarkStart w:id="4" w:name="_Toc6345"/>
      <w:r>
        <w:rPr>
          <w:rFonts w:hint="eastAsia" w:ascii="黑体" w:hAnsi="黑体" w:eastAsia="黑体" w:cs="黑体"/>
          <w:b w:val="0"/>
          <w:bCs/>
          <w:color w:val="auto"/>
          <w:kern w:val="44"/>
          <w:sz w:val="32"/>
          <w:szCs w:val="40"/>
          <w:lang w:val="en-US" w:eastAsia="zh-CN" w:bidi="ar-SA"/>
        </w:rPr>
        <w:t>第三章  磋商内容及采</w:t>
      </w:r>
      <w:bookmarkEnd w:id="0"/>
      <w:r>
        <w:rPr>
          <w:rFonts w:hint="eastAsia" w:ascii="黑体" w:hAnsi="黑体" w:eastAsia="黑体" w:cs="黑体"/>
          <w:b w:val="0"/>
          <w:bCs/>
          <w:color w:val="auto"/>
          <w:kern w:val="44"/>
          <w:sz w:val="32"/>
          <w:szCs w:val="40"/>
          <w:lang w:val="en-US" w:eastAsia="zh-CN" w:bidi="ar-SA"/>
        </w:rPr>
        <w:t>购要求</w:t>
      </w:r>
      <w:bookmarkEnd w:id="1"/>
      <w:bookmarkEnd w:id="2"/>
      <w:bookmarkEnd w:id="3"/>
      <w:bookmarkEnd w:id="4"/>
    </w:p>
    <w:p w14:paraId="2605FFD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根据开发区目前机关后勤服务需求，经市场调研询价及每年开支情况，预算机关后勤服务</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门岗：年龄要求50岁以下；保洁：年龄要求60岁以下；会议服务：年龄要求</w:t>
      </w:r>
      <w:r>
        <w:rPr>
          <w:rFonts w:hint="eastAsia" w:ascii="仿宋_GB2312" w:hAnsi="仿宋_GB2312" w:eastAsia="仿宋_GB2312" w:cs="仿宋_GB2312"/>
          <w:sz w:val="28"/>
          <w:szCs w:val="28"/>
          <w:lang w:val="en-US" w:eastAsia="zh-CN"/>
        </w:rPr>
        <w:t>36</w:t>
      </w:r>
      <w:r>
        <w:rPr>
          <w:rFonts w:hint="eastAsia" w:ascii="仿宋_GB2312" w:hAnsi="仿宋_GB2312" w:eastAsia="仿宋_GB2312" w:cs="仿宋_GB2312"/>
          <w:sz w:val="28"/>
          <w:szCs w:val="28"/>
        </w:rPr>
        <w:t>岁以下、项目管理人员：年龄要求50岁以下；维修人员：年龄要求</w:t>
      </w:r>
      <w:r>
        <w:rPr>
          <w:rFonts w:hint="eastAsia" w:ascii="仿宋_GB2312" w:hAnsi="仿宋_GB2312" w:eastAsia="仿宋_GB2312" w:cs="仿宋_GB2312"/>
          <w:sz w:val="28"/>
          <w:szCs w:val="28"/>
          <w:lang w:val="en-US" w:eastAsia="zh-CN"/>
        </w:rPr>
        <w:t>50</w:t>
      </w:r>
      <w:r>
        <w:rPr>
          <w:rFonts w:hint="eastAsia" w:ascii="仿宋_GB2312" w:hAnsi="仿宋_GB2312" w:eastAsia="仿宋_GB2312" w:cs="仿宋_GB2312"/>
          <w:sz w:val="28"/>
          <w:szCs w:val="28"/>
        </w:rPr>
        <w:t>岁以下</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总预计配备11人）人员工资、社保</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日常消耗</w:t>
      </w:r>
      <w:r>
        <w:rPr>
          <w:rFonts w:hint="eastAsia" w:ascii="仿宋_GB2312" w:hAnsi="仿宋_GB2312" w:eastAsia="仿宋_GB2312" w:cs="仿宋_GB2312"/>
          <w:sz w:val="28"/>
          <w:szCs w:val="28"/>
          <w:lang w:eastAsia="zh-CN"/>
        </w:rPr>
        <w:t>及</w:t>
      </w:r>
      <w:r>
        <w:rPr>
          <w:rFonts w:hint="eastAsia" w:ascii="仿宋_GB2312" w:hAnsi="仿宋_GB2312" w:eastAsia="仿宋_GB2312" w:cs="仿宋_GB2312"/>
          <w:sz w:val="28"/>
          <w:szCs w:val="28"/>
        </w:rPr>
        <w:t>电梯维修维护支出</w:t>
      </w:r>
      <w:r>
        <w:rPr>
          <w:rFonts w:hint="eastAsia" w:ascii="仿宋_GB2312" w:hAnsi="仿宋_GB2312" w:eastAsia="仿宋_GB2312" w:cs="仿宋_GB2312"/>
          <w:sz w:val="28"/>
          <w:szCs w:val="28"/>
          <w:lang w:eastAsia="zh-CN"/>
        </w:rPr>
        <w:t>均纳入总预算</w:t>
      </w:r>
      <w:r>
        <w:rPr>
          <w:rFonts w:hint="eastAsia" w:ascii="仿宋_GB2312" w:hAnsi="仿宋_GB2312" w:eastAsia="仿宋_GB2312" w:cs="仿宋_GB2312"/>
          <w:sz w:val="28"/>
          <w:szCs w:val="28"/>
        </w:rPr>
        <w:t>；机关食堂（预计配备5人：年龄要求55岁以下，不限男女）人员工资、社保及基本运营支出</w:t>
      </w:r>
      <w:r>
        <w:rPr>
          <w:rFonts w:hint="eastAsia" w:ascii="仿宋_GB2312" w:hAnsi="仿宋_GB2312" w:eastAsia="仿宋_GB2312" w:cs="仿宋_GB2312"/>
          <w:sz w:val="28"/>
          <w:szCs w:val="28"/>
          <w:lang w:eastAsia="zh-CN"/>
        </w:rPr>
        <w:t>均纳入总预算</w:t>
      </w:r>
      <w:r>
        <w:rPr>
          <w:rFonts w:hint="eastAsia" w:ascii="仿宋_GB2312" w:hAnsi="仿宋_GB2312" w:eastAsia="仿宋_GB2312" w:cs="仿宋_GB2312"/>
          <w:sz w:val="28"/>
          <w:szCs w:val="28"/>
        </w:rPr>
        <w:t>（具体以实际合同为准）。</w:t>
      </w:r>
    </w:p>
    <w:p w14:paraId="74BE41F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一、项目概况</w:t>
      </w:r>
    </w:p>
    <w:p w14:paraId="09269E9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经开区管委会机关现有办公场所位于汉中市汉台区天汉大道北段1号院内，占地25.314亩。主任办公楼四层、招商服务楼七层、电信大楼七层、厨房餐厅两层（实际使用一层），主任办公楼用于党工委管委会领导日常办公及小型会议，招商服务楼及电信大楼主要用于各局办公及召开大型会议。</w:t>
      </w:r>
    </w:p>
    <w:p w14:paraId="7A9DA132">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二、机关后勤保障服务内容</w:t>
      </w:r>
    </w:p>
    <w:p w14:paraId="1810434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（一）门岗服务：</w:t>
      </w:r>
    </w:p>
    <w:p w14:paraId="7AE1DE2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门岗服务的目的是维护管委会机关院内正常的工作、生活秩序、做好内部的安全防范工作（包括消防安全监控）。要求门岗人员应具有良好的身体素质、心理素质、门岗技能，要忠于职守，有胜任门岗工作的综合能力，还要有良好的职业道德、做到礼貌待客、坚持原则。</w:t>
      </w:r>
    </w:p>
    <w:p w14:paraId="25EC8B2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建立健全物业安全管理组织机构，对门岗人员实施严格化管理，加强门岗人员综合业务技能和职业道德的训导。加强对人、车的进出控制。各安全岗位职责和责任区域明确，确保日间和夜间安全管理。重点区域，重点管理，按要求做好日常安全管理工作记录。定期检查分析安全管理工作情况，不断完善、不断提高安全管理质量。</w:t>
      </w:r>
    </w:p>
    <w:p w14:paraId="29C7233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门岗从业人员必须经过严格培训，培训合格后方可正式上岗，夜间值班人员必须严密巡查，实行24小时巡更守卫制度，确保管委会机关安全，全年无治安、刑事、盗窃、泄密等安全事故发生，协助公安部门及时处理突发事件等。</w:t>
      </w:r>
    </w:p>
    <w:p w14:paraId="7755D68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4.门岗人员要固定执勤，定点式守卫，要求24小时值班，对进入大门的人员、车辆、物资进行严格检查、验证、登记；维护内部的安全秩序。同时兼来客咨询、信件报纸分发等服务。</w:t>
      </w:r>
    </w:p>
    <w:p w14:paraId="2CA68F4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（二）保洁、绿植养护服务：</w:t>
      </w:r>
    </w:p>
    <w:p w14:paraId="77E9154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保洁：日常保洁工作是通过日常清扫工作，对物业区域定时、定点、定人进行废弃物的收集和清运；通过清、扫、擦、拭、除、洗等常规性服务，保持所有办公区域和公共区域的清洁卫生，从而提高工作、生活的环境质量。</w:t>
      </w:r>
    </w:p>
    <w:p w14:paraId="7206787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主要包括以下几项：</w:t>
      </w:r>
    </w:p>
    <w:p w14:paraId="48E3022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（1）垃圾处理：包括收集、清除，运达投送到指定地点。随时保持各大小垃圾桶干净。</w:t>
      </w:r>
    </w:p>
    <w:p w14:paraId="21BE51E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（2）院落卫生：做好灰尘清扫、污迹清洗，地面维护等工作，做到地面干净无尘土、烟头、纸屑等杂物；绿植养护区通道及时清扫干净。墙面、顶面的清洁维护按合同管理规范执行。</w:t>
      </w:r>
    </w:p>
    <w:p w14:paraId="4FF467D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（3）公共卫生间：无臭味、异味；便器干净，便池无锈迹。地面清洁，无痰迹、无烟头、无杂物、将纸篓倒净并刷洗干净，纸篓每日上午和下午各倾倒一次。洗手池、水龙头、墙角整洁、无尘土和蜘蛛网。</w:t>
      </w:r>
    </w:p>
    <w:p w14:paraId="4FEA7A4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管理区域内公共卫生：走廊、大门、值班室、楼梯地面干净无污迹、痰迹、尘土、纸屑等杂物；公共区域玻璃干净明亮、无尘土。楼梯扶手和铁艺保持干净，电梯间保持清洁干净。物业区域的保洁：楼梯、扶手、窗台、墙面干净无尘土，墙角无蜘蛛网。</w:t>
      </w:r>
    </w:p>
    <w:p w14:paraId="1F83CB1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（5）随时保持办公室、会议室、库房等指定的室内卫生保持干净整洁。</w:t>
      </w:r>
    </w:p>
    <w:p w14:paraId="066D6A8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（6）定期对窗户玻璃进行清洗擦拭，保持清洁干净。</w:t>
      </w:r>
    </w:p>
    <w:p w14:paraId="31FBB39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2.物业区域绿植养护：要做好对物业区域内的绿植、花卉及盆栽进行必要的养护管理。养护管理包括：浇水、施肥、整形、修剪、防治病虫、保证现有苗木成活率等。</w:t>
      </w:r>
    </w:p>
    <w:p w14:paraId="7F2EF72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（三）维修服务</w:t>
      </w:r>
    </w:p>
    <w:p w14:paraId="06F3576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1.办公室内、餐厅厨房内及公共区域内照明的维护保养，确保所有带电设备的用电供应正常；</w:t>
      </w:r>
    </w:p>
    <w:p w14:paraId="450C772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2.对上下水等供水系统日常正常运行维护维修工作；</w:t>
      </w:r>
    </w:p>
    <w:p w14:paraId="0F39CEF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对物业管理范围内的水、电、空调、排污等设备的零修、维护、应达到相应规定标准、发生故障，应及时排除，保证办公的正常运行和使用。供电设备管理维护内容是对办公楼供电系统高、低压配电设备、电线电缆、电气照明装置等设备正常使用进行24小时日常管理和维护；</w:t>
      </w:r>
    </w:p>
    <w:p w14:paraId="369C4FD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4.水房水泵维护保养，维护好机关区域内的供、排水系统，确保24小时供水正常；</w:t>
      </w:r>
    </w:p>
    <w:p w14:paraId="6D2627C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5.服务范围内基础设施的维护及修理修缮，保证各门窗门锁的正式使用和开关；</w:t>
      </w:r>
    </w:p>
    <w:p w14:paraId="63EE9F9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6.对房屋公共部位进行日常管理和巡查，维修、保养记录完善； </w:t>
      </w:r>
    </w:p>
    <w:p w14:paraId="4CCF92B1">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每周1次对各楼层门、楼道内防火门、窗户进行安全检查，门窗关闭正常，门窗玻璃保持95%以上的完好率。每年2次以上（雨季前须安排1次）对屋面泄水沟、室内、室外排水管道进行清扫、疏通，保障排水畅通。定期检查屋顶，发现防水层有气臌、碎裂、隔热板有断裂、缺损的，应制定维修方案报管委会。 </w:t>
      </w:r>
    </w:p>
    <w:p w14:paraId="3A902E21">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（四）会议服务 </w:t>
      </w:r>
    </w:p>
    <w:p w14:paraId="30306AA1">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1.会议室会前席签、茶杯摆放以及开会期间的饮水续添、会后室内保洁服务、物品回库等工作；</w:t>
      </w:r>
    </w:p>
    <w:p w14:paraId="0A784B5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2.打扫会议室卫生（包括门、窗、地面、地角线、柜子、台面、绿植等）使门、窗、地面、柜子、台面无杂物；地角线干净，绿植无杂物。保持良好的卫生环境； </w:t>
      </w:r>
    </w:p>
    <w:p w14:paraId="0B8B014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3.有会时按照会议通知单摆好台形，检查设施设备是否完好，检查台面卫生，会场卫生，卫生间卫生，为会议做充分准备； </w:t>
      </w:r>
    </w:p>
    <w:p w14:paraId="7C37B3D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4.会中按照会议服务流程做好接待工作，会后先要检查是否有参会人员遗留物品并上交，关闭所有设施设备，将会场收拾到无会标准；</w:t>
      </w:r>
    </w:p>
    <w:p w14:paraId="7449BA32">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5.负责办公楼行政类会议、接待配合服务、物业管理辅助。</w:t>
      </w:r>
    </w:p>
    <w:p w14:paraId="22A8487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三、机关食堂管理服务内容</w:t>
      </w:r>
    </w:p>
    <w:p w14:paraId="3B204CC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食堂服务范围包含厨房及前厅，保障全体职工在工作日的一日三餐及食堂运营管理、食材采购及加工、厨师团队聘请与管理、食堂的日常保洁与消杀、食堂设施设备维护及保养、餐具及桌椅等日常消耗品的补充和厨余垃圾的处理等。</w:t>
      </w:r>
    </w:p>
    <w:p w14:paraId="53C71CC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（二）工作日就餐人数约：早30人；午65人；晚（根据加班人员报伙订）。</w:t>
      </w:r>
    </w:p>
    <w:p w14:paraId="486F701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（三）供餐时间及形式</w:t>
      </w:r>
    </w:p>
    <w:p w14:paraId="2285D9C2">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早餐：07：30- 08：30时</w:t>
      </w:r>
    </w:p>
    <w:p w14:paraId="648AB98D">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午餐：12：00-13：00时 </w:t>
      </w:r>
    </w:p>
    <w:p w14:paraId="36854C8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晚餐：17：30-18：30时      </w:t>
      </w:r>
    </w:p>
    <w:p w14:paraId="4876F45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（四）所需的设备、场地、能源由管委会提供，单位餐厅主要以提供单位人员工作餐为主。</w:t>
      </w:r>
    </w:p>
    <w:p w14:paraId="2A80C9A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（五）本单位内部就餐人员凭卡消费。收费标准执行单位内部定价。非本单位人员需在食堂就餐的，经采购人同意后，由个人自费买单。</w:t>
      </w:r>
    </w:p>
    <w:p w14:paraId="7C850A6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（六）用餐所供食品、器皿在开餐前10分钟布置完毕，如因客观因素不能准时开餐，承包方应提前通知有关管理部门，并留有充分时间做出补救。</w:t>
      </w:r>
    </w:p>
    <w:p w14:paraId="256C360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（七）菜品要求</w:t>
      </w:r>
    </w:p>
    <w:p w14:paraId="268656D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1.供餐需荤素搭配，要求菜品种类丰富，均衡膳食，饭菜保证菜品色、香、味和温度。按餐划卡。</w:t>
      </w:r>
    </w:p>
    <w:p w14:paraId="54B9AB2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2.严禁使用剩菜。</w:t>
      </w:r>
    </w:p>
    <w:p w14:paraId="66CF775D">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3.公休日、国家法定节假日确需供餐的双方协商。</w:t>
      </w:r>
    </w:p>
    <w:p w14:paraId="7F3C798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（八）餐厅厨师根据就餐规模和餐费标准制定餐谱，考虑就餐人员的口味以及季节的变化，保证每周菜品不重复，每周五下班之前提前排好下周食谱并交给采购人审核后公示。</w:t>
      </w:r>
    </w:p>
    <w:p w14:paraId="5E2BF6C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（九）卫生环境符合餐饮行业卫生标准；</w:t>
      </w:r>
    </w:p>
    <w:p w14:paraId="0E72227D">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四、服务要求</w:t>
      </w:r>
    </w:p>
    <w:p w14:paraId="21A8311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（一）基本要求：</w:t>
      </w:r>
    </w:p>
    <w:p w14:paraId="53E378F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1.物业管理企业应当建立质量管理体系，各项管理制度健全，各岗位职责明确，有具体工作标准，有落实措施和考核办法。</w:t>
      </w:r>
    </w:p>
    <w:p w14:paraId="7454C95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2.物业管理企业所有员工统一着装，佩带标志，规范标准服务用语。</w:t>
      </w:r>
    </w:p>
    <w:p w14:paraId="69A0E75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3.按规定签定“服务合同”，公开服务标准、收费标准和依据，公示服务、监督联系电话。</w:t>
      </w:r>
    </w:p>
    <w:p w14:paraId="6680AA4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4.实行全天候接待服务，受理各部门、使用人报修、投诉、求助，有效投诉办结率95%以上。</w:t>
      </w:r>
    </w:p>
    <w:p w14:paraId="321F001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5.每半年至一年征询一次各部门、使用人对机关管理工作的意见，达到基本满意。</w:t>
      </w:r>
    </w:p>
    <w:p w14:paraId="42DFC9C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（二）维修服务</w:t>
      </w:r>
    </w:p>
    <w:p w14:paraId="20901297">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1.设施设备运行良好，有运行记录；有保养、检修制度，并在工作场所明示；设施设备及责任人均应挂牌标识。</w:t>
      </w:r>
    </w:p>
    <w:p w14:paraId="7803128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2.设备运行严格执行操作规程，无重大管理责任事故。有突发事件应急处理措施和处理记录。</w:t>
      </w:r>
    </w:p>
    <w:p w14:paraId="5EF7BDA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3.定期检查消防设施设备，可随时启用。</w:t>
      </w:r>
    </w:p>
    <w:p w14:paraId="70934DB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4.实行24小时报修值班制度，急修半小时内到达现场，一般维修一天之内或在双方约定的时间到达现场。对投诉处理结果应建立回访制度，有回访记录，年回访率80%以上。</w:t>
      </w:r>
    </w:p>
    <w:p w14:paraId="1F15603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5.庭院灯、楼道灯、围墙灯、指示灯等完好率95%以上，并按规定时间开关。</w:t>
      </w:r>
    </w:p>
    <w:p w14:paraId="2AE62E2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6.公共区域基础设施、护栏、围墙等完好无损。</w:t>
      </w:r>
    </w:p>
    <w:p w14:paraId="356E775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7.对有危及人身安全隐患的设施设备，设有明显标志和防范措施。</w:t>
      </w:r>
    </w:p>
    <w:p w14:paraId="4218E6D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8.对蓄水池、二次供水水箱，按规定定期清洗、消毒，水质符合卫生要求。</w:t>
      </w:r>
    </w:p>
    <w:p w14:paraId="1C1E782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9.定期检查、保养给排水管道并及时清理雨、污水井。</w:t>
      </w:r>
    </w:p>
    <w:p w14:paraId="32C8BE2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10.在接到相关部门和单位的停水、停电通知后，及时通知管委会相关部门。</w:t>
      </w:r>
    </w:p>
    <w:p w14:paraId="774081F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（三）门岗服务</w:t>
      </w:r>
    </w:p>
    <w:p w14:paraId="4EFC132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1.建立健全物业安全管理组织机构，对门岗人员实施严格化管理，加强门岗人员综合业务技能和职业道德的训导。</w:t>
      </w:r>
    </w:p>
    <w:p w14:paraId="7725EF2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2.大门入口24小时值班，8小时倒班制，重点区域严密巡查，根据城管执法局特点制定巡逻路线图,并按规定路线和时间实行巡逻制度。并做好巡查记录。</w:t>
      </w:r>
    </w:p>
    <w:p w14:paraId="55F49C0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3.设有安全防盗监控报警系统的，应有专人24小时值守，摄录像资料至少保留一月。</w:t>
      </w:r>
    </w:p>
    <w:p w14:paraId="6B9E45C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4.进出车辆实行登记管理，引导车辆有序停放，加强交通和通道管制以及对人、车流的控制。</w:t>
      </w:r>
    </w:p>
    <w:p w14:paraId="7CBB112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5.对搬出大宗物品有严格的管理制度。</w:t>
      </w:r>
    </w:p>
    <w:p w14:paraId="5177A8C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6.对进出城管执法局的装修施工人员、服务人员实行临时出入证管理；对可疑人员应进行盘问、登记。</w:t>
      </w:r>
    </w:p>
    <w:p w14:paraId="1394948D">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7.对公共设施、设备房、顶层天台等危险隐患部位，设置安全防范警示标志。</w:t>
      </w:r>
    </w:p>
    <w:p w14:paraId="4D821A4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8.对火灾、水浸、等突发事件有应急处理预案。</w:t>
      </w:r>
    </w:p>
    <w:p w14:paraId="07D8B0F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9.定期检查分析安全管理工作情况，不断完善、不断提高安全管理质量。</w:t>
      </w:r>
    </w:p>
    <w:p w14:paraId="324A93E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（四）保洁服务</w:t>
      </w:r>
    </w:p>
    <w:p w14:paraId="210DBEAD">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1.公共场所、公共绿地、主次干道(不少于以下频次)。</w:t>
      </w:r>
    </w:p>
    <w:p w14:paraId="08031C4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⑴公共绿地 1次/天/清理</w:t>
      </w:r>
    </w:p>
    <w:p w14:paraId="0A3C38F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⑵硬化地面2次/天/清扫</w:t>
      </w:r>
    </w:p>
    <w:p w14:paraId="29D631F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⑶主次干道2次/天清扫</w:t>
      </w:r>
    </w:p>
    <w:p w14:paraId="0A921BC1">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⑷室外标识、宣传栏、信报箱、雕塑小品 1次/10天/擦拭</w:t>
      </w:r>
    </w:p>
    <w:p w14:paraId="07B332C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⑸水池、沟、渠、沙井1次/天清理</w:t>
      </w:r>
    </w:p>
    <w:p w14:paraId="0E40B53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2.房屋内公共部位</w:t>
      </w:r>
    </w:p>
    <w:p w14:paraId="67429C4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⑴多层楼内通道、楼梯 1次/天/拖扫</w:t>
      </w:r>
    </w:p>
    <w:p w14:paraId="4B7D09B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⑵公共活动场所 2次/天/清扫</w:t>
      </w:r>
    </w:p>
    <w:p w14:paraId="31AE7A7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⑶楼道玻璃(不含高层及全封闭式玻璃)1次/15天/擦拭</w:t>
      </w:r>
    </w:p>
    <w:p w14:paraId="2B5954E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⑷楼道门、办公室门1次/7天/清擦</w:t>
      </w:r>
    </w:p>
    <w:p w14:paraId="6A01766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⑸大厅、通道玻璃门1次/天/清擦</w:t>
      </w:r>
    </w:p>
    <w:p w14:paraId="0050DC3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⑹石料地面 2次/天/拖洗</w:t>
      </w:r>
    </w:p>
    <w:p w14:paraId="1A62425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⑺地板地面 2次/天/拖洗</w:t>
      </w:r>
    </w:p>
    <w:p w14:paraId="2077FFF1">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⑻扶手、开关面板1次/天/擦拭</w:t>
      </w:r>
    </w:p>
    <w:p w14:paraId="2DEC0FA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⑼消防栓、过道门、踢角线1次/周/擦拭</w:t>
      </w:r>
    </w:p>
    <w:p w14:paraId="69EF8FD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⑽公共卫生间4次/天/清洁</w:t>
      </w:r>
    </w:p>
    <w:p w14:paraId="5A471A8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⑾积水、积雪清扫及时。</w:t>
      </w:r>
    </w:p>
    <w:p w14:paraId="3B88669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⑿室外不锈钢扶手、护栏、柱灯、音响、石桌、石凳、花钵(盆)灯罩、灯具、停车场(库)出入口的阳光板、减震板等定期擦洗，保持干净、明亮、无积尘。</w:t>
      </w:r>
    </w:p>
    <w:p w14:paraId="2A15C85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⒀清洁完后，清洁区域(部位)无垃圾、无杂物、无异味，并进行保洁巡查。</w:t>
      </w:r>
    </w:p>
    <w:p w14:paraId="340B852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3.垃圾的处理与收集</w:t>
      </w:r>
    </w:p>
    <w:p w14:paraId="490B6BA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⑴合理布设垃圾桶、果壳箱。</w:t>
      </w:r>
    </w:p>
    <w:p w14:paraId="2AE5A76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⑵垃圾每日收集1次，做到日产日清，无垃圾桶、果壳箱满溢现象。</w:t>
      </w:r>
    </w:p>
    <w:p w14:paraId="51AC366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⑶设有垃圾中转站的，根据实际需要进行冲洗、消杀，有效控制蚊、蝇等害虫孽生。</w:t>
      </w:r>
    </w:p>
    <w:p w14:paraId="67DD2D9B">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⑷垃圾桶、果壳箱每日清理，定期清洗，保持洁净。</w:t>
      </w:r>
    </w:p>
    <w:p w14:paraId="25195D68">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⑸所有产生的垃圾及时清运至定点的垃圾桶。</w:t>
      </w:r>
    </w:p>
    <w:p w14:paraId="2D68BD41">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（五）绿化养护服务</w:t>
      </w:r>
    </w:p>
    <w:p w14:paraId="315C37D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1.草坪、绿篱、造型树及时修剪，保持整齐美观。</w:t>
      </w:r>
    </w:p>
    <w:p w14:paraId="05BA5EF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2.花草树木，适时浇灌、施肥、松土，无枯死、无杂草、无损坏、无大面积虫害现象，长势良好。</w:t>
      </w:r>
    </w:p>
    <w:p w14:paraId="35CF17E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3.对区域内的名贵盆栽进行重点养护，悉心打理。</w:t>
      </w:r>
    </w:p>
    <w:p w14:paraId="26592C92">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4.加强病虫害防治，预防为主，定期施以防治措施。</w:t>
      </w:r>
    </w:p>
    <w:p w14:paraId="51D9733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5.特别注意植物的冬季保暖，制定周详的防低温管理计划。冬季密切注意天气预报，及早采取防冻措施。</w:t>
      </w:r>
    </w:p>
    <w:p w14:paraId="26D8FC6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6.合理规划馆里绿化布置，根据季节的不同选择叶和花卉相匹配的盆景。</w:t>
      </w:r>
    </w:p>
    <w:p w14:paraId="39BAC15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五、</w:t>
      </w:r>
      <w:r>
        <w:rPr>
          <w:rFonts w:hint="eastAsia" w:ascii="仿宋_GB2312" w:hAnsi="仿宋_GB2312" w:eastAsia="仿宋_GB2312" w:cs="仿宋_GB2312"/>
          <w:sz w:val="28"/>
          <w:szCs w:val="28"/>
        </w:rPr>
        <w:t>机关食堂管理服务要求</w:t>
      </w:r>
    </w:p>
    <w:p w14:paraId="3FC54BC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1.指定专(兼)职人员负责食品索证及台账记录等工作。</w:t>
      </w:r>
    </w:p>
    <w:p w14:paraId="2AAEBC6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2.食堂采购食品、蔬菜、原料等均须让供方完整填制采购回执单据。</w:t>
      </w:r>
    </w:p>
    <w:p w14:paraId="766CBD0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3.进行采购进货验收的食品包括：</w:t>
      </w:r>
    </w:p>
    <w:p w14:paraId="4930540D">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（1）食品及食品原料(如食用油、调味品、米面及其制品等);</w:t>
      </w:r>
    </w:p>
    <w:p w14:paraId="349A4CC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（2）食用农产品(如蔬菜、水果、豆制品、猪肉、禽肉等);</w:t>
      </w:r>
    </w:p>
    <w:p w14:paraId="28E232A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（3）食品添加剂(如酵母、色素等);</w:t>
      </w:r>
    </w:p>
    <w:p w14:paraId="6A9FA63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（4）其他产品。</w:t>
      </w:r>
    </w:p>
    <w:p w14:paraId="7DB8EDC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4.到证照齐全的生产经营单位或市场采购，并现场查验产品的卫生状况和包装、标识，购买符合国家相关法律、法规、规定的产品。不采购不符合食品卫生标准、无卫生许可证的食品、蔬菜及原材料。</w:t>
      </w:r>
    </w:p>
    <w:p w14:paraId="34960F6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5.尽可能实行定点采购，严把食品采购质量关，杜绝腐烂、变质、变味、发霉、过期等不卫生食品流入食堂。</w:t>
      </w:r>
    </w:p>
    <w:p w14:paraId="00D41C2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6.采购生猪肉时，查验确认为定点屠宰的产品及检疫检验合格证明，并索取购物凭证。采购其他肉类查验检疫检验合格证明，并索取购物凭证。</w:t>
      </w:r>
    </w:p>
    <w:p w14:paraId="50AB1D0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7.采购的食品在入库或使用前要核验所购食品与购物凭证，所有采购食品必须当天逐项记入《食品采购与进货验收出入库清单》。</w:t>
      </w:r>
    </w:p>
    <w:p w14:paraId="7BF2AE0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8.食堂采购员必须到持有卫生许可证且相对固定的经营单位采购食品，并按有关规定进行索证(食品生产经营卫生许可证、产品检验合格报告书)，保证食品质量。</w:t>
      </w:r>
    </w:p>
    <w:p w14:paraId="7CE44AA6">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食堂采购员不得采购腐败变质、油脂酸败、霉变、生虫、污秽不沾、混有异物或者其他感官性状异常、含有毒有害物质或者被有毒有害物质污染、可能对人体健康有害的食品，不得采购未经兽医卫生检验或者检验不合格的肉类及制品，不得采购超过保质期限或不符合食品标签规定(无标注厂名、厂址、生产日期、保质日期)的定型包装食品及其他不符合食品卫生标准和要求的食品。</w:t>
      </w:r>
    </w:p>
    <w:p w14:paraId="3EA1D34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10.食堂食品入库、出库必须进行验收，并定期检查，仓管人员发现有腐败变质、过期或有其他感官性状异常的食品必须及时处理，不得入库或出库，验收检查情况必须有记录。</w:t>
      </w:r>
    </w:p>
    <w:p w14:paraId="7F144B3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11.食品贮存应有相对独立的存放间，并有防鼠、防蝇、防尘等设施，做到通光、通风。</w:t>
      </w:r>
    </w:p>
    <w:p w14:paraId="23318E7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12.食品存放必须置于货架上，做到分类、分架、隔墙、离地存放。</w:t>
      </w:r>
    </w:p>
    <w:p w14:paraId="4DA2084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13.保存在冷藏设备里的食品，必须做到生食品、半成品和熟食品分柜存放。</w:t>
      </w:r>
    </w:p>
    <w:p w14:paraId="4428D43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14.食品贮存场所不得存放有毒、有害物品及个人生活用品。  </w:t>
      </w:r>
    </w:p>
    <w:p w14:paraId="6188937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六、</w:t>
      </w:r>
      <w:r>
        <w:rPr>
          <w:rFonts w:hint="eastAsia" w:ascii="仿宋_GB2312" w:hAnsi="仿宋_GB2312" w:eastAsia="仿宋_GB2312" w:cs="仿宋_GB2312"/>
          <w:sz w:val="28"/>
          <w:szCs w:val="28"/>
        </w:rPr>
        <w:t>综合要求</w:t>
      </w:r>
    </w:p>
    <w:p w14:paraId="7BF09017">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（一）供应商所提供的服务各项指标符合或优于本次要求、国家标准、行业标准及规范。 </w:t>
      </w:r>
    </w:p>
    <w:p w14:paraId="23A4AD7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（二）供应商必须按</w:t>
      </w:r>
      <w:r>
        <w:rPr>
          <w:rFonts w:hint="eastAsia" w:ascii="仿宋_GB2312" w:hAnsi="仿宋_GB2312" w:eastAsia="仿宋_GB2312" w:cs="仿宋_GB2312"/>
          <w:sz w:val="28"/>
          <w:szCs w:val="28"/>
          <w:lang w:eastAsia="zh-CN"/>
        </w:rPr>
        <w:t>磋商</w:t>
      </w:r>
      <w:r>
        <w:rPr>
          <w:rFonts w:hint="eastAsia" w:ascii="仿宋_GB2312" w:hAnsi="仿宋_GB2312" w:eastAsia="仿宋_GB2312" w:cs="仿宋_GB2312"/>
          <w:sz w:val="28"/>
          <w:szCs w:val="28"/>
        </w:rPr>
        <w:t>文件各章节条款的内容和顺序逐项作出实质性应答。无论</w:t>
      </w:r>
      <w:r>
        <w:rPr>
          <w:rFonts w:hint="eastAsia" w:ascii="仿宋_GB2312" w:hAnsi="仿宋_GB2312" w:eastAsia="仿宋_GB2312" w:cs="仿宋_GB2312"/>
          <w:sz w:val="28"/>
          <w:szCs w:val="28"/>
          <w:lang w:eastAsia="zh-CN"/>
        </w:rPr>
        <w:t>磋商</w:t>
      </w:r>
      <w:r>
        <w:rPr>
          <w:rFonts w:hint="eastAsia" w:ascii="仿宋_GB2312" w:hAnsi="仿宋_GB2312" w:eastAsia="仿宋_GB2312" w:cs="仿宋_GB2312"/>
          <w:sz w:val="28"/>
          <w:szCs w:val="28"/>
        </w:rPr>
        <w:t>文件如何表述，欢迎供应商尽可能用数据响应技术要求。所提供的服务要求与所规定要求的任何偏离都必须逐条列入响应文件中的</w:t>
      </w:r>
      <w:r>
        <w:rPr>
          <w:rFonts w:hint="eastAsia" w:ascii="仿宋_GB2312" w:hAnsi="仿宋_GB2312" w:eastAsia="仿宋_GB2312" w:cs="仿宋_GB2312"/>
          <w:sz w:val="28"/>
          <w:szCs w:val="28"/>
          <w:lang w:eastAsia="zh-CN"/>
        </w:rPr>
        <w:t>技术</w:t>
      </w:r>
      <w:r>
        <w:rPr>
          <w:rFonts w:hint="eastAsia" w:ascii="仿宋_GB2312" w:hAnsi="仿宋_GB2312" w:eastAsia="仿宋_GB2312" w:cs="仿宋_GB2312"/>
          <w:sz w:val="28"/>
          <w:szCs w:val="28"/>
        </w:rPr>
        <w:t>服务偏离表中，任何不按此要求的响应文件将承担被拒绝接受的风险。成交后，成交人在合同谈判中的任何偏离都不得超越此偏离表中已被采购人确认的条款。</w:t>
      </w:r>
    </w:p>
    <w:p w14:paraId="7844BF0A">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（三）供应商应为本项目组配备一支有能力的服务团队，人员要求应满足</w:t>
      </w:r>
      <w:r>
        <w:rPr>
          <w:rFonts w:hint="eastAsia" w:ascii="仿宋_GB2312" w:hAnsi="仿宋_GB2312" w:eastAsia="仿宋_GB2312" w:cs="仿宋_GB2312"/>
          <w:sz w:val="28"/>
          <w:szCs w:val="28"/>
          <w:lang w:eastAsia="zh-CN"/>
        </w:rPr>
        <w:t>磋商</w:t>
      </w:r>
      <w:r>
        <w:rPr>
          <w:rFonts w:hint="eastAsia" w:ascii="仿宋_GB2312" w:hAnsi="仿宋_GB2312" w:eastAsia="仿宋_GB2312" w:cs="仿宋_GB2312"/>
          <w:sz w:val="28"/>
          <w:szCs w:val="28"/>
        </w:rPr>
        <w:t>文件中规定的各岗位人员最低要求。</w:t>
      </w:r>
    </w:p>
    <w:p w14:paraId="4ADD0CBC">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（四）供应商需在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文件中制定针对本项目的相关技术文件、应急预案及相关保障措施等。</w:t>
      </w:r>
    </w:p>
    <w:p w14:paraId="00D09366">
      <w:pPr>
        <w:keepNext w:val="0"/>
        <w:keepLines w:val="0"/>
        <w:pageBreakBefore w:val="0"/>
        <w:widowControl/>
        <w:kinsoku/>
        <w:wordWrap/>
        <w:overflowPunct/>
        <w:topLinePunct w:val="0"/>
        <w:autoSpaceDE w:val="0"/>
        <w:autoSpaceDN w:val="0"/>
        <w:bidi w:val="0"/>
        <w:adjustRightInd w:val="0"/>
        <w:snapToGrid/>
        <w:spacing w:line="520" w:lineRule="exact"/>
        <w:ind w:firstLine="562" w:firstLineChars="200"/>
        <w:textAlignment w:val="baseline"/>
        <w:rPr>
          <w:rFonts w:hint="eastAsia" w:ascii="仿宋_GB2312" w:hAnsi="仿宋_GB2312" w:eastAsia="仿宋_GB2312" w:cs="仿宋_GB2312"/>
          <w:b/>
          <w:bCs/>
          <w:sz w:val="28"/>
          <w:szCs w:val="28"/>
          <w:u w:val="none"/>
          <w:lang w:val="zh-CN"/>
        </w:rPr>
      </w:pPr>
      <w:r>
        <w:rPr>
          <w:rFonts w:hint="eastAsia" w:ascii="仿宋_GB2312" w:hAnsi="仿宋_GB2312" w:eastAsia="仿宋_GB2312" w:cs="仿宋_GB2312"/>
          <w:b/>
          <w:bCs/>
          <w:sz w:val="28"/>
          <w:szCs w:val="28"/>
          <w:u w:val="single"/>
          <w:lang w:val="en-US" w:eastAsia="zh-CN"/>
        </w:rPr>
        <w:t>（五）</w:t>
      </w:r>
      <w:r>
        <w:rPr>
          <w:rFonts w:hint="eastAsia" w:ascii="仿宋_GB2312" w:hAnsi="仿宋_GB2312" w:eastAsia="仿宋_GB2312" w:cs="仿宋_GB2312"/>
          <w:b/>
          <w:bCs/>
          <w:sz w:val="28"/>
          <w:szCs w:val="28"/>
          <w:u w:val="single"/>
          <w:lang w:val="zh-CN" w:eastAsia="zh-CN"/>
        </w:rPr>
        <w:t>供应商</w:t>
      </w:r>
      <w:r>
        <w:rPr>
          <w:rFonts w:hint="eastAsia" w:ascii="仿宋_GB2312" w:hAnsi="仿宋_GB2312" w:eastAsia="仿宋_GB2312" w:cs="仿宋_GB2312"/>
          <w:b/>
          <w:bCs/>
          <w:sz w:val="28"/>
          <w:szCs w:val="28"/>
          <w:u w:val="single"/>
          <w:lang w:val="en-US" w:eastAsia="zh-CN"/>
        </w:rPr>
        <w:t>提供承诺函</w:t>
      </w:r>
      <w:r>
        <w:rPr>
          <w:rFonts w:hint="eastAsia" w:ascii="仿宋_GB2312" w:hAnsi="仿宋_GB2312" w:eastAsia="仿宋_GB2312" w:cs="仿宋_GB2312"/>
          <w:b/>
          <w:bCs/>
          <w:sz w:val="28"/>
          <w:szCs w:val="28"/>
          <w:u w:val="single"/>
          <w:lang w:val="zh-CN"/>
        </w:rPr>
        <w:t>（以下均须提供</w:t>
      </w:r>
      <w:r>
        <w:rPr>
          <w:rFonts w:hint="eastAsia" w:ascii="仿宋_GB2312" w:hAnsi="仿宋_GB2312" w:eastAsia="仿宋_GB2312" w:cs="仿宋_GB2312"/>
          <w:b/>
          <w:bCs/>
          <w:sz w:val="28"/>
          <w:szCs w:val="28"/>
          <w:u w:val="single"/>
          <w:lang w:val="en-US" w:eastAsia="zh-CN"/>
        </w:rPr>
        <w:t>书面《</w:t>
      </w:r>
      <w:r>
        <w:rPr>
          <w:rFonts w:hint="eastAsia" w:ascii="仿宋_GB2312" w:hAnsi="仿宋_GB2312" w:eastAsia="仿宋_GB2312" w:cs="仿宋_GB2312"/>
          <w:b/>
          <w:bCs/>
          <w:sz w:val="28"/>
          <w:szCs w:val="28"/>
          <w:u w:val="single"/>
          <w:lang w:val="zh-CN"/>
        </w:rPr>
        <w:t>承诺函</w:t>
      </w:r>
      <w:r>
        <w:rPr>
          <w:rFonts w:hint="eastAsia" w:ascii="仿宋_GB2312" w:hAnsi="仿宋_GB2312" w:eastAsia="仿宋_GB2312" w:cs="仿宋_GB2312"/>
          <w:b/>
          <w:bCs/>
          <w:sz w:val="28"/>
          <w:szCs w:val="28"/>
          <w:u w:val="single"/>
          <w:lang w:val="en-US" w:eastAsia="zh-CN"/>
        </w:rPr>
        <w:t>》</w:t>
      </w:r>
      <w:r>
        <w:rPr>
          <w:rFonts w:hint="eastAsia" w:ascii="仿宋_GB2312" w:hAnsi="仿宋_GB2312" w:eastAsia="仿宋_GB2312" w:cs="仿宋_GB2312"/>
          <w:b/>
          <w:bCs/>
          <w:sz w:val="28"/>
          <w:szCs w:val="28"/>
          <w:u w:val="single"/>
          <w:lang w:val="zh-CN"/>
        </w:rPr>
        <w:t>，未提供《承诺函》的视为无效响应）</w:t>
      </w:r>
      <w:r>
        <w:rPr>
          <w:rFonts w:hint="eastAsia" w:ascii="仿宋_GB2312" w:hAnsi="仿宋_GB2312" w:eastAsia="仿宋_GB2312" w:cs="仿宋_GB2312"/>
          <w:b/>
          <w:bCs/>
          <w:sz w:val="28"/>
          <w:szCs w:val="28"/>
          <w:u w:val="none"/>
          <w:lang w:val="zh-CN"/>
        </w:rPr>
        <w:t xml:space="preserve">： </w:t>
      </w:r>
    </w:p>
    <w:p w14:paraId="6B752E81">
      <w:pPr>
        <w:keepNext w:val="0"/>
        <w:keepLines w:val="0"/>
        <w:pageBreakBefore w:val="0"/>
        <w:widowControl/>
        <w:kinsoku/>
        <w:wordWrap/>
        <w:overflowPunct/>
        <w:topLinePunct w:val="0"/>
        <w:autoSpaceDE w:val="0"/>
        <w:autoSpaceDN w:val="0"/>
        <w:bidi w:val="0"/>
        <w:adjustRightInd w:val="0"/>
        <w:snapToGrid/>
        <w:spacing w:line="520" w:lineRule="exact"/>
        <w:ind w:firstLine="560" w:firstLineChars="200"/>
        <w:textAlignment w:val="baseline"/>
        <w:rPr>
          <w:rFonts w:hint="default" w:ascii="仿宋_GB2312" w:hAnsi="仿宋_GB2312" w:eastAsia="仿宋_GB2312" w:cs="仿宋_GB2312"/>
          <w:sz w:val="28"/>
          <w:szCs w:val="28"/>
          <w:lang w:val="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zh-CN"/>
        </w:rPr>
        <w:t>供应商须承诺：拟派物业</w:t>
      </w:r>
      <w:r>
        <w:rPr>
          <w:rFonts w:hint="eastAsia" w:ascii="仿宋_GB2312" w:hAnsi="仿宋_GB2312" w:eastAsia="仿宋_GB2312" w:cs="仿宋_GB2312"/>
          <w:sz w:val="28"/>
          <w:szCs w:val="28"/>
          <w:lang w:val="en-US" w:eastAsia="zh-CN"/>
        </w:rPr>
        <w:t>门岗</w:t>
      </w:r>
      <w:r>
        <w:rPr>
          <w:rFonts w:hint="eastAsia" w:ascii="仿宋_GB2312" w:hAnsi="仿宋_GB2312" w:eastAsia="仿宋_GB2312" w:cs="仿宋_GB2312"/>
          <w:sz w:val="28"/>
          <w:szCs w:val="28"/>
          <w:lang w:val="zh-CN"/>
        </w:rPr>
        <w:t>服务人员（</w:t>
      </w:r>
      <w:r>
        <w:rPr>
          <w:rFonts w:hint="default" w:ascii="仿宋_GB2312" w:hAnsi="仿宋_GB2312" w:eastAsia="仿宋_GB2312" w:cs="仿宋_GB2312"/>
          <w:sz w:val="28"/>
          <w:szCs w:val="28"/>
          <w:lang w:val="zh-CN"/>
        </w:rPr>
        <w:t>保安人员</w:t>
      </w:r>
      <w:r>
        <w:rPr>
          <w:rFonts w:hint="eastAsia" w:ascii="仿宋_GB2312" w:hAnsi="仿宋_GB2312" w:eastAsia="仿宋_GB2312" w:cs="仿宋_GB2312"/>
          <w:sz w:val="28"/>
          <w:szCs w:val="28"/>
          <w:lang w:val="zh-CN"/>
        </w:rPr>
        <w:t>）</w:t>
      </w:r>
      <w:r>
        <w:rPr>
          <w:rFonts w:hint="default" w:ascii="仿宋_GB2312" w:hAnsi="仿宋_GB2312" w:eastAsia="仿宋_GB2312" w:cs="仿宋_GB2312"/>
          <w:sz w:val="28"/>
          <w:szCs w:val="28"/>
          <w:lang w:val="zh-CN"/>
        </w:rPr>
        <w:t xml:space="preserve">均持有保安员上岗证。 </w:t>
      </w:r>
    </w:p>
    <w:p w14:paraId="7B070732">
      <w:pPr>
        <w:keepNext w:val="0"/>
        <w:keepLines w:val="0"/>
        <w:pageBreakBefore w:val="0"/>
        <w:widowControl/>
        <w:kinsoku/>
        <w:wordWrap/>
        <w:overflowPunct/>
        <w:topLinePunct w:val="0"/>
        <w:autoSpaceDE w:val="0"/>
        <w:autoSpaceDN w:val="0"/>
        <w:bidi w:val="0"/>
        <w:adjustRightInd w:val="0"/>
        <w:snapToGrid/>
        <w:spacing w:line="520" w:lineRule="exact"/>
        <w:ind w:firstLine="560" w:firstLineChars="200"/>
        <w:textAlignment w:val="baseline"/>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lang w:val="en-US" w:eastAsia="zh-CN"/>
        </w:rPr>
        <w:t>2、</w:t>
      </w:r>
      <w:r>
        <w:rPr>
          <w:rFonts w:hint="default" w:ascii="仿宋_GB2312" w:hAnsi="仿宋_GB2312" w:eastAsia="仿宋_GB2312" w:cs="仿宋_GB2312"/>
          <w:sz w:val="28"/>
          <w:szCs w:val="28"/>
          <w:lang w:val="zh-CN"/>
        </w:rPr>
        <w:t>供应商须承诺：拟派电工人员均持有处于有效期内且经过复审的特种作业操作证，</w:t>
      </w:r>
      <w:r>
        <w:rPr>
          <w:rFonts w:hint="eastAsia" w:ascii="仿宋_GB2312" w:hAnsi="仿宋_GB2312" w:eastAsia="仿宋_GB2312" w:cs="仿宋_GB2312"/>
          <w:sz w:val="28"/>
          <w:szCs w:val="28"/>
          <w:lang w:val="zh-CN"/>
        </w:rPr>
        <w:t>操作项目为低压电工作业</w:t>
      </w:r>
      <w:r>
        <w:rPr>
          <w:rFonts w:hint="default" w:ascii="仿宋_GB2312" w:hAnsi="仿宋_GB2312" w:eastAsia="仿宋_GB2312" w:cs="仿宋_GB2312"/>
          <w:sz w:val="28"/>
          <w:szCs w:val="28"/>
          <w:lang w:val="zh-CN"/>
        </w:rPr>
        <w:t>。</w:t>
      </w:r>
    </w:p>
    <w:p w14:paraId="004A47E4">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3、</w:t>
      </w:r>
      <w:r>
        <w:rPr>
          <w:rFonts w:hint="default" w:ascii="仿宋_GB2312" w:hAnsi="仿宋_GB2312" w:eastAsia="仿宋_GB2312" w:cs="仿宋_GB2312"/>
          <w:sz w:val="28"/>
          <w:szCs w:val="28"/>
          <w:lang w:val="zh-CN"/>
        </w:rPr>
        <w:t>供应商须承诺：拟派</w:t>
      </w:r>
      <w:r>
        <w:rPr>
          <w:rFonts w:hint="eastAsia" w:ascii="仿宋_GB2312" w:hAnsi="仿宋_GB2312" w:eastAsia="仿宋_GB2312" w:cs="仿宋_GB2312"/>
          <w:sz w:val="28"/>
          <w:szCs w:val="28"/>
          <w:lang w:val="en-US" w:eastAsia="zh-CN"/>
        </w:rPr>
        <w:t>餐厅服务人员</w:t>
      </w:r>
      <w:r>
        <w:rPr>
          <w:rFonts w:hint="default" w:ascii="仿宋_GB2312" w:hAnsi="仿宋_GB2312" w:eastAsia="仿宋_GB2312" w:cs="仿宋_GB2312"/>
          <w:sz w:val="28"/>
          <w:szCs w:val="28"/>
          <w:lang w:val="zh-CN"/>
        </w:rPr>
        <w:t>均持有</w:t>
      </w:r>
      <w:r>
        <w:rPr>
          <w:rFonts w:hint="eastAsia" w:ascii="仿宋_GB2312" w:hAnsi="仿宋_GB2312" w:eastAsia="仿宋_GB2312" w:cs="仿宋_GB2312"/>
          <w:sz w:val="28"/>
          <w:szCs w:val="28"/>
          <w:lang w:val="en-US" w:eastAsia="zh-CN"/>
        </w:rPr>
        <w:t>健康证。</w:t>
      </w:r>
    </w:p>
    <w:p w14:paraId="459ABA74">
      <w:pPr>
        <w:spacing w:after="120" w:line="400" w:lineRule="exact"/>
        <w:jc w:val="both"/>
        <w:rPr>
          <w:rFonts w:hint="eastAsia" w:ascii="Calibri Light" w:hAnsi="Calibri Light" w:eastAsia="华文仿宋" w:cs="Calibri Light"/>
          <w:kern w:val="2"/>
          <w:sz w:val="28"/>
          <w:szCs w:val="28"/>
          <w:lang w:val="en-US" w:eastAsia="zh-CN" w:bidi="ar-SA"/>
        </w:rPr>
      </w:pPr>
    </w:p>
    <w:p w14:paraId="0014AAA9">
      <w:pPr>
        <w:widowControl/>
        <w:spacing w:line="400" w:lineRule="exact"/>
        <w:rPr>
          <w:rFonts w:hint="eastAsia" w:ascii="Calibri Light" w:hAnsi="Calibri Light" w:eastAsia="华文仿宋" w:cs="Calibri Light"/>
          <w:sz w:val="28"/>
          <w:szCs w:val="28"/>
        </w:rPr>
      </w:pPr>
    </w:p>
    <w:p w14:paraId="124EFE7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8"/>
          <w:szCs w:val="28"/>
          <w:lang w:eastAsia="zh-CN"/>
        </w:rPr>
      </w:pPr>
      <w:r>
        <w:rPr>
          <w:rFonts w:hint="eastAsia" w:ascii="仿宋_GB2312" w:hAnsi="仿宋_GB2312" w:eastAsia="仿宋_GB2312" w:cs="仿宋_GB2312"/>
          <w:b/>
          <w:bCs/>
          <w:color w:val="auto"/>
          <w:sz w:val="28"/>
          <w:szCs w:val="28"/>
        </w:rPr>
        <w:t>备注：</w:t>
      </w:r>
      <w:r>
        <w:rPr>
          <w:rFonts w:hint="eastAsia" w:ascii="仿宋_GB2312" w:hAnsi="仿宋_GB2312" w:eastAsia="仿宋_GB2312" w:cs="仿宋_GB2312"/>
          <w:b/>
          <w:bCs/>
          <w:color w:val="auto"/>
          <w:sz w:val="28"/>
          <w:szCs w:val="28"/>
          <w:lang w:val="en-US" w:eastAsia="zh-CN"/>
        </w:rPr>
        <w:t>以上均是</w:t>
      </w:r>
      <w:r>
        <w:rPr>
          <w:rFonts w:hint="eastAsia" w:ascii="仿宋_GB2312" w:hAnsi="仿宋_GB2312" w:eastAsia="仿宋_GB2312" w:cs="仿宋_GB2312"/>
          <w:b/>
          <w:bCs/>
          <w:color w:val="auto"/>
          <w:sz w:val="28"/>
          <w:szCs w:val="28"/>
        </w:rPr>
        <w:t>★</w:t>
      </w:r>
      <w:r>
        <w:rPr>
          <w:rFonts w:hint="eastAsia" w:ascii="仿宋_GB2312" w:hAnsi="仿宋_GB2312" w:eastAsia="仿宋_GB2312" w:cs="仿宋_GB2312"/>
          <w:b/>
          <w:bCs/>
          <w:color w:val="auto"/>
          <w:sz w:val="28"/>
          <w:szCs w:val="28"/>
          <w:lang w:val="en-US" w:eastAsia="zh-CN"/>
        </w:rPr>
        <w:t>内容，</w:t>
      </w:r>
      <w:r>
        <w:rPr>
          <w:rFonts w:hint="eastAsia" w:ascii="仿宋_GB2312" w:hAnsi="仿宋_GB2312" w:eastAsia="仿宋_GB2312" w:cs="仿宋_GB2312"/>
          <w:b/>
          <w:bCs/>
          <w:color w:val="auto"/>
          <w:sz w:val="28"/>
          <w:szCs w:val="28"/>
        </w:rPr>
        <w:t>为实质性要求，</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rPr>
        <w:t>人未逐条响应、有缺漏或负偏离将视为无效</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lang w:eastAsia="zh-CN"/>
        </w:rPr>
        <w:t>。</w:t>
      </w:r>
    </w:p>
    <w:p w14:paraId="32A2F730">
      <w:bookmarkStart w:id="5" w:name="_GoBack"/>
      <w:bookmarkEnd w:id="5"/>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4A6FFB"/>
    <w:rsid w:val="604A6FFB"/>
    <w:rsid w:val="71B32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2026-06-24T01:32:00Z</dcterms:created>
  <dc:creator>莲鹤</dc:creator>
  <cp:lastModifiedBy>莲鹤</cp:lastModifiedBy>
  <dcterms:modified xsi:type="dcterms:W3CDTF">2026-06-24T01:33:07Z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1BE0590F0C3147B48FF48F1F8C09047D_11</vt:lpwstr>
  </property>
  <property fmtid="{D5CDD505-2E9C-101B-9397-08002B2CF9AE}" pid="4" name="KSOTemplateDocerSaveRecord">
    <vt:lpwstr>eyJoZGlkIjoiNDI0MzZiZjE4ODg5YjA3M2UzOTY3ZWIxNWE2NWFjNTkiLCJ1c2VySWQiOiI3MDE1NDI4NjkifQ==</vt:lpwstr>
  </property>
</Properties>
</file>