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B5367C">
      <w:pPr>
        <w:pStyle w:val="17"/>
        <w:outlineLvl w:val="2"/>
      </w:pPr>
      <w:r>
        <w:rPr>
          <w:rFonts w:ascii="仿宋_GB2312" w:hAnsi="仿宋_GB2312" w:eastAsia="仿宋_GB2312" w:cs="仿宋_GB2312"/>
          <w:b/>
          <w:sz w:val="28"/>
        </w:rPr>
        <w:t>3.1技术、服务标准和要求</w:t>
      </w:r>
    </w:p>
    <w:p w14:paraId="6B0D7091">
      <w:pPr>
        <w:pStyle w:val="17"/>
      </w:pPr>
      <w:r>
        <w:rPr>
          <w:rFonts w:ascii="仿宋_GB2312" w:hAnsi="仿宋_GB2312" w:eastAsia="仿宋_GB2312" w:cs="仿宋_GB2312"/>
        </w:rPr>
        <w:t>采购包1：</w:t>
      </w:r>
    </w:p>
    <w:p w14:paraId="1314B474">
      <w:pPr>
        <w:pStyle w:val="17"/>
      </w:pPr>
      <w:r>
        <w:rPr>
          <w:rFonts w:ascii="仿宋_GB2312" w:hAnsi="仿宋_GB2312" w:eastAsia="仿宋_GB2312" w:cs="仿宋_GB2312"/>
        </w:rPr>
        <w:t>采购包预算金额（元）: 900,000.00</w:t>
      </w:r>
    </w:p>
    <w:p w14:paraId="26E3E3AB">
      <w:pPr>
        <w:pStyle w:val="17"/>
      </w:pPr>
      <w:r>
        <w:rPr>
          <w:rFonts w:ascii="仿宋_GB2312" w:hAnsi="仿宋_GB2312" w:eastAsia="仿宋_GB2312" w:cs="仿宋_GB2312"/>
        </w:rPr>
        <w:t>采购包最高限价（元）: 900,000.00</w:t>
      </w:r>
    </w:p>
    <w:tbl>
      <w:tblPr>
        <w:tblStyle w:val="1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1384"/>
        <w:gridCol w:w="1384"/>
        <w:gridCol w:w="1384"/>
        <w:gridCol w:w="1384"/>
        <w:gridCol w:w="1384"/>
      </w:tblGrid>
      <w:tr w14:paraId="23AFC6B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3D9C2E41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384" w:type="dxa"/>
          </w:tcPr>
          <w:p w14:paraId="5E3F6CF0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1384" w:type="dxa"/>
          </w:tcPr>
          <w:p w14:paraId="2E982342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384" w:type="dxa"/>
          </w:tcPr>
          <w:p w14:paraId="11863954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1384" w:type="dxa"/>
          </w:tcPr>
          <w:p w14:paraId="5F76C8E5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1384" w:type="dxa"/>
          </w:tcPr>
          <w:p w14:paraId="7CCCE64B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</w:tr>
      <w:tr w14:paraId="7991EB5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22252C30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384" w:type="dxa"/>
          </w:tcPr>
          <w:p w14:paraId="12764441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2026年防水项目</w:t>
            </w:r>
          </w:p>
        </w:tc>
        <w:tc>
          <w:tcPr>
            <w:tcW w:w="1384" w:type="dxa"/>
          </w:tcPr>
          <w:p w14:paraId="72EEBC4F">
            <w:pPr>
              <w:pStyle w:val="17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384" w:type="dxa"/>
          </w:tcPr>
          <w:p w14:paraId="5E1A5217">
            <w:pPr>
              <w:pStyle w:val="17"/>
              <w:jc w:val="right"/>
            </w:pPr>
            <w:r>
              <w:rPr>
                <w:rFonts w:ascii="仿宋_GB2312" w:hAnsi="仿宋_GB2312" w:eastAsia="仿宋_GB2312" w:cs="仿宋_GB2312"/>
              </w:rPr>
              <w:t>900,000.00</w:t>
            </w:r>
          </w:p>
        </w:tc>
        <w:tc>
          <w:tcPr>
            <w:tcW w:w="1384" w:type="dxa"/>
          </w:tcPr>
          <w:p w14:paraId="557F40E6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1384" w:type="dxa"/>
          </w:tcPr>
          <w:p w14:paraId="45B8AFA9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建筑业</w:t>
            </w:r>
          </w:p>
        </w:tc>
      </w:tr>
    </w:tbl>
    <w:p w14:paraId="2F761DDD">
      <w:pPr>
        <w:pStyle w:val="17"/>
        <w:ind w:firstLine="480"/>
      </w:pPr>
      <w:r>
        <w:rPr>
          <w:rFonts w:ascii="仿宋_GB2312" w:hAnsi="仿宋_GB2312" w:eastAsia="仿宋_GB2312" w:cs="仿宋_GB2312"/>
        </w:rPr>
        <w:t>一、技术、服务标准和要求：</w:t>
      </w:r>
    </w:p>
    <w:p w14:paraId="12F572F3">
      <w:pPr>
        <w:pStyle w:val="17"/>
      </w:pPr>
      <w:r>
        <w:rPr>
          <w:rFonts w:ascii="仿宋_GB2312" w:hAnsi="仿宋_GB2312" w:eastAsia="仿宋_GB2312" w:cs="仿宋_GB2312"/>
        </w:rPr>
        <w:t>采购包1：</w:t>
      </w:r>
    </w:p>
    <w:p w14:paraId="77EDCF65">
      <w:pPr>
        <w:pStyle w:val="17"/>
      </w:pPr>
      <w:r>
        <w:rPr>
          <w:rFonts w:ascii="仿宋_GB2312" w:hAnsi="仿宋_GB2312" w:eastAsia="仿宋_GB2312" w:cs="仿宋_GB2312"/>
        </w:rPr>
        <w:t>标的名称：2026年防水项目</w:t>
      </w:r>
    </w:p>
    <w:tbl>
      <w:tblPr>
        <w:tblStyle w:val="1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9"/>
        <w:gridCol w:w="2769"/>
        <w:gridCol w:w="2769"/>
      </w:tblGrid>
      <w:tr w14:paraId="6424354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4D229A1E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2769" w:type="dxa"/>
          </w:tcPr>
          <w:p w14:paraId="7A8706D8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2769" w:type="dxa"/>
          </w:tcPr>
          <w:p w14:paraId="67FF3FE5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48EC2BD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0302320D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769" w:type="dxa"/>
          </w:tcPr>
          <w:p w14:paraId="512D3182"/>
        </w:tc>
        <w:tc>
          <w:tcPr>
            <w:tcW w:w="2769" w:type="dxa"/>
          </w:tcPr>
          <w:p w14:paraId="78617430">
            <w:pPr>
              <w:pStyle w:val="17"/>
            </w:pPr>
            <w:r>
              <w:rPr>
                <w:rFonts w:ascii="仿宋_GB2312" w:hAnsi="仿宋_GB2312" w:eastAsia="仿宋_GB2312" w:cs="仿宋_GB2312"/>
                <w:b/>
              </w:rPr>
              <w:t>一、项目内容</w:t>
            </w:r>
          </w:p>
          <w:p w14:paraId="2629846B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针对高新校区行政楼A楼二楼东西两侧平台及台阶，高新校区教学楼B楼二楼西侧平台及台阶，高新校区行政楼A楼2–5层连廊，临渭校区3号、4号楼屋面开展防水工程，技术手段包括：聚脲、SBS卷材、防水卷帘施工。具体工程量见工程量清单。</w:t>
            </w:r>
          </w:p>
          <w:p w14:paraId="5B8CC267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1.针对高新校区行政楼A楼二楼东西两侧平台及台阶高新校区教学楼B楼二楼西侧平台及台阶采用免砸砖聚脲+彩石防水工艺，施工流程：基层处理→错台修补与砖缝清理→整体批刮腻子找平→涂刷瓷砖专用底漆→喷涂聚脲→涂刷彩石层→自检→局部修补→竣工验收。具体要求如下：</w:t>
            </w:r>
          </w:p>
          <w:p w14:paraId="2A923128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（1）基层处理：修补空鼓错台、填实砖缝，批刮0.5–1mm腻子找平；</w:t>
            </w:r>
          </w:p>
          <w:p w14:paraId="5156054B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（2）分两遍涂刷瓷砖专用底漆，总厚度≥0.15mm；</w:t>
            </w:r>
          </w:p>
          <w:p w14:paraId="24A0E998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（3）聚脲喷涂设计厚度1.5mm±0.2mm，节点部位加厚至2–3mm；</w:t>
            </w:r>
          </w:p>
          <w:p w14:paraId="024D9EBD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（4）施工设备参数：压力2500/3200psi，温度60–75℃；</w:t>
            </w:r>
          </w:p>
          <w:p w14:paraId="14240923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（5）增设彩石防滑层，验收标准：厚度达标、附着力合格、涂层无起泡、无脱层。</w:t>
            </w:r>
          </w:p>
          <w:p w14:paraId="137CD397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2.针对高新校区行政楼A楼2–5层连廊采用双轨导槽式防风电动卷帘施工，施工流程：测量放线→预埋件复核与补设→双轨导槽安装→卷轴及支架安装→电机安装→帘片组装与安装→电气接线→限位调试→整体运行调试→密封处理→清洁验收。具体要求如下：</w:t>
            </w:r>
          </w:p>
          <w:p w14:paraId="202918F7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（1）以土建基准线激光放线，定位误差≤±1mm；</w:t>
            </w:r>
          </w:p>
          <w:p w14:paraId="7C0E15A6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（2）预埋件偏差或缺失采用化学锚栓补设，固化达标后方可施工；</w:t>
            </w:r>
          </w:p>
          <w:p w14:paraId="2A50E19E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（3）双轨导槽垂直度≤1.5mm/m，螺栓间距≤400mm，内侧安装密封胶条；</w:t>
            </w:r>
          </w:p>
          <w:p w14:paraId="6DFFD99F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（4）卷轴水平度≤0.3mm/m，电机同轴安装、可靠接地；</w:t>
            </w:r>
          </w:p>
          <w:p w14:paraId="522CEE2F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（5）完成上下限位调试后做密封处理，验收标准：运行平稳无卡顿、防风性能达标。</w:t>
            </w:r>
          </w:p>
          <w:p w14:paraId="16554E88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3.针对临渭校区3号、4号楼屋面采用改性沥青（SBS）防水卷材施工，适配非上人屋面使用需求，解决屋面渗漏问题。材料要求使用SBS（高聚物改性沥青）防水卷材，Ⅱ型卷材，卷材厚度不小于4mm，聚酯毡胎基。下表面隔离材料为聚乙烯膜（PE），上表面隔离材料为细砂（S）。具体要求如下：</w:t>
            </w:r>
          </w:p>
          <w:p w14:paraId="2A8E4652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（1）要求将原防水层清除掉，垃圾外运，并将屋面清洗干净后重做防水。如找平层风化严重，不符合防水卷材施工规范要求，则重新铺设水泥砂浆，水泥砂浆最薄处不少于4cm。</w:t>
            </w:r>
          </w:p>
          <w:p w14:paraId="44FA1DB3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（2）对原漏水严重及裂缝处进行处理后，再对屋面均匀布设底油。</w:t>
            </w:r>
          </w:p>
          <w:p w14:paraId="6BE4F126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（3）屋面防水等级为II级，一道设防。搭接宽度正确（短边搭接叠压不小于15cm、长边搭接叠压不小于10 cm），女儿墙处上翻至女儿墙外檐。表面接缝严密、无褶皱、鼓包和翘边等现象。防水工程做法执行《屋面工程技术规范》(GB50345-2012)。</w:t>
            </w:r>
          </w:p>
          <w:p w14:paraId="7F9EB176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（4）铺设SBS（高聚物改性沥青）防水卷材。</w:t>
            </w:r>
          </w:p>
          <w:p w14:paraId="3AC5232B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（5）屋面变形缝、落水口等细部节点处需做附加层施工。</w:t>
            </w:r>
          </w:p>
          <w:p w14:paraId="6501CA44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4.参加竣工验收，编制工程结算，提交甲方审定。</w:t>
            </w:r>
          </w:p>
          <w:p w14:paraId="4ADF6A45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5.如实际情况确不能完成施工的，须经发包方同意变更方案后，方能实施，设计变更产生的费用由乙方承担。</w:t>
            </w:r>
          </w:p>
          <w:p w14:paraId="11164178">
            <w:pPr>
              <w:pStyle w:val="17"/>
            </w:pPr>
            <w:r>
              <w:rPr>
                <w:rFonts w:ascii="仿宋_GB2312" w:hAnsi="仿宋_GB2312" w:eastAsia="仿宋_GB2312" w:cs="仿宋_GB2312"/>
                <w:sz w:val="21"/>
              </w:rPr>
              <w:t>6.做好竣工资料的整理归档工作，竣工前交完整资料两套。施工完成后须提交竣工全部资料。做好竣工资料的整理归档工作，承包人提交的竣工资料的内容包括但不限于：施工文件、现场文件、竣工图、验收文件等档案资料。竣工归档资料应齐全、完整，图物相符、技术数据可靠、签字、盖章手续完备。</w:t>
            </w:r>
          </w:p>
        </w:tc>
      </w:tr>
      <w:tr w14:paraId="6315EF1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2A471A8A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2769" w:type="dxa"/>
          </w:tcPr>
          <w:p w14:paraId="29655941"/>
        </w:tc>
        <w:tc>
          <w:tcPr>
            <w:tcW w:w="2769" w:type="dxa"/>
          </w:tcPr>
          <w:p w14:paraId="2D1E003D">
            <w:pPr>
              <w:pStyle w:val="17"/>
            </w:pPr>
            <w:r>
              <w:rPr>
                <w:rFonts w:ascii="仿宋_GB2312" w:hAnsi="仿宋_GB2312" w:eastAsia="仿宋_GB2312" w:cs="仿宋_GB2312"/>
                <w:b/>
              </w:rPr>
              <w:t>二、招标要求</w:t>
            </w:r>
          </w:p>
          <w:p w14:paraId="7ED03C21">
            <w:pPr>
              <w:pStyle w:val="17"/>
            </w:pPr>
            <w:r>
              <w:rPr>
                <w:rFonts w:ascii="仿宋_GB2312" w:hAnsi="仿宋_GB2312" w:eastAsia="仿宋_GB2312" w:cs="仿宋_GB2312"/>
                <w:sz w:val="21"/>
              </w:rPr>
              <w:t>本项目采用固定总价合同，报价应是完成所要求的全部内容及承包范围内所需的全部费用，包括但不限于产品的报价所发生的：人工费、设备费（主材及辅材，材质要求符合国家相关标准及采购人要求）、机械费、包装、运输、仓储、保管、保险、装卸（卸货至采购人指定地点）规费、税金、利润、运杂费（含保险）、现场安装费、调试费、维保期内的维保费用、措施费、垃圾清运费用、检测费、市场价格风险、社会干扰因素排除费、知识版权费用、政府关于监测、技术监督、执法、质量监督等相关职能部门手续办理相关费用等在内的一切费用。</w:t>
            </w:r>
          </w:p>
        </w:tc>
      </w:tr>
      <w:tr w14:paraId="43A67FA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7071A138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2769" w:type="dxa"/>
          </w:tcPr>
          <w:p w14:paraId="27A5805A"/>
        </w:tc>
        <w:tc>
          <w:tcPr>
            <w:tcW w:w="2769" w:type="dxa"/>
          </w:tcPr>
          <w:p w14:paraId="0B4DBFEC">
            <w:pPr>
              <w:pStyle w:val="17"/>
            </w:pPr>
            <w:r>
              <w:rPr>
                <w:rFonts w:ascii="仿宋_GB2312" w:hAnsi="仿宋_GB2312" w:eastAsia="仿宋_GB2312" w:cs="仿宋_GB2312"/>
                <w:b/>
              </w:rPr>
              <w:t>三、项目要求</w:t>
            </w:r>
          </w:p>
          <w:p w14:paraId="45EB136F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1.承包方式：包工包料，总价包干。</w:t>
            </w:r>
          </w:p>
          <w:p w14:paraId="2102065B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2.工期：发包人下发通知单后承包人开始施工，2026年8月20日前完工，为交钥匙工程，不允许出现工程变更。</w:t>
            </w:r>
          </w:p>
          <w:p w14:paraId="6384F573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3.质保期：验收合格之日起5年。</w:t>
            </w:r>
          </w:p>
          <w:p w14:paraId="519FC6E7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4.付款方式：</w:t>
            </w:r>
          </w:p>
          <w:p w14:paraId="1C8D7F94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 xml:space="preserve">（1）本工程无预付款。 </w:t>
            </w:r>
          </w:p>
          <w:p w14:paraId="17731CDA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（2）项目完工经甲方验收合格后付至合同总价的80%；工程审价审减额在5%以上时，审计费用应由应标单位承担；工程审价审减额在5%以内时（含5%），审计费用由招标人承担；待甲方工程审计结算完成后付至审计最终价的98%，留工程审计价的2%作为工程质保金。质保金在质保期满后无质量问题且双方无争议时,一周内一次无息付清。甲方付款前，乙方应先向甲方提供增值税专用发票，否则甲方有权暂不付款，且不影响乙方应继续履行合同义务。</w:t>
            </w:r>
          </w:p>
          <w:p w14:paraId="3B061880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 xml:space="preserve">5.工程竣工结算，应按合同约定和实际履约事项，出具的竣工结算报告经采购人、应标单位双方签字后生效。 </w:t>
            </w:r>
          </w:p>
          <w:p w14:paraId="1E201600">
            <w:pPr>
              <w:pStyle w:val="17"/>
            </w:pPr>
            <w:r>
              <w:rPr>
                <w:rFonts w:ascii="仿宋_GB2312" w:hAnsi="仿宋_GB2312" w:eastAsia="仿宋_GB2312" w:cs="仿宋_GB2312"/>
                <w:sz w:val="21"/>
              </w:rPr>
              <w:t>6.应标单位须在工程第一次付款前向招标人支付合同总价0.4%的水电费。</w:t>
            </w:r>
          </w:p>
        </w:tc>
      </w:tr>
      <w:tr w14:paraId="21F9059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05601097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2769" w:type="dxa"/>
          </w:tcPr>
          <w:p w14:paraId="78BE9BBC"/>
        </w:tc>
        <w:tc>
          <w:tcPr>
            <w:tcW w:w="2769" w:type="dxa"/>
          </w:tcPr>
          <w:p w14:paraId="3917D21D">
            <w:pPr>
              <w:pStyle w:val="17"/>
            </w:pPr>
            <w:r>
              <w:rPr>
                <w:rFonts w:ascii="仿宋_GB2312" w:hAnsi="仿宋_GB2312" w:eastAsia="仿宋_GB2312" w:cs="仿宋_GB2312"/>
                <w:b/>
              </w:rPr>
              <w:t>四、其他要求</w:t>
            </w:r>
          </w:p>
          <w:p w14:paraId="5E5FEAF9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1.应标单位所提供的材料规格、品种必须符合设计要求、施工规范和响应文件的约定，经甲方认质（不认价）后，方可使用。</w:t>
            </w:r>
          </w:p>
          <w:p w14:paraId="0E73F9E1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2.施工过程中注意保护甲方设施，如有损坏照价赔偿；完工后将施工垃圾清理出校园。</w:t>
            </w:r>
          </w:p>
          <w:p w14:paraId="289CA596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3.施工中人、财、物安全及外围关系由应标单位负责。施工时注意做好周边警示和防护。施工方必须对其现场人员、设备及财产的安全负责。在施工及材料的运输等过程中发生的一切人身安全、财产损失、损害、意外事故及对第三方造成的损失，均由乙方承担，甲方不承担任何经济及连带责任。</w:t>
            </w:r>
          </w:p>
          <w:p w14:paraId="6A8EDCBA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4.隐蔽工程及其他各项施工严格按工序开展，各道工序必须经招标人的验收认可后方可进行下道工序，否则，招标人将不予认可。所导致的工期延长由中标人自行负责。</w:t>
            </w:r>
          </w:p>
          <w:p w14:paraId="1AAA4ABA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5.需现场踏勘并自行勘查工程量。</w:t>
            </w:r>
          </w:p>
          <w:p w14:paraId="5DFB90FF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6.应标单位应按招标人现场交底，进行施工安排，应标单位进场需确定项目负责人。应标单位应精心组织施工，保质、保量、按期完成工程范围内的工作任务。</w:t>
            </w:r>
          </w:p>
          <w:p w14:paraId="7E427E64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7.应标单位在施工期间需做好对已有工程的保护，如有损坏，自行免费修补。施工完成后必须将现场打扫干净、垃圾运出校外。所有设施设备回归原位。</w:t>
            </w:r>
          </w:p>
          <w:p w14:paraId="4E569602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8.参加竣工验收，编制工程结算，提交招标人审定。</w:t>
            </w:r>
          </w:p>
          <w:p w14:paraId="54801ED3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9.承包人提交的竣工资料移交时间：初步验收之前完成组卷，竣工验收合格后30日内移交竣工资料。</w:t>
            </w:r>
          </w:p>
          <w:p w14:paraId="403C531F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10.承包人提交的竣工资料的费用由承包人承担。</w:t>
            </w:r>
          </w:p>
          <w:p w14:paraId="308E8208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11.承包人应在规定时间内提交上述资料并经发包人检验合格有效。逾期提交的应当承担逾期违约金，因逾期造成发包人损失的，应当承担赔偿责任。</w:t>
            </w:r>
          </w:p>
          <w:p w14:paraId="0BFC0EC1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12.完成工程质量保修期内的维修任务，保修期为从竣工验收合格之日起5年。保修期内出现质量问题，应标单位须在接到招标人通知12小时内到场维修，否则招标人可自行或委托第三方处理，相关费用由应标单位承担。发生紧急事故需抢修的，承包人在接到事故通知后，应当2小时内立即到达事故现场抢修。</w:t>
            </w:r>
          </w:p>
          <w:p w14:paraId="4178811C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13.承包人负责照管工程及工程相关的材料、工程设备的起始时间：自发包人向承包人移交施工现场之日起，承包人应负责照管工程及工程相关的材料、工程设备，直到工程竣工验收合格之日止。</w:t>
            </w:r>
          </w:p>
          <w:p w14:paraId="46AFCBCE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14.隐蔽工程及其他各项施工严格按工序开展，各道工序必须经招标人和监理单位的验收认可后方可进行下道工序，否则，招标人将不予认可。所导致的工期延长由应标单位自行负责。</w:t>
            </w:r>
          </w:p>
          <w:p w14:paraId="7DC649C6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15.超过地面2米属高空作业，高空施工作业人员必须持有高空作业证，应标单位须为其购买相应保险，作业时严格遵守《建筑施工高处作业安全技术规范》，并做好所有安全保护措施。</w:t>
            </w:r>
          </w:p>
          <w:p w14:paraId="1B0CCB2F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16.应标单位须保证工人身体健康，没有感染传染性疾病，并做好工人防护工作。按照招标人要求进出校园并服从招标人后勤安保处管理。</w:t>
            </w:r>
          </w:p>
          <w:p w14:paraId="5F18C670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17.承包人施工过程中如对市政和校园的绿化、道路等既有设施造成破坏的，需恢复至原状，费用自理。</w:t>
            </w:r>
          </w:p>
          <w:p w14:paraId="12848125">
            <w:pPr>
              <w:pStyle w:val="17"/>
            </w:pPr>
            <w:r>
              <w:rPr>
                <w:rFonts w:ascii="仿宋_GB2312" w:hAnsi="仿宋_GB2312" w:eastAsia="仿宋_GB2312" w:cs="仿宋_GB2312"/>
                <w:sz w:val="21"/>
              </w:rPr>
              <w:t>18.承包人不得将本项目挂靠、分包、转包。</w:t>
            </w:r>
          </w:p>
        </w:tc>
      </w:tr>
      <w:tr w14:paraId="5C42784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6AB4530A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2769" w:type="dxa"/>
          </w:tcPr>
          <w:p w14:paraId="70D9E342"/>
        </w:tc>
        <w:tc>
          <w:tcPr>
            <w:tcW w:w="2769" w:type="dxa"/>
          </w:tcPr>
          <w:p w14:paraId="1B372C0A">
            <w:pPr>
              <w:pStyle w:val="17"/>
            </w:pPr>
            <w:r>
              <w:rPr>
                <w:rFonts w:ascii="仿宋_GB2312" w:hAnsi="仿宋_GB2312" w:eastAsia="仿宋_GB2312" w:cs="仿宋_GB2312"/>
                <w:b/>
              </w:rPr>
              <w:t>五、违约责任</w:t>
            </w:r>
          </w:p>
          <w:p w14:paraId="23B6ADA9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1.因承包人原因造成工期推迟，不能按时交付使用，按1000元/天进行处罚。</w:t>
            </w:r>
          </w:p>
          <w:p w14:paraId="638B6CE2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2.现场所有施工工艺环节均需严格按照规范要求进行施工，不得随意减少、调整、变更工序、做法，未施作或未按标准进行施作的，发包人将按2000元/次进行处罚并扣减相关工程量和费用。</w:t>
            </w:r>
          </w:p>
          <w:p w14:paraId="264E47F6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3.承包人在施工过程中应服从发包人代表下发的现场指令，若无故不服从或者拖延不整改的，视情节轻重处以1000元/次（或天）的罚款。</w:t>
            </w:r>
          </w:p>
          <w:p w14:paraId="352AB236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4.未能及时支付农民工工资造成工期延误和恶劣影响的，工期不予顺延，如发生围堵发包人或影响发包人正常办公时，发包人有权对承包人处以1万元/次（或天）的处罚；若类似事件发生超过2次，发包人有权解除合同并扣除已完成工程量20%的工程款。</w:t>
            </w:r>
          </w:p>
          <w:p w14:paraId="625E1C5E">
            <w:pPr>
              <w:pStyle w:val="17"/>
              <w:ind w:firstLine="480"/>
            </w:pPr>
            <w:r>
              <w:rPr>
                <w:rFonts w:ascii="仿宋_GB2312" w:hAnsi="仿宋_GB2312" w:eastAsia="仿宋_GB2312" w:cs="仿宋_GB2312"/>
              </w:rPr>
              <w:t>5.工程质量验收若一次性达不到规范要求，承包人必须返工以达到约定的质量标准，返工费用由承包人承担；若返工后仍达不到约定的质量标准，承包人继续完善该部分工程直至合格，同时处以该分部分项工程造价5%的罚款；若造成永久质量缺陷但不影响正常使用时处以该分部分项工程造价20%-50%的罚款。</w:t>
            </w:r>
          </w:p>
          <w:p w14:paraId="5E021638">
            <w:pPr>
              <w:pStyle w:val="17"/>
            </w:pPr>
            <w:r>
              <w:rPr>
                <w:rFonts w:ascii="仿宋_GB2312" w:hAnsi="仿宋_GB2312" w:eastAsia="仿宋_GB2312" w:cs="仿宋_GB2312"/>
                <w:sz w:val="21"/>
              </w:rPr>
              <w:t>6.如发包人在工程交付使用后，发现工程存在质量问题或承包人未按图纸及规范要求进行施工的，承包人须免费维修，同时发包人保留对承包人追诉、处罚等权利。</w:t>
            </w:r>
          </w:p>
        </w:tc>
      </w:tr>
    </w:tbl>
    <w:p w14:paraId="7387739A">
      <w:pPr>
        <w:pStyle w:val="17"/>
        <w:ind w:firstLine="480"/>
      </w:pPr>
      <w:r>
        <w:rPr>
          <w:rFonts w:ascii="仿宋_GB2312" w:hAnsi="仿宋_GB2312" w:eastAsia="仿宋_GB2312" w:cs="仿宋_GB2312"/>
        </w:rPr>
        <w:t>二、供应商针对本项目的施工，必须达到国家及行业现行技术规范标准，符合国家及行业验收合格标准：</w:t>
      </w:r>
    </w:p>
    <w:p w14:paraId="1726BF0F">
      <w:pPr>
        <w:pStyle w:val="17"/>
      </w:pPr>
      <w:r>
        <w:rPr>
          <w:rFonts w:ascii="仿宋_GB2312" w:hAnsi="仿宋_GB2312" w:eastAsia="仿宋_GB2312" w:cs="仿宋_GB2312"/>
        </w:rPr>
        <w:t>采购包1：</w:t>
      </w:r>
    </w:p>
    <w:p w14:paraId="18794E08">
      <w:pPr>
        <w:pStyle w:val="17"/>
      </w:pPr>
      <w:r>
        <w:rPr>
          <w:rFonts w:ascii="仿宋_GB2312" w:hAnsi="仿宋_GB2312" w:eastAsia="仿宋_GB2312" w:cs="仿宋_GB2312"/>
        </w:rPr>
        <w:t>（1）GB 55030-2022《建筑与市政工程防水通用规范》 （2）GB 50207-2012《屋面工程质量验收规范》 （3）GB 50345-2012《屋面工程技术规范》 （4）GB/T 23451-2023《建筑用电动抗风卷帘门》</w:t>
      </w:r>
    </w:p>
    <w:p w14:paraId="354629F1">
      <w:pPr>
        <w:pStyle w:val="17"/>
        <w:ind w:firstLine="480"/>
      </w:pPr>
      <w:r>
        <w:rPr>
          <w:rFonts w:ascii="仿宋_GB2312" w:hAnsi="仿宋_GB2312" w:eastAsia="仿宋_GB2312" w:cs="仿宋_GB2312"/>
        </w:rPr>
        <w:t>三、针对本项目的其他技术服务要求：</w:t>
      </w:r>
    </w:p>
    <w:p w14:paraId="767AF80D">
      <w:pPr>
        <w:pStyle w:val="17"/>
      </w:pPr>
      <w:r>
        <w:rPr>
          <w:rFonts w:ascii="仿宋_GB2312" w:hAnsi="仿宋_GB2312" w:eastAsia="仿宋_GB2312" w:cs="仿宋_GB2312"/>
        </w:rPr>
        <w:t>/</w:t>
      </w:r>
    </w:p>
    <w:p w14:paraId="5D7A8E91">
      <w:pPr>
        <w:pStyle w:val="17"/>
        <w:ind w:firstLine="480"/>
      </w:pPr>
      <w:r>
        <w:rPr>
          <w:rFonts w:ascii="仿宋_GB2312" w:hAnsi="仿宋_GB2312" w:eastAsia="仿宋_GB2312" w:cs="仿宋_GB2312"/>
        </w:rPr>
        <w:t>四、工程量清单（详见附件）</w:t>
      </w:r>
    </w:p>
    <w:p w14:paraId="0EAD20FE">
      <w:pPr>
        <w:pStyle w:val="17"/>
        <w:ind w:firstLine="480"/>
      </w:pPr>
      <w:r>
        <w:rPr>
          <w:rFonts w:ascii="仿宋_GB2312" w:hAnsi="仿宋_GB2312" w:eastAsia="仿宋_GB2312" w:cs="仿宋_GB2312"/>
        </w:rPr>
        <w:t xml:space="preserve"> （说明：工程量清单应当结合《政府采购需求管理办法》（财库〔2021〕22号）第六条第二款规定，明确相关性能、材料、结构、外观、安全、标准等。）</w:t>
      </w:r>
    </w:p>
    <w:p w14:paraId="118749C7">
      <w:pPr>
        <w:pStyle w:val="17"/>
      </w:pPr>
      <w:bookmarkStart w:id="0" w:name="_GoBack"/>
      <w:bookmarkEnd w:id="0"/>
    </w:p>
    <w:sectPr>
      <w:headerReference r:id="rId5" w:type="default"/>
      <w:footerReference r:id="rId6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宋体-简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29B717">
    <w:pPr>
      <w:pStyle w:val="10"/>
      <w:ind w:right="360" w:firstLine="90" w:firstLineChars="5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9728273">
                          <w:pPr>
                            <w:pStyle w:val="10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9728273">
                    <w:pPr>
                      <w:pStyle w:val="10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4C29CA">
    <w:pPr>
      <w:pStyle w:val="11"/>
      <w:pBdr>
        <w:bottom w:val="single" w:color="auto" w:sz="6" w:space="2"/>
      </w:pBdr>
      <w:jc w:val="left"/>
    </w:pPr>
    <w:r>
      <w:rPr>
        <w:rFonts w:hint="eastAsia"/>
        <w:lang w:val="en-US" w:eastAsia="zh-CN"/>
      </w:rPr>
      <w:t xml:space="preserve">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mZTUzNTgxYzEzYTRhMWM4ODc2MTE5ZjVmNzIzNDEifQ=="/>
  </w:docVars>
  <w:rsids>
    <w:rsidRoot w:val="00000000"/>
    <w:rsid w:val="0067008A"/>
    <w:rsid w:val="00B24485"/>
    <w:rsid w:val="025D1695"/>
    <w:rsid w:val="03124449"/>
    <w:rsid w:val="035C6062"/>
    <w:rsid w:val="03E1456A"/>
    <w:rsid w:val="06EF5394"/>
    <w:rsid w:val="095A1470"/>
    <w:rsid w:val="0A9E23BD"/>
    <w:rsid w:val="0DBC5E01"/>
    <w:rsid w:val="108E0B4A"/>
    <w:rsid w:val="12120B1B"/>
    <w:rsid w:val="12814146"/>
    <w:rsid w:val="160C74E6"/>
    <w:rsid w:val="179C1CBE"/>
    <w:rsid w:val="1C7F6FB0"/>
    <w:rsid w:val="1E786385"/>
    <w:rsid w:val="1ECA384D"/>
    <w:rsid w:val="21685574"/>
    <w:rsid w:val="22C87245"/>
    <w:rsid w:val="22E00E2D"/>
    <w:rsid w:val="25F86AF1"/>
    <w:rsid w:val="37FF2D77"/>
    <w:rsid w:val="3B1038C1"/>
    <w:rsid w:val="3EFA5C6C"/>
    <w:rsid w:val="40F82EF9"/>
    <w:rsid w:val="469F763F"/>
    <w:rsid w:val="49105DC9"/>
    <w:rsid w:val="49B76F52"/>
    <w:rsid w:val="4C977055"/>
    <w:rsid w:val="4F406CC7"/>
    <w:rsid w:val="51150C7F"/>
    <w:rsid w:val="550A1873"/>
    <w:rsid w:val="56A4373E"/>
    <w:rsid w:val="56AB5230"/>
    <w:rsid w:val="5A612985"/>
    <w:rsid w:val="5D2E4085"/>
    <w:rsid w:val="672226E7"/>
    <w:rsid w:val="68993E8A"/>
    <w:rsid w:val="68FB4800"/>
    <w:rsid w:val="6CCC3552"/>
    <w:rsid w:val="6D415667"/>
    <w:rsid w:val="706439B2"/>
    <w:rsid w:val="723956D2"/>
    <w:rsid w:val="728B13DD"/>
    <w:rsid w:val="765F6058"/>
    <w:rsid w:val="76D17E0A"/>
    <w:rsid w:val="79DB4340"/>
    <w:rsid w:val="7B140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4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line="600" w:lineRule="exact"/>
      <w:outlineLvl w:val="1"/>
    </w:pPr>
    <w:rPr>
      <w:rFonts w:ascii="Arial" w:hAnsi="Arial" w:eastAsia="黑体" w:cs="Times New Roman"/>
      <w:bCs/>
      <w:sz w:val="24"/>
      <w:szCs w:val="32"/>
    </w:rPr>
  </w:style>
  <w:style w:type="character" w:default="1" w:styleId="15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/>
    </w:pPr>
    <w:rPr>
      <w:szCs w:val="20"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"/>
    <w:basedOn w:val="1"/>
    <w:next w:val="1"/>
    <w:qFormat/>
    <w:uiPriority w:val="0"/>
    <w:pPr>
      <w:spacing w:after="120"/>
    </w:pPr>
  </w:style>
  <w:style w:type="paragraph" w:styleId="7">
    <w:name w:val="Body Text Indent"/>
    <w:basedOn w:val="1"/>
    <w:next w:val="8"/>
    <w:qFormat/>
    <w:uiPriority w:val="0"/>
    <w:pPr>
      <w:tabs>
        <w:tab w:val="left" w:pos="480"/>
      </w:tabs>
      <w:spacing w:line="540" w:lineRule="exact"/>
      <w:ind w:firstLine="480" w:firstLineChars="200"/>
    </w:pPr>
    <w:rPr>
      <w:sz w:val="24"/>
    </w:rPr>
  </w:style>
  <w:style w:type="paragraph" w:styleId="8">
    <w:name w:val="Body Text First Indent 2"/>
    <w:basedOn w:val="7"/>
    <w:qFormat/>
    <w:uiPriority w:val="0"/>
    <w:pPr>
      <w:spacing w:after="120" w:line="240" w:lineRule="auto"/>
      <w:ind w:left="420" w:leftChars="200" w:firstLine="420"/>
    </w:pPr>
    <w:rPr>
      <w:sz w:val="21"/>
    </w:rPr>
  </w:style>
  <w:style w:type="paragraph" w:styleId="9">
    <w:name w:val="Plain Text"/>
    <w:basedOn w:val="1"/>
    <w:qFormat/>
    <w:uiPriority w:val="99"/>
    <w:rPr>
      <w:rFonts w:ascii="宋体" w:hAnsi="Courier New" w:cs="Courier New"/>
      <w:szCs w:val="21"/>
    </w:r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2">
    <w:name w:val="Normal (Web)"/>
    <w:basedOn w:val="1"/>
    <w:qFormat/>
    <w:uiPriority w:val="0"/>
    <w:pPr>
      <w:widowControl/>
      <w:spacing w:beforeAutospacing="1" w:after="0" w:afterAutospacing="1"/>
      <w:jc w:val="left"/>
    </w:pPr>
    <w:rPr>
      <w:rFonts w:ascii="宋体" w:hAnsi="宋体"/>
      <w:kern w:val="0"/>
      <w:sz w:val="24"/>
      <w:szCs w:val="24"/>
    </w:rPr>
  </w:style>
  <w:style w:type="table" w:styleId="14">
    <w:name w:val="Table Grid"/>
    <w:basedOn w:val="1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6">
    <w:name w:val="列出段落1"/>
    <w:basedOn w:val="1"/>
    <w:qFormat/>
    <w:uiPriority w:val="99"/>
    <w:pPr>
      <w:ind w:firstLine="420" w:firstLineChars="200"/>
    </w:pPr>
    <w:rPr>
      <w:rFonts w:ascii="Calibri" w:hAnsi="Calibri" w:cs="Calibri"/>
    </w:rPr>
  </w:style>
  <w:style w:type="paragraph" w:customStyle="1" w:styleId="17">
    <w:name w:val="null3"/>
    <w:autoRedefine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styleId="18">
    <w:name w:val="List Paragraph"/>
    <w:basedOn w:val="1"/>
    <w:autoRedefine/>
    <w:qFormat/>
    <w:uiPriority w:val="34"/>
    <w:pPr>
      <w:ind w:firstLine="420"/>
    </w:pPr>
  </w:style>
  <w:style w:type="character" w:customStyle="1" w:styleId="19">
    <w:name w:val="font71"/>
    <w:basedOn w:val="15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0">
    <w:name w:val="font91"/>
    <w:basedOn w:val="15"/>
    <w:qFormat/>
    <w:uiPriority w:val="0"/>
    <w:rPr>
      <w:rFonts w:ascii="宋体-简" w:hAnsi="宋体-简" w:eastAsia="宋体-简" w:cs="宋体-简"/>
      <w:color w:val="000000"/>
      <w:sz w:val="22"/>
      <w:szCs w:val="22"/>
      <w:u w:val="none"/>
    </w:rPr>
  </w:style>
  <w:style w:type="character" w:customStyle="1" w:styleId="21">
    <w:name w:val="font21"/>
    <w:basedOn w:val="15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paragraph" w:customStyle="1" w:styleId="22">
    <w:name w:val="No Spacing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23">
    <w:name w:val="font11"/>
    <w:basedOn w:val="15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24">
    <w:name w:val="标题 1 Char"/>
    <w:link w:val="2"/>
    <w:qFormat/>
    <w:uiPriority w:val="0"/>
    <w:rPr>
      <w:b/>
      <w:kern w:val="44"/>
      <w:sz w:val="44"/>
    </w:rPr>
  </w:style>
  <w:style w:type="paragraph" w:customStyle="1" w:styleId="25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  <w:style w:type="table" w:customStyle="1" w:styleId="2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列表段落1"/>
    <w:basedOn w:val="1"/>
    <w:qFormat/>
    <w:uiPriority w:val="0"/>
    <w:pPr>
      <w:spacing w:after="0"/>
      <w:ind w:firstLine="420" w:firstLineChars="200"/>
    </w:pPr>
    <w:rPr>
      <w:szCs w:val="21"/>
    </w:rPr>
  </w:style>
  <w:style w:type="paragraph" w:customStyle="1" w:styleId="28">
    <w:name w:val="正文_段"/>
    <w:qFormat/>
    <w:uiPriority w:val="0"/>
    <w:pPr>
      <w:adjustRightInd w:val="0"/>
      <w:snapToGrid w:val="0"/>
      <w:spacing w:line="360" w:lineRule="auto"/>
      <w:ind w:firstLine="200" w:firstLineChars="200"/>
    </w:pPr>
    <w:rPr>
      <w:rFonts w:ascii="Times New Roman" w:hAnsi="Times New Roman" w:eastAsia="宋体" w:cs="Times New Roman"/>
      <w:sz w:val="28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1088</Words>
  <Characters>1304</Characters>
  <Lines>0</Lines>
  <Paragraphs>0</Paragraphs>
  <TotalTime>0</TotalTime>
  <ScaleCrop>false</ScaleCrop>
  <LinksUpToDate>false</LinksUpToDate>
  <CharactersWithSpaces>1387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2024-11-07T06:12:00Z</dcterms:created>
  <dc:creator>Administrator</dc:creator>
  <cp:lastModifiedBy>国创招标</cp:lastModifiedBy>
  <dcterms:modified xsi:type="dcterms:W3CDTF">2026-06-29T12:20:27Z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93527D60A6C247DCA3BA1443F2DA3974_12</vt:lpwstr>
  </property>
  <property fmtid="{D5CDD505-2E9C-101B-9397-08002B2CF9AE}" pid="4" name="KSOTemplateDocerSaveRecord">
    <vt:lpwstr>eyJoZGlkIjoiNzFmZTUzNTgxYzEzYTRhMWM4ODc2MTE5ZjVmNzIzNDEiLCJ1c2VySWQiOiIxMTQ2NDU0OTA0In0=</vt:lpwstr>
  </property>
</Properties>
</file>