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3546FB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sz w:val="21"/>
          <w:szCs w:val="21"/>
          <w:lang w:val="en-US" w:eastAsia="zh-CN"/>
        </w:rPr>
      </w:pPr>
      <w:r>
        <w:rPr>
          <w:rFonts w:hint="eastAsia" w:ascii="宋体" w:hAnsi="宋体" w:eastAsia="宋体" w:cs="宋体"/>
          <w:b/>
          <w:bCs/>
          <w:sz w:val="32"/>
          <w:szCs w:val="32"/>
          <w:lang w:val="en-US" w:eastAsia="zh-CN"/>
        </w:rPr>
        <w:t>采购需求</w:t>
      </w:r>
    </w:p>
    <w:p w14:paraId="62ACFF02">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1.服务内容</w:t>
      </w:r>
    </w:p>
    <w:p w14:paraId="13C8D98C">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根据相关质量标准，对陕西省行政执法和执法监督一体化平台（行政执法和执法监督一体化工作台、行政执法子系统、行政执法监督子系统、文件审查管理子系统、要素管理子系统、行政执法和执法监督数据分析监测子系统）和5个改造系统（改造部分）进行功能性、性能效率等方面的软件测评服务，验证项目是否达到验收要求，并出具《软件测试报告》。</w:t>
      </w:r>
    </w:p>
    <w:p w14:paraId="285100B6">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1.1软件测评服务</w:t>
      </w:r>
    </w:p>
    <w:p w14:paraId="28C6415A">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针对项目总体情况、项目进度计划情况和测试工作要求，制定整体测试工作方案，方案内容包括但不限于：测试背景、测试标准、测试计划、测试用例、测试数据、采用的测试方法及工具、测试质量保障、参与各方的职责等。</w:t>
      </w:r>
    </w:p>
    <w:p w14:paraId="49CA0FEA">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1.1.1功能性测试</w:t>
      </w:r>
    </w:p>
    <w:p w14:paraId="0860F6D5">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功能测评主要是对应用系统进行功能测试和业务流程测试，根据待测系统需求规格说明、系统设计文档中的功能需求，重点检查功能完备性、功能正确性、功能适合性以及功能依从性。</w:t>
      </w:r>
    </w:p>
    <w:p w14:paraId="4225F88A">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1.1.2性能效率测试</w:t>
      </w:r>
    </w:p>
    <w:p w14:paraId="2538101C">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性能测试主要是验证应用系统的各项性能指标是否满足性能需求，根据待测系统需求规格说明、系统设计文档中的性能需求，结合系统使用场景，分析性能相关的测评要求，制定测评案例，性能测试主要包括负载测试、压力测试、疲劳测试等。</w:t>
      </w:r>
    </w:p>
    <w:p w14:paraId="29496F63">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负载测试的主要目标是在给定的测试环境下，通过在被测系统上不断增加压力，直到性能指标超过预定指标或某种资源使用已经达到饱和状态下的系统运行能力，目的是了解系统性能容量和处理能力极限，发现系统性能的拐点，确定系统能够支持的最大用户、业务等处理能力的约束。</w:t>
      </w:r>
    </w:p>
    <w:p w14:paraId="764DC774">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压力测试主要目的是评估测试系统在一定饱和状态下系统能够处理的会话能力，以及是否出现错误，对系统运行稳定性进行评估。</w:t>
      </w:r>
    </w:p>
    <w:p w14:paraId="0FD801A3">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1.2源代码安全审计</w:t>
      </w:r>
    </w:p>
    <w:p w14:paraId="1BFEFED3">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对陕西省行政执法和执法监督一体化平台（行政执法和执法监督一体化工作台、行政执法子系统、行政执法监督子系统、文件审查管理子系统、要素管理子系统、行政执法和执法监督数据分析监测子系统）和5个改造系统（改造部分）进行源代码安全审计服务；</w:t>
      </w:r>
    </w:p>
    <w:p w14:paraId="6F1CC315">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1.2.1采用专业工具与人工分析</w:t>
      </w:r>
    </w:p>
    <w:p w14:paraId="237C8D5B">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提供专业的代码审计工具和代码组件成分评估工具，采用工具扫描和人工分析确认相结合的方式，对被测系统的开发语言、框架、代码漏洞、逻辑结构缺陷、代码缺陷、开源软件代码、组件等进行分析，审计内容包括但不限于输入验证、授权管理、安全加密、错误处理、逻辑结构分析等方面。</w:t>
      </w:r>
    </w:p>
    <w:p w14:paraId="6D342C41">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1.2.2提供持续风险处置建议</w:t>
      </w:r>
    </w:p>
    <w:p w14:paraId="15E2FAF9">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提供修复建议协助开发人员修复安全问题，在业务方修复安全风险问题后，完成复测验证。对因客观原因暂时无法修复的问题，给出安全建议，协助进行风险规避或降低，并记录。</w:t>
      </w:r>
    </w:p>
    <w:p w14:paraId="0309B90B">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2.交付成果</w:t>
      </w:r>
    </w:p>
    <w:p w14:paraId="012E5D0B">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成果包括但不限于以下内容：</w:t>
      </w:r>
    </w:p>
    <w:p w14:paraId="096D6CE2">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《软件测试报告》；</w:t>
      </w:r>
    </w:p>
    <w:p w14:paraId="153C5119">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《源代码安全审计报告》；</w:t>
      </w:r>
    </w:p>
    <w:p w14:paraId="0FCB6546">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3.服务要求</w:t>
      </w:r>
    </w:p>
    <w:p w14:paraId="759801E0">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3.1第三方测试服务要求包括：</w:t>
      </w:r>
    </w:p>
    <w:p w14:paraId="58CED0BB">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测试服务参照《GB/T 25000.51-2016 系统与软件工程 系统与软件质量要求和评价（SQuaRE）第51部分：就绪可用软件产品（RUSP）的质量要求和测试细则》执行；本项目实施过程要求配备专用的测评网络环境、设备以及工具；配备的测试人员需具有权威机构颁发的软件测试资质，并签署保密协议。</w:t>
      </w:r>
    </w:p>
    <w:p w14:paraId="4E653A38">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3.2源代码安全审计服务要求包括：</w:t>
      </w:r>
    </w:p>
    <w:p w14:paraId="18B6794E">
      <w:pPr>
        <w:pStyle w:val="4"/>
        <w:keepNext w:val="0"/>
        <w:keepLines w:val="0"/>
        <w:pageBreakBefore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eastAsia="zh-CN"/>
        </w:rPr>
        <w:t>提供专业的代码审计工具和代码组件成分评估工具，采用工具扫描和人工分析确认相结合的方式，对被测系统的开发语言、框架、代码漏洞、逻辑结构缺陷、代码缺陷、开源软件代码、组件等进行分析，审计内容包括但不限于输入验证、授权管理、安全加密、错误处理、逻辑结构分析等方面。出具实施方案、源代码审计报告，提供修复建议协助开发人员修复安全问题，在业务方修复安全风险问题后，完成复测验证。对因客观原因暂时无法修复的问题，给出安全建议，协助进行风险规避或降低，并记录。</w:t>
      </w:r>
    </w:p>
    <w:p w14:paraId="7408FACD">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4.其他要求</w:t>
      </w:r>
    </w:p>
    <w:p w14:paraId="49999133">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kern w:val="0"/>
          <w:sz w:val="21"/>
          <w:szCs w:val="21"/>
          <w:highlight w:val="none"/>
        </w:rPr>
      </w:pPr>
      <w:r>
        <w:rPr>
          <w:rFonts w:hint="eastAsia" w:ascii="宋体" w:hAnsi="宋体" w:eastAsia="宋体" w:cs="宋体"/>
          <w:color w:val="0000FF"/>
          <w:sz w:val="21"/>
          <w:szCs w:val="21"/>
          <w:lang w:val="en-US" w:eastAsia="zh-CN"/>
        </w:rPr>
        <w:t>4.1</w:t>
      </w:r>
      <w:r>
        <w:rPr>
          <w:rFonts w:hint="eastAsia" w:ascii="宋体" w:hAnsi="宋体" w:eastAsia="宋体" w:cs="宋体"/>
          <w:color w:val="0000FF"/>
          <w:sz w:val="21"/>
          <w:szCs w:val="21"/>
          <w:lang w:eastAsia="zh-CN"/>
        </w:rPr>
        <w:t>针对本项目</w:t>
      </w:r>
      <w:r>
        <w:rPr>
          <w:rFonts w:hint="eastAsia" w:ascii="宋体" w:hAnsi="宋体" w:eastAsia="宋体" w:cs="宋体"/>
          <w:color w:val="0000FF"/>
          <w:sz w:val="21"/>
          <w:szCs w:val="21"/>
          <w:lang w:val="en-US" w:eastAsia="zh-CN"/>
        </w:rPr>
        <w:t>提供</w:t>
      </w:r>
      <w:r>
        <w:rPr>
          <w:rFonts w:hint="eastAsia" w:ascii="宋体" w:hAnsi="宋体" w:eastAsia="宋体" w:cs="宋体"/>
          <w:color w:val="0000FF"/>
          <w:sz w:val="21"/>
          <w:szCs w:val="21"/>
          <w:lang w:eastAsia="zh-CN"/>
        </w:rPr>
        <w:t>详尽的项目实施方案，包括但不限于：</w:t>
      </w:r>
    </w:p>
    <w:p w14:paraId="1FA2245A">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4.1.1进度计划；</w:t>
      </w:r>
    </w:p>
    <w:p w14:paraId="5AC0F06A">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highlight w:val="none"/>
          <w:lang w:val="en-US" w:eastAsia="zh-CN"/>
        </w:rPr>
      </w:pPr>
      <w:r>
        <w:rPr>
          <w:rFonts w:hint="eastAsia" w:ascii="宋体" w:hAnsi="宋体" w:eastAsia="宋体" w:cs="宋体"/>
          <w:color w:val="0000FF"/>
          <w:sz w:val="21"/>
          <w:szCs w:val="21"/>
          <w:highlight w:val="none"/>
          <w:lang w:val="en-US" w:eastAsia="zh-CN"/>
        </w:rPr>
        <w:t>4.1.2风险管理；</w:t>
      </w:r>
    </w:p>
    <w:p w14:paraId="600942CF">
      <w:pPr>
        <w:pStyle w:val="4"/>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highlight w:val="none"/>
          <w:lang w:val="en-US" w:eastAsia="zh-CN"/>
        </w:rPr>
        <w:t>4.1.3履约服务中进行的验收管理等。</w:t>
      </w:r>
      <w:bookmarkStart w:id="0" w:name="_GoBack"/>
      <w:bookmarkEnd w:id="0"/>
    </w:p>
    <w:p w14:paraId="49004D82">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FF"/>
          <w:kern w:val="0"/>
          <w:sz w:val="21"/>
          <w:szCs w:val="21"/>
          <w:lang w:val="en-US" w:eastAsia="zh-CN" w:bidi="ar-SA"/>
        </w:rPr>
      </w:pPr>
      <w:r>
        <w:rPr>
          <w:rFonts w:hint="eastAsia" w:ascii="宋体" w:hAnsi="宋体" w:eastAsia="宋体" w:cs="宋体"/>
          <w:color w:val="0000FF"/>
          <w:kern w:val="0"/>
          <w:sz w:val="21"/>
          <w:szCs w:val="21"/>
          <w:lang w:val="en-US" w:eastAsia="zh-CN" w:bidi="ar-SA"/>
        </w:rPr>
        <w:t>4.2 服务承诺：针对本项目做出承诺，包括但不限于：</w:t>
      </w:r>
    </w:p>
    <w:p w14:paraId="1E11A41F">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val="en-US" w:eastAsia="zh-CN"/>
        </w:rPr>
      </w:pPr>
      <w:r>
        <w:rPr>
          <w:rFonts w:hint="eastAsia" w:ascii="宋体" w:hAnsi="宋体" w:eastAsia="宋体" w:cs="宋体"/>
          <w:color w:val="0000FF"/>
          <w:kern w:val="0"/>
          <w:sz w:val="21"/>
          <w:szCs w:val="21"/>
          <w:lang w:val="en-US" w:eastAsia="zh-CN" w:bidi="ar-SA"/>
        </w:rPr>
        <w:t>4.2.1履约承诺:承诺按照采购需求及合同约定，在规定时间内完成全部测试任务</w:t>
      </w:r>
      <w:r>
        <w:rPr>
          <w:rFonts w:hint="eastAsia" w:ascii="宋体" w:hAnsi="宋体" w:eastAsia="宋体" w:cs="宋体"/>
          <w:color w:val="0000FF"/>
          <w:sz w:val="21"/>
          <w:szCs w:val="21"/>
          <w:lang w:val="en-US" w:eastAsia="zh-CN"/>
        </w:rPr>
        <w:t>并交付《软件测试报告》和《源代码安全审计报告》，承诺内容需明确具体交付时间节点。</w:t>
      </w:r>
    </w:p>
    <w:p w14:paraId="1925D891">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val="en-US" w:eastAsia="zh-CN"/>
        </w:rPr>
      </w:pPr>
      <w:r>
        <w:rPr>
          <w:rFonts w:hint="eastAsia" w:ascii="宋体" w:hAnsi="宋体" w:eastAsia="宋体" w:cs="宋体"/>
          <w:color w:val="0000FF"/>
          <w:sz w:val="21"/>
          <w:szCs w:val="21"/>
          <w:lang w:val="en-US" w:eastAsia="zh-CN"/>
        </w:rPr>
        <w:t>4.2.2保密承诺:承诺对项目实施过程中接触到的所有信息严格保密，承诺与采购人签订保密协议，承诺全体项目人员签署个人保密承诺书，在任何情况下不向第三方泄露。</w:t>
      </w:r>
    </w:p>
    <w:p w14:paraId="2B5461A5">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color w:val="0000FF"/>
          <w:sz w:val="21"/>
          <w:szCs w:val="21"/>
          <w:lang w:eastAsia="zh-CN"/>
        </w:rPr>
      </w:pPr>
      <w:r>
        <w:rPr>
          <w:rFonts w:hint="eastAsia" w:ascii="宋体" w:hAnsi="宋体" w:eastAsia="宋体" w:cs="宋体"/>
          <w:color w:val="0000FF"/>
          <w:sz w:val="21"/>
          <w:szCs w:val="21"/>
          <w:lang w:val="en-US" w:eastAsia="zh-CN"/>
        </w:rPr>
        <w:t>4.2.3质量保证承诺:承诺出具的《软件测试报告》和《源代码安全审计报告》内容真实、准确、客观、公正,具有法律效力；若因测试报告质量问题导致项目验收延误或产生其他损失，供应商承担相应责任。</w:t>
      </w:r>
    </w:p>
    <w:p w14:paraId="0D265D3B">
      <w:pPr>
        <w:keepNext w:val="0"/>
        <w:keepLines w:val="0"/>
        <w:pageBreakBefore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sz w:val="21"/>
          <w:szCs w:val="21"/>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0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9901272"/>
    <w:rsid w:val="57AA235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qFormat/>
    <w:uiPriority w:val="0"/>
    <w:rPr>
      <w:rFonts w:hint="eastAsia" w:ascii="Calibri" w:hAnsi="Calibri" w:eastAsia="宋体" w:cs="宋体"/>
      <w:lang w:val="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1750</Words>
  <Characters>1805</Characters>
  <Lines>0</Lines>
  <Paragraphs>0</Paragraphs>
  <TotalTime>0</TotalTime>
  <ScaleCrop>false</ScaleCrop>
  <LinksUpToDate>false</LinksUpToDate>
  <CharactersWithSpaces>1809</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2026-08-06T03:45:00Z</dcterms:created>
  <dc:creator>LX</dc:creator>
  <cp:lastModifiedBy>哆啦A梦</cp:lastModifiedBy>
  <dcterms:modified xsi:type="dcterms:W3CDTF">2026-08-06T11:37:36Z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eyJoZGlkIjoiZjFhMjllM2U1MDBhZGU3NjVlNmFlNWU2YjFmZTUwZDQiLCJ1c2VySWQiOiIzMDU5ODIxMzEifQ==</vt:lpwstr>
  </property>
  <property fmtid="{D5CDD505-2E9C-101B-9397-08002B2CF9AE}" pid="4" name="ICV">
    <vt:lpwstr>F63F460CEAC1452C938F5AB14BE99398_12</vt:lpwstr>
  </property>
</Properties>
</file>