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版本号：YSY2026-CG-013.20260612002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镇巴县青古路青岗坪至草坝段改建工程勘察设计服务项目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YSY2026-CG-013.</w:t>
      </w:r>
      <w:r>
        <w:br/>
      </w:r>
      <w:r>
        <w:br/>
      </w:r>
      <w:r>
        <w:br/>
      </w:r>
    </w:p>
    <w:p>
      <w:pPr>
        <w:pStyle w:val="null3"/>
        <w:jc w:val="center"/>
        <w:outlineLvl w:val="2"/>
      </w:pPr>
      <w:r>
        <w:rPr>
          <w:rFonts w:ascii="仿宋_GB2312" w:hAnsi="仿宋_GB2312" w:cs="仿宋_GB2312" w:eastAsia="仿宋_GB2312"/>
          <w:sz w:val="28"/>
          <w:b/>
        </w:rPr>
        <w:t>镇巴县交通运输局</w:t>
      </w:r>
    </w:p>
    <w:p>
      <w:pPr>
        <w:pStyle w:val="null3"/>
        <w:jc w:val="center"/>
        <w:outlineLvl w:val="2"/>
      </w:pPr>
      <w:r>
        <w:rPr>
          <w:rFonts w:ascii="仿宋_GB2312" w:hAnsi="仿宋_GB2312" w:cs="仿宋_GB2312" w:eastAsia="仿宋_GB2312"/>
          <w:sz w:val="28"/>
          <w:b/>
        </w:rPr>
        <w:t>陕西亿胜元项目管理有限公司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陕西亿胜元项目管理有限公司</w:t>
      </w:r>
      <w:r>
        <w:rPr>
          <w:rFonts w:ascii="仿宋_GB2312" w:hAnsi="仿宋_GB2312" w:cs="仿宋_GB2312" w:eastAsia="仿宋_GB2312"/>
        </w:rPr>
        <w:t>（以下简称“代理机构”）受</w:t>
      </w:r>
      <w:r>
        <w:rPr>
          <w:rFonts w:ascii="仿宋_GB2312" w:hAnsi="仿宋_GB2312" w:cs="仿宋_GB2312" w:eastAsia="仿宋_GB2312"/>
        </w:rPr>
        <w:t>镇巴县交通运输局</w:t>
      </w:r>
      <w:r>
        <w:rPr>
          <w:rFonts w:ascii="仿宋_GB2312" w:hAnsi="仿宋_GB2312" w:cs="仿宋_GB2312" w:eastAsia="仿宋_GB2312"/>
        </w:rPr>
        <w:t>委托，拟对</w:t>
      </w:r>
      <w:r>
        <w:rPr>
          <w:rFonts w:ascii="仿宋_GB2312" w:hAnsi="仿宋_GB2312" w:cs="仿宋_GB2312" w:eastAsia="仿宋_GB2312"/>
        </w:rPr>
        <w:t>镇巴县青古路青岗坪至草坝段改建工程勘察设计服务项目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YSY2026-CG-013.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镇巴县青古路青岗坪至草坝段改建工程勘察设计服务项目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起点位于镇巴县泾洋街道办青岗坪村，与在建县城至长岭公路平面交叉，向西沿旧路经松树梁村、松树湾、木竹塘、马家湾、盘龙村，终点止于X212与何家营通村路交叉口，路线全长18.608公里。按照四级公路技术标准，设计速度20km/h，路基宽度6.5m（特殊困难路段4.5m，采用小交通量农村公路四级-II类技术标准，设计车速15公里/小时），路面为沥青混凝土面，并完善相关附属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采购包1（镇巴县青古路青岗坪至草坝段改建工程勘察设计服务项目）：属于专门面向中小企业采购。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1、有效的主体资格证明：供应商为具有独立承担民事责任能力的企业法人、事业法人、其他组织，提供营业执照（事业单位须事业单位法人证、组织机构代码证等证明文件；其他组织应提供合法证明文件）；</w:t>
      </w:r>
    </w:p>
    <w:p>
      <w:pPr>
        <w:pStyle w:val="null3"/>
      </w:pPr>
      <w:r>
        <w:rPr>
          <w:rFonts w:ascii="仿宋_GB2312" w:hAnsi="仿宋_GB2312" w:cs="仿宋_GB2312" w:eastAsia="仿宋_GB2312"/>
        </w:rPr>
        <w:t>2、法定代表人或委托代理人身份证明：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供应商须具备建设行政主管部门颁发的工程勘察综合类甲级或工程勘察专业类（工程测量、岩土工程（勘察））乙级及以上资质和工程设计综合资质甲级或公路行业（公路）专业设计乙级及以上资质，并在人员等方面具备相应的勘察设计能力。</w:t>
      </w:r>
    </w:p>
    <w:p>
      <w:pPr>
        <w:pStyle w:val="null3"/>
      </w:pPr>
      <w:r>
        <w:rPr>
          <w:rFonts w:ascii="仿宋_GB2312" w:hAnsi="仿宋_GB2312" w:cs="仿宋_GB2312" w:eastAsia="仿宋_GB2312"/>
        </w:rPr>
        <w:t>4、项目负责人：供应商拟派项目负责人具备公路工程相关专业的高级职称，且在本单位任职（提供相应证明材料）。</w:t>
      </w:r>
    </w:p>
    <w:p>
      <w:pPr>
        <w:pStyle w:val="null3"/>
      </w:pPr>
      <w:r>
        <w:rPr>
          <w:rFonts w:ascii="仿宋_GB2312" w:hAnsi="仿宋_GB2312" w:cs="仿宋_GB2312" w:eastAsia="仿宋_GB2312"/>
        </w:rPr>
        <w:t>5、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6、联合体：本项目不接受联合体投标。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镇巴县新街34号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镇巴县交通运输局经办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18292600782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陕西亿胜元项目管理有限公司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陕西省汉中市汉台区东一环与风景路交汇处中饮办公中心C区-8F</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0916-2102199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开户名称：陕西亿胜元项目管理有限公司</w:t>
            </w:r>
          </w:p>
          <w:p>
            <w:pPr>
              <w:pStyle w:val="null3"/>
            </w:pPr>
            <w:r>
              <w:rPr>
                <w:rFonts w:ascii="仿宋_GB2312" w:hAnsi="仿宋_GB2312" w:cs="仿宋_GB2312" w:eastAsia="仿宋_GB2312"/>
              </w:rPr>
              <w:t>开户银行：中国银行汉中莲湖路支行</w:t>
            </w:r>
          </w:p>
          <w:p>
            <w:pPr>
              <w:pStyle w:val="null3"/>
            </w:pPr>
            <w:r>
              <w:rPr>
                <w:rFonts w:ascii="仿宋_GB2312" w:hAnsi="仿宋_GB2312" w:cs="仿宋_GB2312" w:eastAsia="仿宋_GB2312"/>
              </w:rPr>
              <w:t>银行账号：102513126064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标代理服务收费管理暂行办法的通知》(计价格【2002】1980号)和国家发改委办公厅国发的《关于招标代理服务收费有关问题的通知》(发改办价格【2003】857号)文件规定的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镇巴县交通运输局</w:t>
      </w:r>
      <w:r>
        <w:rPr>
          <w:rFonts w:ascii="仿宋_GB2312" w:hAnsi="仿宋_GB2312" w:cs="仿宋_GB2312" w:eastAsia="仿宋_GB2312"/>
        </w:rPr>
        <w:t>和</w:t>
      </w:r>
      <w:r>
        <w:rPr>
          <w:rFonts w:ascii="仿宋_GB2312" w:hAnsi="仿宋_GB2312" w:cs="仿宋_GB2312" w:eastAsia="仿宋_GB2312"/>
        </w:rPr>
        <w:t>陕西亿胜元项目管理有限公司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陕西亿胜元项目管理有限公司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陕西亿胜元项目管理有限公司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根据具体工作内容的相关标准进行验收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联系人：鲁工</w:t>
      </w:r>
    </w:p>
    <w:p>
      <w:pPr>
        <w:pStyle w:val="null3"/>
      </w:pPr>
      <w:r>
        <w:rPr>
          <w:rFonts w:ascii="仿宋_GB2312" w:hAnsi="仿宋_GB2312" w:cs="仿宋_GB2312" w:eastAsia="仿宋_GB2312"/>
        </w:rPr>
        <w:t>联系电话：0916-2102199</w:t>
      </w:r>
    </w:p>
    <w:p>
      <w:pPr>
        <w:pStyle w:val="null3"/>
      </w:pPr>
      <w:r>
        <w:rPr>
          <w:rFonts w:ascii="仿宋_GB2312" w:hAnsi="仿宋_GB2312" w:cs="仿宋_GB2312" w:eastAsia="仿宋_GB2312"/>
        </w:rPr>
        <w:t>地址：汉中市汉台区东一环与风景路交汇处中饮办公中心C区-8F</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起点位于镇巴县泾洋街道办青岗坪村，与在建县城至长岭公路平面交叉，向西沿旧路经松树梁村、松树湾、木竹塘、马家湾、盘龙村，终点止于X212与何家营通村路交叉口，路线全长18.608公里。按照四级公路技术标准，设计速度20km/h，路基宽度6.5m（特殊困难路段4.5m）， 路面为沥青混凝土面，并完善相关附属设施。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镇巴县青古路青岗坪至草坝段改建工程勘察设计服务项目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标的名称：镇巴县青古路青岗坪至草坝段改建工程勘察设计服务项目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w:t>
            </w:r>
          </w:p>
          <w:p>
            <w:pPr>
              <w:pStyle w:val="null3"/>
              <w:ind w:firstLine="420"/>
              <w:jc w:val="both"/>
            </w:pPr>
            <w:r>
              <w:rPr>
                <w:rFonts w:ascii="仿宋_GB2312" w:hAnsi="仿宋_GB2312" w:cs="仿宋_GB2312" w:eastAsia="仿宋_GB2312"/>
                <w:sz w:val="21"/>
              </w:rPr>
              <w:t>该项目起点位于镇巴县泾洋街道办青岗坪村，与在建县城至长岭公路平面交叉，向西沿旧路经松树梁村、松树湾、木竹塘、马家湾、盘龙村，终点止于</w:t>
            </w:r>
            <w:r>
              <w:rPr>
                <w:rFonts w:ascii="仿宋_GB2312" w:hAnsi="仿宋_GB2312" w:cs="仿宋_GB2312" w:eastAsia="仿宋_GB2312"/>
                <w:sz w:val="21"/>
              </w:rPr>
              <w:t>X212</w:t>
            </w:r>
            <w:r>
              <w:rPr>
                <w:rFonts w:ascii="仿宋_GB2312" w:hAnsi="仿宋_GB2312" w:cs="仿宋_GB2312" w:eastAsia="仿宋_GB2312"/>
                <w:sz w:val="21"/>
              </w:rPr>
              <w:t>与何家营通村路交叉口，路线全长</w:t>
            </w:r>
            <w:r>
              <w:rPr>
                <w:rFonts w:ascii="仿宋_GB2312" w:hAnsi="仿宋_GB2312" w:cs="仿宋_GB2312" w:eastAsia="仿宋_GB2312"/>
                <w:sz w:val="21"/>
              </w:rPr>
              <w:t>18.608</w:t>
            </w:r>
            <w:r>
              <w:rPr>
                <w:rFonts w:ascii="仿宋_GB2312" w:hAnsi="仿宋_GB2312" w:cs="仿宋_GB2312" w:eastAsia="仿宋_GB2312"/>
                <w:sz w:val="21"/>
              </w:rPr>
              <w:t>公里。按照四级公路技术标准，设计速度</w:t>
            </w:r>
            <w:r>
              <w:rPr>
                <w:rFonts w:ascii="仿宋_GB2312" w:hAnsi="仿宋_GB2312" w:cs="仿宋_GB2312" w:eastAsia="仿宋_GB2312"/>
                <w:sz w:val="21"/>
              </w:rPr>
              <w:t>20km/h</w:t>
            </w:r>
            <w:r>
              <w:rPr>
                <w:rFonts w:ascii="仿宋_GB2312" w:hAnsi="仿宋_GB2312" w:cs="仿宋_GB2312" w:eastAsia="仿宋_GB2312"/>
                <w:sz w:val="21"/>
              </w:rPr>
              <w:t>，路基宽度</w:t>
            </w:r>
            <w:r>
              <w:rPr>
                <w:rFonts w:ascii="仿宋_GB2312" w:hAnsi="仿宋_GB2312" w:cs="仿宋_GB2312" w:eastAsia="仿宋_GB2312"/>
                <w:sz w:val="21"/>
              </w:rPr>
              <w:t>6.5m</w:t>
            </w:r>
            <w:r>
              <w:rPr>
                <w:rFonts w:ascii="仿宋_GB2312" w:hAnsi="仿宋_GB2312" w:cs="仿宋_GB2312" w:eastAsia="仿宋_GB2312"/>
                <w:sz w:val="21"/>
              </w:rPr>
              <w:t>（特殊困难路段</w:t>
            </w:r>
            <w:r>
              <w:rPr>
                <w:rFonts w:ascii="仿宋_GB2312" w:hAnsi="仿宋_GB2312" w:cs="仿宋_GB2312" w:eastAsia="仿宋_GB2312"/>
                <w:sz w:val="21"/>
              </w:rPr>
              <w:t>4.5m</w:t>
            </w:r>
            <w:r>
              <w:rPr>
                <w:rFonts w:ascii="仿宋_GB2312" w:hAnsi="仿宋_GB2312" w:cs="仿宋_GB2312" w:eastAsia="仿宋_GB2312"/>
                <w:sz w:val="21"/>
              </w:rPr>
              <w:t>，采用小交通量农村公路四级</w:t>
            </w:r>
            <w:r>
              <w:rPr>
                <w:rFonts w:ascii="仿宋_GB2312" w:hAnsi="仿宋_GB2312" w:cs="仿宋_GB2312" w:eastAsia="仿宋_GB2312"/>
                <w:sz w:val="21"/>
              </w:rPr>
              <w:t>-</w:t>
            </w:r>
            <w:r>
              <w:rPr>
                <w:rFonts w:ascii="仿宋_GB2312" w:hAnsi="仿宋_GB2312" w:cs="仿宋_GB2312" w:eastAsia="仿宋_GB2312"/>
                <w:sz w:val="21"/>
              </w:rPr>
              <w:t>II</w:t>
            </w:r>
            <w:r>
              <w:rPr>
                <w:rFonts w:ascii="仿宋_GB2312" w:hAnsi="仿宋_GB2312" w:cs="仿宋_GB2312" w:eastAsia="仿宋_GB2312"/>
                <w:sz w:val="21"/>
              </w:rPr>
              <w:t>类技术标准，设计车速</w:t>
            </w:r>
            <w:r>
              <w:rPr>
                <w:rFonts w:ascii="仿宋_GB2312" w:hAnsi="仿宋_GB2312" w:cs="仿宋_GB2312" w:eastAsia="仿宋_GB2312"/>
                <w:sz w:val="21"/>
              </w:rPr>
              <w:t>15</w:t>
            </w:r>
            <w:r>
              <w:rPr>
                <w:rFonts w:ascii="仿宋_GB2312" w:hAnsi="仿宋_GB2312" w:cs="仿宋_GB2312" w:eastAsia="仿宋_GB2312"/>
                <w:sz w:val="21"/>
              </w:rPr>
              <w:t>公里</w:t>
            </w:r>
            <w:r>
              <w:rPr>
                <w:rFonts w:ascii="仿宋_GB2312" w:hAnsi="仿宋_GB2312" w:cs="仿宋_GB2312" w:eastAsia="仿宋_GB2312"/>
                <w:sz w:val="21"/>
              </w:rPr>
              <w:t>/</w:t>
            </w:r>
            <w:r>
              <w:rPr>
                <w:rFonts w:ascii="仿宋_GB2312" w:hAnsi="仿宋_GB2312" w:cs="仿宋_GB2312" w:eastAsia="仿宋_GB2312"/>
                <w:sz w:val="21"/>
              </w:rPr>
              <w:t>小时），路面为沥青混凝土面，并完善相关附属设施。</w:t>
            </w:r>
          </w:p>
          <w:p>
            <w:pPr>
              <w:pStyle w:val="null3"/>
              <w:jc w:val="both"/>
            </w:pPr>
            <w:r>
              <w:rPr>
                <w:rFonts w:ascii="仿宋_GB2312" w:hAnsi="仿宋_GB2312" w:cs="仿宋_GB2312" w:eastAsia="仿宋_GB2312"/>
                <w:sz w:val="21"/>
              </w:rPr>
              <w:t>二、服务内容</w:t>
            </w:r>
            <w:r>
              <w:br/>
            </w:r>
            <w:r>
              <w:rPr>
                <w:rFonts w:ascii="仿宋_GB2312" w:hAnsi="仿宋_GB2312" w:cs="仿宋_GB2312" w:eastAsia="仿宋_GB2312"/>
                <w:sz w:val="21"/>
              </w:rPr>
              <w:t>勘察设计范围及内容：工程范围内的路线、路基、路面、桥涵、交通工程等勘察设计。</w:t>
            </w:r>
            <w:r>
              <w:br/>
            </w:r>
            <w:r>
              <w:rPr>
                <w:rFonts w:ascii="仿宋_GB2312" w:hAnsi="仿宋_GB2312" w:cs="仿宋_GB2312" w:eastAsia="仿宋_GB2312"/>
                <w:sz w:val="21"/>
              </w:rPr>
              <w:t>勘察设计阶段：工程勘察、施工图设计、预算文件编制及后续服务工作（施工现场配合服务工作、配合招标人进行施工图设计文件评审工作等）</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三、成果要求</w:t>
            </w:r>
            <w:r>
              <w:br/>
            </w:r>
            <w:r>
              <w:rPr>
                <w:rFonts w:ascii="仿宋_GB2312" w:hAnsi="仿宋_GB2312" w:cs="仿宋_GB2312" w:eastAsia="仿宋_GB2312"/>
                <w:sz w:val="21"/>
              </w:rPr>
              <w:t xml:space="preserve"> 1、须提交成果文件：勘察设计各阶段对应的成果文件；</w:t>
            </w:r>
            <w:r>
              <w:br/>
            </w:r>
            <w:r>
              <w:rPr>
                <w:rFonts w:ascii="仿宋_GB2312" w:hAnsi="仿宋_GB2312" w:cs="仿宋_GB2312" w:eastAsia="仿宋_GB2312"/>
                <w:sz w:val="21"/>
              </w:rPr>
              <w:t xml:space="preserve"> 2、成果文件提交数量：5套（含电子版）；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提供针对本项目的详细人员配备情况。要求拟派项目成员相关专业人员搭配合理、职能健全，岗位分工明确、职责清晰，包括人员配备情况及水平、人员安排、专业配置、从业经历、参与工作经验等方面，均应满足本项目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提供具有履行本合同所必需的设备。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1、供应商提供的服务，必须是符合国家有关标准要求，并满足磋商文件规定的价格、完成期限、售后服务及供应商须承担的技术支持和招标文件规定的其它伴随服务等要求。 2、采购人有权拒绝接受任何不合格的服务，由此产生的费用及相关后果均由供应商自行承担。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进度款，施工图审查结束后一次性付清，达到付款条件起30个工作日内，支付合同总金额的100.0%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此合同如有与政策相违背，立即终止此合同。本合同未尽事宜由双方协商解决，协商不成时，任何一方均可向甲方当地人民法院提起诉讼。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工程勘察综合类甲级或工程勘察专业类（工程测量、岩土工程（勘察））乙级及以上资质和工程设计综合资质甲级或公路行业（公路）专业设计乙级及以上资质，并在人员等方面具备相应的勘察设计能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供应商拟派项目负责人具备公路工程相关专业的高级职称，且在本单位任职（提供相应证明材料）。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按磋商文件格式要求加盖了供应商公章和有法定代表人（或单位负责人）或其授权代表签字或加盖人名章。</w:t>
            </w:r>
          </w:p>
        </w:tc>
        <w:tc>
          <w:tcPr>
            <w:tcW w:type="dxa" w:w="1661"/>
          </w:tcPr>
          <w:p>
            <w:pPr>
              <w:pStyle w:val="null3"/>
            </w:pPr>
            <w:r>
              <w:rPr>
                <w:rFonts w:ascii="仿宋_GB2312" w:hAnsi="仿宋_GB2312" w:cs="仿宋_GB2312" w:eastAsia="仿宋_GB2312"/>
              </w:rPr>
              <w:t>业绩一览表.docx 中小企业声明函 商务应答表 服务内容及服务要求应答表 报价表 供应商认为需要提供的其他内容.docx 响应文件封面 供应商应提交的相关资格证明材料.docx 残疾人福利性单位声明函 标的清单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勘察设计理念、思路及实施方案</w:t>
            </w:r>
          </w:p>
        </w:tc>
        <w:tc>
          <w:tcPr>
            <w:tcW w:type="dxa" w:w="2492"/>
          </w:tcPr>
          <w:p>
            <w:pPr>
              <w:pStyle w:val="null3"/>
            </w:pPr>
            <w:r>
              <w:rPr>
                <w:rFonts w:ascii="仿宋_GB2312" w:hAnsi="仿宋_GB2312" w:cs="仿宋_GB2312" w:eastAsia="仿宋_GB2312"/>
              </w:rPr>
              <w:t>供应商提供针对本项目需求，提供详细、清晰、科学、合理的服务方案，包含但不限于：①勘察设计范围及内容②勘察设计依据③勘察设计工作目标④勘察设计方案⑤野外调查应急预案⑥实施保障措施。 以上内容无缺项，专门针对本项目编制，符合本项目实际情况，内容全面详细，且条理清晰、准确、合理，能够保障项目顺利实施的每小项得4分。每小项缺项或者内容非针对于本项目的扣4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供应商针对项目特点和执行要求制定具体的管理方案，包含但不限于：①项目组织的工作团队；②内部监督检查制度；③质量及安全把关制度；④纪律约束制度等；⑤投入人员安全生产管理制度。 以上内容无缺项，专门针对本项目编制，符合本项目实际情况，内容全面详细，且条理清晰、准确、合理，能够保障项目顺利实施的每小项得4分。每小项缺项或者内容非针对于本项目的扣4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供应商针对本项目提供的质量保证措施：包含但不限于①质量管理制度；②质量保证措施。 以上内容无缺项，专门针对本项目编制，符合本项目实际情况，内容全面详细，且条理清晰、准确、合理，能够保障项目顺利实施的每小项得4分。每小项缺项或者内容非针对于本项目的扣4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供应商针对本项目提供的进度计划保障措施：包含但不限于①总体进度计划保证措施；②重要时间节点保证措施。 以上内容无缺项，专门针对本项目编制，符合本项目实际情况，内容全面详细，且条理清晰、准确、合理，能够保障项目顺利实施的每小项得4分。每小项缺项或者内容非针对于本项目的扣4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重、难点分析方案</w:t>
            </w:r>
          </w:p>
        </w:tc>
        <w:tc>
          <w:tcPr>
            <w:tcW w:type="dxa" w:w="2492"/>
          </w:tcPr>
          <w:p>
            <w:pPr>
              <w:pStyle w:val="null3"/>
            </w:pPr>
            <w:r>
              <w:rPr>
                <w:rFonts w:ascii="仿宋_GB2312" w:hAnsi="仿宋_GB2312" w:cs="仿宋_GB2312" w:eastAsia="仿宋_GB2312"/>
              </w:rPr>
              <w:t>供应商针对本项目重、难点分析方案：包含但不限于①重难点分析；②重难点解决对策。 以上内容无缺项，专门针对本项目编制，符合本项目实际情况，内容全面详细，且条理清晰、准确、合理，能够保障项目顺利实施的每小项得3分。每小项缺项或者内容非针对于本项目的扣3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服务承诺、合理化建议</w:t>
            </w:r>
          </w:p>
        </w:tc>
        <w:tc>
          <w:tcPr>
            <w:tcW w:type="dxa" w:w="2492"/>
          </w:tcPr>
          <w:p>
            <w:pPr>
              <w:pStyle w:val="null3"/>
            </w:pPr>
            <w:r>
              <w:rPr>
                <w:rFonts w:ascii="仿宋_GB2312" w:hAnsi="仿宋_GB2312" w:cs="仿宋_GB2312" w:eastAsia="仿宋_GB2312"/>
              </w:rPr>
              <w:t>供应商针对本项目有具体的服务承诺、合理化建议及意见：包含但不限于①服务承诺；②合理化建议及意见。 以上内容无缺项，专门针对本项目编制，符合本项目实际情况，内容全面详细，且条理清晰、准确、合理，能够保障项目顺利实施的每小项得2分。每小项缺项或者内容非针对于本项目的扣2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应为本项目配备专业齐全、结构合理的勘察设计团队，人员分工明确、岗位职责清晰。岗位配置应包含但不限于：项目技术负责人及勘察、路线、路基路面、交通安全设施、桥涵、造价、后续服务等专业负责人。1、人员架构科学合理，岗位配置完整无缺，所有专业均配备专人负责，分工清晰、职责明确；人员安排方案具体、针对性强，完全满足并优于本项目需求；得10 分。2、人员架构合理，岗位配置齐全，无关键岗位缺失，人员分工清晰，人员安排方案合理，能够满足本项目全部需求；得 7 分。3、人员架构、分工基本合理，仅存在个别非关键岗位人员兼职或配置不足，人员安排方案基本合理，基本满足本项目需求；得5 分。4、人员架构简单，关键岗位存在缺失，人员分工混乱，无法满足本项目基本岗位需求；得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供应商针对本项目后续服务方案：包含但不限于①后续服务内容与范围；②后续技术支持方案。 以上内容无缺项，专门针对本项目编制，符合本项目实际情况，内容全面详细，且条理清晰、准确、合理，能够保障项目顺利实施的每小项得2.5分。每小项缺项或者内容非针对于本项目的扣2.5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供应商具有2023年1月1日以来(以合同签订时间为准)类似勘察设计业绩，每提供一份合同得1分，最高得5分。 评审材料:提供完整合同复印件并加盖供应商公章，未提供或提供不完整的不得分。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详见附件：供应商认为需要提供的其他内容.docx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详见附件：建设工程设计合同示范文本　GF—2015—0210.docx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