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B8558">
      <w:pPr>
        <w:pStyle w:val="4"/>
        <w:jc w:val="both"/>
        <w:rPr>
          <w:color w:val="auto"/>
          <w:highlight w:val="none"/>
        </w:rPr>
      </w:pPr>
      <w:r>
        <w:rPr>
          <w:rFonts w:ascii="仿宋_GB2312" w:hAnsi="仿宋_GB2312" w:eastAsia="仿宋_GB2312" w:cs="仿宋_GB2312"/>
          <w:b/>
          <w:color w:val="auto"/>
          <w:sz w:val="21"/>
          <w:highlight w:val="none"/>
        </w:rPr>
        <w:t>一、采购需求及要求</w:t>
      </w:r>
    </w:p>
    <w:p w14:paraId="053CFD6F">
      <w:pPr>
        <w:pStyle w:val="4"/>
        <w:ind w:firstLine="420"/>
        <w:jc w:val="both"/>
        <w:rPr>
          <w:color w:val="auto"/>
          <w:highlight w:val="none"/>
        </w:rPr>
      </w:pPr>
      <w:r>
        <w:rPr>
          <w:rFonts w:ascii="仿宋_GB2312" w:hAnsi="仿宋_GB2312" w:eastAsia="仿宋_GB2312" w:cs="仿宋_GB2312"/>
          <w:color w:val="auto"/>
          <w:sz w:val="21"/>
          <w:highlight w:val="none"/>
        </w:rPr>
        <w:t>1.1需求清单一览表中的标★条款中技术要求须提供相应证明材料，或技术参数中具体要求证明材料，证明材料包含</w:t>
      </w:r>
      <w:r>
        <w:rPr>
          <w:rFonts w:ascii="仿宋_GB2312" w:hAnsi="仿宋_GB2312" w:eastAsia="仿宋_GB2312" w:cs="仿宋_GB2312"/>
          <w:b/>
          <w:color w:val="auto"/>
          <w:sz w:val="21"/>
          <w:highlight w:val="none"/>
        </w:rPr>
        <w:t>但不限于</w:t>
      </w:r>
      <w:r>
        <w:rPr>
          <w:rFonts w:ascii="仿宋_GB2312" w:hAnsi="仿宋_GB2312" w:eastAsia="仿宋_GB2312" w:cs="仿宋_GB2312"/>
          <w:color w:val="auto"/>
          <w:sz w:val="21"/>
          <w:highlight w:val="none"/>
        </w:rPr>
        <w:t>：制造商官方网站截图或产品彩页或产品白皮书或第三方机构检验报告、测试报告等，证明材料中的型号与所投产品型号一致，</w:t>
      </w:r>
      <w:r>
        <w:rPr>
          <w:rFonts w:ascii="仿宋_GB2312" w:hAnsi="仿宋_GB2312" w:eastAsia="仿宋_GB2312" w:cs="仿宋_GB2312"/>
          <w:color w:val="auto"/>
          <w:sz w:val="21"/>
          <w:highlight w:val="none"/>
        </w:rPr>
        <w:t>若提供第三方机构检验报告或测试报告的，须体现送检样品照片或截图，</w:t>
      </w:r>
      <w:r>
        <w:rPr>
          <w:rFonts w:ascii="仿宋_GB2312" w:hAnsi="仿宋_GB2312" w:eastAsia="仿宋_GB2312" w:cs="仿宋_GB2312"/>
          <w:color w:val="auto"/>
          <w:sz w:val="21"/>
          <w:highlight w:val="none"/>
        </w:rPr>
        <w:t>未提供证明材料或证明材料无法支撑的，或响应内容无法满足采购需求存在负偏离的，均按无效响应处理。</w:t>
      </w:r>
    </w:p>
    <w:p w14:paraId="0FACAFA0">
      <w:pPr>
        <w:pStyle w:val="4"/>
        <w:ind w:firstLine="420"/>
        <w:jc w:val="both"/>
        <w:rPr>
          <w:color w:val="auto"/>
          <w:highlight w:val="none"/>
        </w:rPr>
      </w:pPr>
      <w:r>
        <w:rPr>
          <w:rFonts w:ascii="仿宋_GB2312" w:hAnsi="仿宋_GB2312" w:eastAsia="仿宋_GB2312" w:cs="仿宋_GB2312"/>
          <w:color w:val="auto"/>
          <w:sz w:val="21"/>
          <w:highlight w:val="none"/>
        </w:rPr>
        <w:t>1.2.所附材料应清晰可辨，供应商自行承担资料模糊不清、无法辨认的不利后果。</w:t>
      </w:r>
    </w:p>
    <w:p w14:paraId="7C831D47">
      <w:pPr>
        <w:pStyle w:val="4"/>
        <w:ind w:firstLine="420"/>
        <w:jc w:val="both"/>
        <w:rPr>
          <w:color w:val="auto"/>
          <w:highlight w:val="none"/>
        </w:rPr>
      </w:pPr>
      <w:r>
        <w:rPr>
          <w:rFonts w:ascii="仿宋_GB2312" w:hAnsi="仿宋_GB2312" w:eastAsia="仿宋_GB2312" w:cs="仿宋_GB2312"/>
          <w:color w:val="auto"/>
          <w:sz w:val="21"/>
          <w:highlight w:val="none"/>
        </w:rPr>
        <w:t>1.3以下参数中“支持...；具备...；配备...”等描述，为已具备的功能要求，且后期使用费用包含在响应报价中。</w:t>
      </w:r>
    </w:p>
    <w:p w14:paraId="47FB154A">
      <w:pPr>
        <w:pStyle w:val="4"/>
        <w:ind w:firstLine="420"/>
        <w:jc w:val="both"/>
        <w:rPr>
          <w:color w:val="auto"/>
          <w:highlight w:val="none"/>
        </w:rPr>
      </w:pPr>
      <w:r>
        <w:rPr>
          <w:rFonts w:ascii="仿宋_GB2312" w:hAnsi="仿宋_GB2312" w:eastAsia="仿宋_GB2312" w:cs="仿宋_GB2312"/>
          <w:color w:val="auto"/>
          <w:sz w:val="21"/>
          <w:highlight w:val="none"/>
        </w:rPr>
        <w:t>1.4响应时所提供的第三方资料内容真实、完整、准确；如有相关第三方书面声明、相关检测报告等资料虚假，监管部门有权根据调查情形认定其是否属于提供虚假材料谋取中标（成交），并严肃处理。</w:t>
      </w:r>
    </w:p>
    <w:p w14:paraId="6C16F0C5">
      <w:pPr>
        <w:pStyle w:val="4"/>
        <w:ind w:firstLine="422"/>
        <w:jc w:val="both"/>
        <w:rPr>
          <w:color w:val="auto"/>
          <w:highlight w:val="none"/>
        </w:rPr>
      </w:pPr>
      <w:r>
        <w:rPr>
          <w:rFonts w:ascii="仿宋_GB2312" w:hAnsi="仿宋_GB2312" w:eastAsia="仿宋_GB2312" w:cs="仿宋_GB2312"/>
          <w:color w:val="auto"/>
          <w:sz w:val="21"/>
          <w:highlight w:val="none"/>
        </w:rPr>
        <w:t>1.5产品“三包”要求：货物（产品）属于国家规定的“三包产品”，产品制造商、经销代理商应遵守“三包”的规定，在产品发生质量问题时，及时对所提供产品实行“包退、包换、保修”服务。</w:t>
      </w:r>
    </w:p>
    <w:p w14:paraId="0BF1FED1">
      <w:pPr>
        <w:pStyle w:val="4"/>
        <w:ind w:firstLine="422"/>
        <w:jc w:val="both"/>
        <w:rPr>
          <w:color w:val="auto"/>
          <w:highlight w:val="none"/>
        </w:rPr>
      </w:pPr>
      <w:r>
        <w:rPr>
          <w:rFonts w:ascii="仿宋_GB2312" w:hAnsi="仿宋_GB2312" w:eastAsia="仿宋_GB2312" w:cs="仿宋_GB2312"/>
          <w:color w:val="auto"/>
          <w:sz w:val="21"/>
          <w:highlight w:val="none"/>
        </w:rPr>
        <w:t>1.6安全要求：认真贯彻执行国家及省、市有关安全文明生产的法律法规规章和强制性标准、安全操作规程等，所有设备（产品）应符合国家相关安全标准，所有货物（产品）能够承受频繁使用和可能的不当操作，结构稳定，不易倾倒或损坏；货物（产品）无锐利边角、无毒无害、不易造成意外伤害，部分尺寸可调节的产品应与实际使用场地相匹配；建立健全安装现场安全文明生产保证体系，落实各项具体措施，切实履行安全文明生产责任和义务，保护教职工和学生的身体健康和生命安全，以及社会公众安全，保持安装现场整齐有序。</w:t>
      </w:r>
    </w:p>
    <w:p w14:paraId="57EC7874">
      <w:pPr>
        <w:pStyle w:val="4"/>
        <w:ind w:firstLine="422"/>
        <w:jc w:val="both"/>
        <w:rPr>
          <w:color w:val="auto"/>
          <w:highlight w:val="none"/>
        </w:rPr>
      </w:pPr>
      <w:r>
        <w:rPr>
          <w:rFonts w:ascii="仿宋_GB2312" w:hAnsi="仿宋_GB2312" w:eastAsia="仿宋_GB2312" w:cs="仿宋_GB2312"/>
          <w:color w:val="auto"/>
          <w:sz w:val="21"/>
          <w:highlight w:val="none"/>
        </w:rPr>
        <w:t>1.7质量标准及要求：（1）所有货物（产品）、服务符合国家、省、市（行业）强制性标准及采购人要求的合格标准；</w:t>
      </w:r>
    </w:p>
    <w:p w14:paraId="5BCB0998">
      <w:pPr>
        <w:pStyle w:val="4"/>
        <w:ind w:firstLine="422"/>
        <w:jc w:val="both"/>
        <w:rPr>
          <w:color w:val="auto"/>
          <w:highlight w:val="none"/>
        </w:rPr>
      </w:pPr>
      <w:r>
        <w:rPr>
          <w:rFonts w:ascii="仿宋_GB2312" w:hAnsi="仿宋_GB2312" w:eastAsia="仿宋_GB2312" w:cs="仿宋_GB2312"/>
          <w:color w:val="auto"/>
          <w:sz w:val="21"/>
          <w:highlight w:val="none"/>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2CABDB7">
      <w:pPr>
        <w:pStyle w:val="4"/>
        <w:ind w:firstLine="422"/>
        <w:jc w:val="both"/>
        <w:rPr>
          <w:color w:val="auto"/>
          <w:highlight w:val="none"/>
        </w:rPr>
      </w:pPr>
      <w:r>
        <w:rPr>
          <w:rFonts w:ascii="仿宋_GB2312" w:hAnsi="仿宋_GB2312" w:eastAsia="仿宋_GB2312" w:cs="仿宋_GB2312"/>
          <w:color w:val="auto"/>
          <w:sz w:val="21"/>
          <w:highlight w:val="none"/>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4B5037A6">
      <w:pPr>
        <w:pStyle w:val="4"/>
        <w:ind w:firstLine="420"/>
        <w:jc w:val="both"/>
        <w:rPr>
          <w:color w:val="auto"/>
          <w:highlight w:val="none"/>
        </w:rPr>
      </w:pPr>
      <w:r>
        <w:rPr>
          <w:rFonts w:ascii="仿宋_GB2312" w:hAnsi="仿宋_GB2312" w:eastAsia="仿宋_GB2312" w:cs="仿宋_GB2312"/>
          <w:color w:val="auto"/>
          <w:sz w:val="21"/>
          <w:highlight w:val="none"/>
        </w:rPr>
        <w:t>1.8售后服务要求：</w:t>
      </w:r>
    </w:p>
    <w:p w14:paraId="7E9B4A5E">
      <w:pPr>
        <w:pStyle w:val="4"/>
        <w:ind w:firstLine="420"/>
        <w:jc w:val="both"/>
        <w:rPr>
          <w:color w:val="auto"/>
          <w:highlight w:val="none"/>
        </w:rPr>
      </w:pPr>
      <w:r>
        <w:rPr>
          <w:rFonts w:ascii="仿宋_GB2312" w:hAnsi="仿宋_GB2312" w:eastAsia="仿宋_GB2312" w:cs="仿宋_GB2312"/>
          <w:color w:val="auto"/>
          <w:sz w:val="21"/>
          <w:highlight w:val="none"/>
        </w:rPr>
        <w:t>（1）成交供应商指派专人负责与采购人联系售后服务事宜</w:t>
      </w:r>
    </w:p>
    <w:p w14:paraId="5B547E87">
      <w:pPr>
        <w:pStyle w:val="4"/>
        <w:ind w:firstLine="420"/>
        <w:jc w:val="both"/>
        <w:rPr>
          <w:color w:val="auto"/>
          <w:highlight w:val="none"/>
        </w:rPr>
      </w:pPr>
      <w:r>
        <w:rPr>
          <w:rFonts w:ascii="仿宋_GB2312" w:hAnsi="仿宋_GB2312" w:eastAsia="仿宋_GB2312" w:cs="仿宋_GB2312"/>
          <w:color w:val="auto"/>
          <w:sz w:val="21"/>
          <w:highlight w:val="none"/>
        </w:rPr>
        <w:t>（2）货物故障报修的响应时间为：7x24小时免费上门服务；</w:t>
      </w:r>
    </w:p>
    <w:p w14:paraId="06232537">
      <w:pPr>
        <w:pStyle w:val="4"/>
        <w:ind w:firstLine="420"/>
        <w:jc w:val="both"/>
        <w:rPr>
          <w:color w:val="auto"/>
          <w:highlight w:val="none"/>
        </w:rPr>
      </w:pPr>
      <w:r>
        <w:rPr>
          <w:rFonts w:ascii="仿宋_GB2312" w:hAnsi="仿宋_GB2312" w:eastAsia="仿宋_GB2312" w:cs="仿宋_GB2312"/>
          <w:color w:val="auto"/>
          <w:sz w:val="21"/>
          <w:highlight w:val="none"/>
        </w:rPr>
        <w:t>（3）采购人原有的设备如发生故障，由成交供应商根据商务技术文件备选产品配件报价表中所报备选产品配件的价格进行维修处理，此费用由采购人承担。</w:t>
      </w:r>
    </w:p>
    <w:p w14:paraId="10722037">
      <w:pPr>
        <w:pStyle w:val="4"/>
        <w:ind w:firstLine="420"/>
        <w:jc w:val="both"/>
        <w:rPr>
          <w:color w:val="auto"/>
          <w:highlight w:val="none"/>
        </w:rPr>
      </w:pPr>
      <w:r>
        <w:rPr>
          <w:rFonts w:ascii="仿宋_GB2312" w:hAnsi="仿宋_GB2312" w:eastAsia="仿宋_GB2312" w:cs="仿宋_GB2312"/>
          <w:color w:val="auto"/>
          <w:sz w:val="21"/>
          <w:highlight w:val="none"/>
        </w:rPr>
        <w:t>（4）成交供应商负责对其所提供的设备、材料等备品配件供应，提供质保期外维修，并提供技术咨询等服务，所有维修记录交由采购人的现场技术人员一份，并详细说明问题所在、解决办法及注意事项；</w:t>
      </w:r>
    </w:p>
    <w:p w14:paraId="5DB59473">
      <w:pPr>
        <w:pStyle w:val="4"/>
        <w:ind w:firstLine="420"/>
        <w:jc w:val="both"/>
        <w:rPr>
          <w:color w:val="auto"/>
          <w:highlight w:val="none"/>
        </w:rPr>
      </w:pPr>
      <w:r>
        <w:rPr>
          <w:rFonts w:ascii="仿宋_GB2312" w:hAnsi="仿宋_GB2312" w:eastAsia="仿宋_GB2312" w:cs="仿宋_GB2312"/>
          <w:color w:val="auto"/>
          <w:sz w:val="21"/>
          <w:highlight w:val="none"/>
        </w:rPr>
        <w:t>（5）</w:t>
      </w:r>
      <w:r>
        <w:rPr>
          <w:rFonts w:ascii="仿宋_GB2312" w:hAnsi="仿宋_GB2312" w:eastAsia="仿宋_GB2312" w:cs="仿宋_GB2312"/>
          <w:color w:val="auto"/>
          <w:sz w:val="21"/>
          <w:highlight w:val="none"/>
          <w:u w:val="single"/>
        </w:rPr>
        <w:t>质保期内，</w:t>
      </w:r>
      <w:r>
        <w:rPr>
          <w:rFonts w:ascii="仿宋_GB2312" w:hAnsi="仿宋_GB2312" w:eastAsia="仿宋_GB2312" w:cs="仿宋_GB2312"/>
          <w:color w:val="auto"/>
          <w:sz w:val="21"/>
          <w:highlight w:val="none"/>
        </w:rPr>
        <w:t>所有货物服务方式均为成交供应商上门服务，即由成交供应商派人到货物使用现场维修，由此产生的一切费用均由成交供应商承担，对系统进行定期的检修、保养工作，并与用户进行沟通，定期开展技术交流活动，预防故障发生，保证系统的正常运行；</w:t>
      </w:r>
    </w:p>
    <w:p w14:paraId="4E24F2C7">
      <w:pPr>
        <w:pStyle w:val="4"/>
        <w:ind w:firstLine="420"/>
        <w:jc w:val="both"/>
        <w:rPr>
          <w:color w:val="auto"/>
          <w:highlight w:val="none"/>
        </w:rPr>
      </w:pPr>
      <w:r>
        <w:rPr>
          <w:rFonts w:ascii="仿宋_GB2312" w:hAnsi="仿宋_GB2312" w:eastAsia="仿宋_GB2312" w:cs="仿宋_GB2312"/>
          <w:color w:val="auto"/>
          <w:sz w:val="21"/>
          <w:highlight w:val="none"/>
        </w:rPr>
        <w:t>（6）质保期结束后的维修、维护等由双方协商再定。</w:t>
      </w:r>
    </w:p>
    <w:p w14:paraId="1C57FCA2">
      <w:pPr>
        <w:pStyle w:val="4"/>
        <w:jc w:val="both"/>
        <w:rPr>
          <w:color w:val="auto"/>
          <w:highlight w:val="none"/>
        </w:rPr>
      </w:pPr>
      <w:r>
        <w:rPr>
          <w:rFonts w:ascii="仿宋_GB2312" w:hAnsi="仿宋_GB2312" w:eastAsia="仿宋_GB2312" w:cs="仿宋_GB2312"/>
          <w:b/>
          <w:color w:val="auto"/>
          <w:sz w:val="21"/>
          <w:highlight w:val="none"/>
        </w:rPr>
        <w:t>二、其他要求或说明</w:t>
      </w:r>
    </w:p>
    <w:p w14:paraId="5ADB4ED2">
      <w:pPr>
        <w:pStyle w:val="4"/>
        <w:ind w:right="90" w:firstLine="422"/>
        <w:jc w:val="both"/>
        <w:rPr>
          <w:color w:val="auto"/>
          <w:highlight w:val="none"/>
        </w:rPr>
      </w:pPr>
      <w:r>
        <w:rPr>
          <w:rFonts w:ascii="仿宋_GB2312" w:hAnsi="仿宋_GB2312" w:eastAsia="仿宋_GB2312" w:cs="仿宋_GB2312"/>
          <w:color w:val="auto"/>
          <w:sz w:val="21"/>
          <w:highlight w:val="none"/>
        </w:rPr>
        <w:t>2.1人员配置要求：供应商根据采购项目特性及要求，自行组织实施与管理，建立以负责人为核心的人员团队，相关人员经过严格培训，有相关工作经验，能够胜任项目工作，保证项目顺利实施。</w:t>
      </w:r>
    </w:p>
    <w:p w14:paraId="53BE45A9">
      <w:pPr>
        <w:pStyle w:val="4"/>
        <w:ind w:right="90" w:firstLine="422"/>
        <w:jc w:val="both"/>
        <w:rPr>
          <w:color w:val="auto"/>
          <w:highlight w:val="none"/>
        </w:rPr>
      </w:pPr>
      <w:r>
        <w:rPr>
          <w:rFonts w:ascii="仿宋_GB2312" w:hAnsi="仿宋_GB2312" w:eastAsia="仿宋_GB2312" w:cs="仿宋_GB2312"/>
          <w:color w:val="auto"/>
          <w:sz w:val="21"/>
          <w:highlight w:val="none"/>
        </w:rPr>
        <w:t>2.2设施设备要求：供应商根据采购项目特性及要求，自行配置各类设施设备（不限于专业设备、辅助设备、工具、软件等），保证项目顺利实施。</w:t>
      </w:r>
      <w:bookmarkStart w:id="0" w:name="_GoBack"/>
      <w:bookmarkEnd w:id="0"/>
    </w:p>
    <w:p w14:paraId="2EE1C733">
      <w:pPr>
        <w:pStyle w:val="4"/>
        <w:ind w:firstLine="422"/>
        <w:rPr>
          <w:color w:val="auto"/>
          <w:highlight w:val="none"/>
        </w:rPr>
      </w:pPr>
      <w:r>
        <w:rPr>
          <w:rFonts w:ascii="仿宋_GB2312" w:hAnsi="仿宋_GB2312" w:eastAsia="仿宋_GB2312" w:cs="仿宋_GB2312"/>
          <w:b/>
          <w:color w:val="auto"/>
          <w:sz w:val="21"/>
          <w:highlight w:val="none"/>
        </w:rPr>
        <w:t>2.3核心产品的名称：</w:t>
      </w:r>
      <w:r>
        <w:rPr>
          <w:rFonts w:ascii="仿宋_GB2312" w:hAnsi="仿宋_GB2312" w:eastAsia="仿宋_GB2312" w:cs="仿宋_GB2312"/>
          <w:b/>
          <w:color w:val="auto"/>
          <w:highlight w:val="none"/>
          <w:u w:val="single"/>
        </w:rPr>
        <w:t xml:space="preserve"> </w:t>
      </w:r>
      <w:r>
        <w:rPr>
          <w:rFonts w:ascii="仿宋_GB2312" w:hAnsi="仿宋_GB2312" w:eastAsia="仿宋_GB2312" w:cs="仿宋_GB2312"/>
          <w:b/>
          <w:color w:val="auto"/>
          <w:sz w:val="21"/>
          <w:highlight w:val="none"/>
          <w:u w:val="single"/>
        </w:rPr>
        <w:t>智慧黑板(评审标准详见采购文件第二章：充分、公平竞争保障措施)。</w:t>
      </w:r>
      <w:r>
        <w:rPr>
          <w:rFonts w:ascii="仿宋_GB2312" w:hAnsi="仿宋_GB2312" w:eastAsia="仿宋_GB2312" w:cs="仿宋_GB2312"/>
          <w:b/>
          <w:color w:val="auto"/>
          <w:highlight w:val="none"/>
          <w:u w:val="single"/>
        </w:rPr>
        <w:t xml:space="preserve"> </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62"/>
        <w:gridCol w:w="818"/>
        <w:gridCol w:w="5862"/>
        <w:gridCol w:w="656"/>
        <w:gridCol w:w="615"/>
      </w:tblGrid>
      <w:tr w14:paraId="452E08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3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02FAF7">
            <w:pPr>
              <w:pStyle w:val="4"/>
              <w:jc w:val="both"/>
              <w:rPr>
                <w:color w:val="auto"/>
                <w:highlight w:val="none"/>
              </w:rPr>
            </w:pPr>
            <w:r>
              <w:rPr>
                <w:rFonts w:ascii="仿宋_GB2312" w:hAnsi="仿宋_GB2312" w:eastAsia="仿宋_GB2312" w:cs="仿宋_GB2312"/>
                <w:color w:val="auto"/>
                <w:sz w:val="21"/>
                <w:highlight w:val="none"/>
              </w:rPr>
              <w:t>序号</w:t>
            </w:r>
          </w:p>
        </w:tc>
        <w:tc>
          <w:tcPr>
            <w:tcW w:w="48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2CA37B">
            <w:pPr>
              <w:pStyle w:val="4"/>
              <w:jc w:val="center"/>
              <w:rPr>
                <w:color w:val="auto"/>
                <w:highlight w:val="none"/>
              </w:rPr>
            </w:pPr>
            <w:r>
              <w:rPr>
                <w:rFonts w:ascii="仿宋_GB2312" w:hAnsi="仿宋_GB2312" w:eastAsia="仿宋_GB2312" w:cs="仿宋_GB2312"/>
                <w:color w:val="auto"/>
                <w:sz w:val="21"/>
                <w:highlight w:val="none"/>
              </w:rPr>
              <w:t>设备名称</w:t>
            </w:r>
          </w:p>
        </w:tc>
        <w:tc>
          <w:tcPr>
            <w:tcW w:w="344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399A6F">
            <w:pPr>
              <w:pStyle w:val="4"/>
              <w:jc w:val="center"/>
              <w:rPr>
                <w:color w:val="auto"/>
                <w:highlight w:val="none"/>
              </w:rPr>
            </w:pPr>
            <w:r>
              <w:rPr>
                <w:rFonts w:ascii="仿宋_GB2312" w:hAnsi="仿宋_GB2312" w:eastAsia="仿宋_GB2312" w:cs="仿宋_GB2312"/>
                <w:color w:val="auto"/>
                <w:sz w:val="21"/>
                <w:highlight w:val="none"/>
              </w:rPr>
              <w:t>技术参数</w:t>
            </w:r>
          </w:p>
        </w:tc>
        <w:tc>
          <w:tcPr>
            <w:tcW w:w="38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964AD7">
            <w:pPr>
              <w:pStyle w:val="4"/>
              <w:jc w:val="both"/>
              <w:rPr>
                <w:color w:val="auto"/>
                <w:highlight w:val="none"/>
              </w:rPr>
            </w:pPr>
            <w:r>
              <w:rPr>
                <w:rFonts w:ascii="仿宋_GB2312" w:hAnsi="仿宋_GB2312" w:eastAsia="仿宋_GB2312" w:cs="仿宋_GB2312"/>
                <w:color w:val="auto"/>
                <w:sz w:val="21"/>
                <w:highlight w:val="none"/>
              </w:rPr>
              <w:t>数量</w:t>
            </w:r>
          </w:p>
        </w:tc>
        <w:tc>
          <w:tcPr>
            <w:tcW w:w="36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8D9E80">
            <w:pPr>
              <w:pStyle w:val="4"/>
              <w:jc w:val="both"/>
              <w:rPr>
                <w:color w:val="auto"/>
                <w:highlight w:val="none"/>
              </w:rPr>
            </w:pPr>
            <w:r>
              <w:rPr>
                <w:rFonts w:ascii="仿宋_GB2312" w:hAnsi="仿宋_GB2312" w:eastAsia="仿宋_GB2312" w:cs="仿宋_GB2312"/>
                <w:color w:val="auto"/>
                <w:sz w:val="21"/>
                <w:highlight w:val="none"/>
              </w:rPr>
              <w:t>单位</w:t>
            </w:r>
          </w:p>
        </w:tc>
      </w:tr>
      <w:tr w14:paraId="0FB31B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C0608">
            <w:pPr>
              <w:pStyle w:val="4"/>
              <w:jc w:val="center"/>
              <w:rPr>
                <w:color w:val="auto"/>
                <w:highlight w:val="none"/>
              </w:rPr>
            </w:pPr>
            <w:r>
              <w:rPr>
                <w:rFonts w:ascii="仿宋_GB2312" w:hAnsi="仿宋_GB2312" w:eastAsia="仿宋_GB2312" w:cs="仿宋_GB2312"/>
                <w:color w:val="auto"/>
                <w:sz w:val="21"/>
                <w:highlight w:val="none"/>
              </w:rPr>
              <w:t>1</w:t>
            </w:r>
          </w:p>
        </w:tc>
        <w:tc>
          <w:tcPr>
            <w:tcW w:w="4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71B2AC">
            <w:pPr>
              <w:pStyle w:val="4"/>
              <w:jc w:val="center"/>
              <w:rPr>
                <w:color w:val="auto"/>
                <w:highlight w:val="none"/>
              </w:rPr>
            </w:pPr>
            <w:r>
              <w:rPr>
                <w:rFonts w:ascii="仿宋_GB2312" w:hAnsi="仿宋_GB2312" w:eastAsia="仿宋_GB2312" w:cs="仿宋_GB2312"/>
                <w:color w:val="auto"/>
                <w:sz w:val="21"/>
                <w:highlight w:val="none"/>
              </w:rPr>
              <w:t>智慧黑板</w:t>
            </w:r>
          </w:p>
        </w:tc>
        <w:tc>
          <w:tcPr>
            <w:tcW w:w="34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CAE14">
            <w:pPr>
              <w:pStyle w:val="4"/>
              <w:jc w:val="both"/>
              <w:rPr>
                <w:color w:val="auto"/>
                <w:highlight w:val="none"/>
              </w:rPr>
            </w:pPr>
            <w:r>
              <w:rPr>
                <w:rFonts w:ascii="仿宋_GB2312" w:hAnsi="仿宋_GB2312" w:eastAsia="仿宋_GB2312" w:cs="仿宋_GB2312"/>
                <w:color w:val="auto"/>
                <w:sz w:val="21"/>
                <w:highlight w:val="none"/>
              </w:rPr>
              <w:t>1.设备采用全金属外壳，三拼接平面一体化设计，屏幕边缘采用圆角包边防护，整机背板采用金属材质，整体尺寸：宽≥4200mm，高≥1200mm。</w:t>
            </w:r>
          </w:p>
          <w:p w14:paraId="40C57329">
            <w:pPr>
              <w:pStyle w:val="4"/>
              <w:jc w:val="both"/>
              <w:rPr>
                <w:color w:val="auto"/>
                <w:highlight w:val="none"/>
              </w:rPr>
            </w:pPr>
            <w:r>
              <w:rPr>
                <w:rFonts w:ascii="仿宋_GB2312" w:hAnsi="仿宋_GB2312" w:eastAsia="仿宋_GB2312" w:cs="仿宋_GB2312"/>
                <w:color w:val="auto"/>
                <w:sz w:val="21"/>
                <w:highlight w:val="none"/>
              </w:rPr>
              <w:t>2.设备采用≥86寸超高清LED液晶显示屏，显示比例16:9，分辨率3840×2160。整机中间主屏及两侧副屏支持多种媒介进行板书书写。</w:t>
            </w:r>
          </w:p>
          <w:p w14:paraId="7F551BE2">
            <w:pPr>
              <w:pStyle w:val="4"/>
              <w:jc w:val="both"/>
              <w:rPr>
                <w:color w:val="auto"/>
                <w:highlight w:val="none"/>
              </w:rPr>
            </w:pPr>
            <w:r>
              <w:rPr>
                <w:rFonts w:ascii="仿宋_GB2312" w:hAnsi="仿宋_GB2312" w:eastAsia="仿宋_GB2312" w:cs="仿宋_GB2312"/>
                <w:color w:val="auto"/>
                <w:sz w:val="21"/>
                <w:highlight w:val="none"/>
              </w:rPr>
              <w:t>3.支持在Windows及Android系统中进行50点或以上触控。</w:t>
            </w:r>
          </w:p>
          <w:p w14:paraId="7CFD9BA0">
            <w:pPr>
              <w:pStyle w:val="4"/>
              <w:jc w:val="both"/>
              <w:rPr>
                <w:color w:val="auto"/>
                <w:highlight w:val="none"/>
              </w:rPr>
            </w:pPr>
            <w:r>
              <w:rPr>
                <w:rFonts w:ascii="仿宋_GB2312" w:hAnsi="仿宋_GB2312" w:eastAsia="仿宋_GB2312" w:cs="仿宋_GB2312"/>
                <w:color w:val="auto"/>
                <w:sz w:val="21"/>
                <w:highlight w:val="none"/>
              </w:rPr>
              <w:t>4.★设备内置2.2声道扬声器，最大功率≥80W。</w:t>
            </w:r>
          </w:p>
          <w:p w14:paraId="3FB190CD">
            <w:pPr>
              <w:pStyle w:val="4"/>
              <w:jc w:val="both"/>
              <w:rPr>
                <w:color w:val="auto"/>
                <w:highlight w:val="none"/>
              </w:rPr>
            </w:pPr>
            <w:r>
              <w:rPr>
                <w:rFonts w:ascii="仿宋_GB2312" w:hAnsi="仿宋_GB2312" w:eastAsia="仿宋_GB2312" w:cs="仿宋_GB2312"/>
                <w:color w:val="auto"/>
                <w:sz w:val="21"/>
                <w:highlight w:val="none"/>
              </w:rPr>
              <w:t>5.设备扬声器在100%音量下，可做到1米处声压级≥87db，10米处声压级≥80dB。</w:t>
            </w:r>
            <w:r>
              <w:rPr>
                <w:color w:val="auto"/>
                <w:highlight w:val="none"/>
              </w:rPr>
              <w:br w:type="textWrapping"/>
            </w:r>
            <w:r>
              <w:rPr>
                <w:rFonts w:ascii="仿宋_GB2312" w:hAnsi="仿宋_GB2312" w:eastAsia="仿宋_GB2312" w:cs="仿宋_GB2312"/>
                <w:color w:val="auto"/>
                <w:sz w:val="21"/>
                <w:highlight w:val="none"/>
              </w:rPr>
              <w:t>6.设备支持空间感知、标准、听力等音效模式，空间感知音效模式可通过麦克风采集环境声音，生成符合当前环境的音量、音效、频段。</w:t>
            </w:r>
            <w:r>
              <w:rPr>
                <w:rFonts w:ascii="仿宋_GB2312" w:hAnsi="仿宋_GB2312" w:eastAsia="仿宋_GB2312" w:cs="仿宋_GB2312"/>
                <w:b/>
                <w:color w:val="auto"/>
                <w:sz w:val="21"/>
                <w:highlight w:val="none"/>
              </w:rPr>
              <w:t>（提供演示）</w:t>
            </w:r>
          </w:p>
          <w:p w14:paraId="4043059F">
            <w:pPr>
              <w:pStyle w:val="4"/>
              <w:jc w:val="both"/>
              <w:rPr>
                <w:color w:val="auto"/>
                <w:highlight w:val="none"/>
              </w:rPr>
            </w:pPr>
            <w:r>
              <w:rPr>
                <w:rFonts w:ascii="仿宋_GB2312" w:hAnsi="仿宋_GB2312" w:eastAsia="仿宋_GB2312" w:cs="仿宋_GB2312"/>
                <w:color w:val="auto"/>
                <w:sz w:val="21"/>
                <w:highlight w:val="none"/>
              </w:rPr>
              <w:t>7.设备内置非独立外扩展的8阵列麦克风，拾音角度≥180°，拾音距离≥12m。</w:t>
            </w:r>
          </w:p>
          <w:p w14:paraId="47D816C0">
            <w:pPr>
              <w:pStyle w:val="4"/>
              <w:jc w:val="both"/>
              <w:rPr>
                <w:color w:val="auto"/>
                <w:highlight w:val="none"/>
              </w:rPr>
            </w:pPr>
            <w:r>
              <w:rPr>
                <w:rFonts w:ascii="仿宋_GB2312" w:hAnsi="仿宋_GB2312" w:eastAsia="仿宋_GB2312" w:cs="仿宋_GB2312"/>
                <w:color w:val="auto"/>
                <w:sz w:val="21"/>
                <w:highlight w:val="none"/>
              </w:rPr>
              <w:t>8.★设备符合国家标准GB 4943.1-2022《音视频、信息技术和通信技术设备》 第1部分：安全要求中的“抗电强度试验”相关规定，“试验电压施加部位”如下：</w:t>
            </w:r>
            <w:r>
              <w:rPr>
                <w:color w:val="auto"/>
                <w:highlight w:val="none"/>
              </w:rPr>
              <w:br w:type="textWrapping"/>
            </w:r>
            <w:r>
              <w:rPr>
                <w:rFonts w:ascii="仿宋_GB2312" w:hAnsi="仿宋_GB2312" w:eastAsia="仿宋_GB2312" w:cs="仿宋_GB2312"/>
                <w:color w:val="auto"/>
                <w:sz w:val="21"/>
                <w:highlight w:val="none"/>
              </w:rPr>
              <w:t>（1）电源两极(L/N)与金属外壳（接地之间）；</w:t>
            </w:r>
            <w:r>
              <w:rPr>
                <w:color w:val="auto"/>
                <w:highlight w:val="none"/>
              </w:rPr>
              <w:br w:type="textWrapping"/>
            </w:r>
            <w:r>
              <w:rPr>
                <w:rFonts w:ascii="仿宋_GB2312" w:hAnsi="仿宋_GB2312" w:eastAsia="仿宋_GB2312" w:cs="仿宋_GB2312"/>
                <w:color w:val="auto"/>
                <w:sz w:val="21"/>
                <w:highlight w:val="none"/>
              </w:rPr>
              <w:t>（2）电源两极(LN)与显示屏；</w:t>
            </w:r>
          </w:p>
          <w:p w14:paraId="7D532538">
            <w:pPr>
              <w:pStyle w:val="4"/>
              <w:jc w:val="both"/>
              <w:rPr>
                <w:color w:val="auto"/>
                <w:highlight w:val="none"/>
              </w:rPr>
            </w:pPr>
            <w:r>
              <w:rPr>
                <w:rFonts w:ascii="仿宋_GB2312" w:hAnsi="仿宋_GB2312" w:eastAsia="仿宋_GB2312" w:cs="仿宋_GB2312"/>
                <w:color w:val="auto"/>
                <w:sz w:val="21"/>
                <w:highlight w:val="none"/>
              </w:rPr>
              <w:t>9.★内置语音助手，通过整机麦克风以唤醒词调起语音助手，支持语音交互的方式调节整机音量、亮度，语音操控打开系统已安装应用如：教学白板、浏览器、计算器、画板，语音搜索指定网页内容，支持选择网页中的视频进行播放或暂停。</w:t>
            </w:r>
          </w:p>
          <w:p w14:paraId="2D1E24E2">
            <w:pPr>
              <w:pStyle w:val="4"/>
              <w:jc w:val="both"/>
              <w:rPr>
                <w:color w:val="auto"/>
                <w:highlight w:val="none"/>
              </w:rPr>
            </w:pPr>
            <w:r>
              <w:rPr>
                <w:rFonts w:ascii="仿宋_GB2312" w:hAnsi="仿宋_GB2312" w:eastAsia="仿宋_GB2312" w:cs="仿宋_GB2312"/>
                <w:color w:val="auto"/>
                <w:sz w:val="21"/>
                <w:highlight w:val="none"/>
              </w:rPr>
              <w:t>10.★内置麦克风声源定位算法，声源定位精度≤5度，可识别回答问题的学生方位。</w:t>
            </w:r>
          </w:p>
          <w:p w14:paraId="5A59547F">
            <w:pPr>
              <w:pStyle w:val="4"/>
              <w:jc w:val="both"/>
              <w:rPr>
                <w:color w:val="auto"/>
                <w:highlight w:val="none"/>
              </w:rPr>
            </w:pPr>
            <w:r>
              <w:rPr>
                <w:rFonts w:ascii="仿宋_GB2312" w:hAnsi="仿宋_GB2312" w:eastAsia="仿宋_GB2312" w:cs="仿宋_GB2312"/>
                <w:color w:val="auto"/>
                <w:sz w:val="21"/>
                <w:highlight w:val="none"/>
              </w:rPr>
              <w:t>11.设备背光系统支持多级亮度调节，支持白颜色背景下最暗亮度≤100nit。</w:t>
            </w:r>
          </w:p>
          <w:p w14:paraId="36DB1061">
            <w:pPr>
              <w:pStyle w:val="4"/>
              <w:jc w:val="both"/>
              <w:rPr>
                <w:color w:val="auto"/>
                <w:highlight w:val="none"/>
              </w:rPr>
            </w:pPr>
            <w:r>
              <w:rPr>
                <w:rFonts w:ascii="仿宋_GB2312" w:hAnsi="仿宋_GB2312" w:eastAsia="仿宋_GB2312" w:cs="仿宋_GB2312"/>
                <w:color w:val="auto"/>
                <w:sz w:val="21"/>
                <w:highlight w:val="none"/>
              </w:rPr>
              <w:t>12.可根据屏幕内容自动调节画质参数，自动调整对比度、饱和度、高光、色调色相值等。</w:t>
            </w:r>
          </w:p>
          <w:p w14:paraId="560E5326">
            <w:pPr>
              <w:pStyle w:val="4"/>
              <w:jc w:val="both"/>
              <w:rPr>
                <w:color w:val="auto"/>
                <w:highlight w:val="none"/>
              </w:rPr>
            </w:pPr>
            <w:r>
              <w:rPr>
                <w:rFonts w:ascii="仿宋_GB2312" w:hAnsi="仿宋_GB2312" w:eastAsia="仿宋_GB2312" w:cs="仿宋_GB2312"/>
                <w:color w:val="auto"/>
                <w:sz w:val="21"/>
                <w:highlight w:val="none"/>
              </w:rPr>
              <w:t>13.设备采用硬件低蓝光背光技术，蓝光占比＜50%，低蓝光保护显示不偏色、不泛黄。</w:t>
            </w:r>
          </w:p>
          <w:p w14:paraId="5EB43A11">
            <w:pPr>
              <w:pStyle w:val="4"/>
              <w:jc w:val="both"/>
              <w:rPr>
                <w:color w:val="auto"/>
                <w:highlight w:val="none"/>
              </w:rPr>
            </w:pPr>
            <w:r>
              <w:rPr>
                <w:rFonts w:ascii="仿宋_GB2312" w:hAnsi="仿宋_GB2312" w:eastAsia="仿宋_GB2312" w:cs="仿宋_GB2312"/>
                <w:color w:val="auto"/>
                <w:sz w:val="21"/>
                <w:highlight w:val="none"/>
              </w:rPr>
              <w:t>14.支持设置类纸质护眼显示，实现纹理调整。</w:t>
            </w:r>
            <w:r>
              <w:rPr>
                <w:color w:val="auto"/>
                <w:highlight w:val="none"/>
              </w:rPr>
              <w:br w:type="textWrapping"/>
            </w:r>
            <w:r>
              <w:rPr>
                <w:rFonts w:ascii="仿宋_GB2312" w:hAnsi="仿宋_GB2312" w:eastAsia="仿宋_GB2312" w:cs="仿宋_GB2312"/>
                <w:color w:val="auto"/>
                <w:sz w:val="21"/>
                <w:highlight w:val="none"/>
              </w:rPr>
              <w:t>15.★内置全视角背光增光膜，整机屏幕中心亮度三分之一的亮度观看视角≥130°，亮度可视角≥120°。</w:t>
            </w:r>
            <w:r>
              <w:rPr>
                <w:color w:val="auto"/>
                <w:highlight w:val="none"/>
              </w:rPr>
              <w:br w:type="textWrapping"/>
            </w:r>
            <w:r>
              <w:rPr>
                <w:rFonts w:ascii="仿宋_GB2312" w:hAnsi="仿宋_GB2312" w:eastAsia="仿宋_GB2312" w:cs="仿宋_GB2312"/>
                <w:color w:val="auto"/>
                <w:sz w:val="21"/>
                <w:highlight w:val="none"/>
              </w:rPr>
              <w:t>16.内置非独立摄像头，采用一体化集成设计，≥5000万像素。</w:t>
            </w:r>
            <w:r>
              <w:rPr>
                <w:color w:val="auto"/>
                <w:highlight w:val="none"/>
              </w:rPr>
              <w:br w:type="textWrapping"/>
            </w:r>
            <w:r>
              <w:rPr>
                <w:rFonts w:ascii="仿宋_GB2312" w:hAnsi="仿宋_GB2312" w:eastAsia="仿宋_GB2312" w:cs="仿宋_GB2312"/>
                <w:color w:val="auto"/>
                <w:sz w:val="21"/>
                <w:highlight w:val="none"/>
              </w:rPr>
              <w:t>17.摄像头支持人脸识别。</w:t>
            </w:r>
          </w:p>
          <w:p w14:paraId="2B518F94">
            <w:pPr>
              <w:pStyle w:val="4"/>
              <w:jc w:val="both"/>
              <w:rPr>
                <w:color w:val="auto"/>
                <w:highlight w:val="none"/>
              </w:rPr>
            </w:pPr>
            <w:r>
              <w:rPr>
                <w:rFonts w:ascii="仿宋_GB2312" w:hAnsi="仿宋_GB2312" w:eastAsia="仿宋_GB2312" w:cs="仿宋_GB2312"/>
                <w:color w:val="auto"/>
                <w:sz w:val="21"/>
                <w:highlight w:val="none"/>
              </w:rPr>
              <w:t>18.摄像头支持环境色温判断，根据环境调节合适的显示图像效果。</w:t>
            </w:r>
            <w:r>
              <w:rPr>
                <w:rFonts w:ascii="仿宋_GB2312" w:hAnsi="仿宋_GB2312" w:eastAsia="仿宋_GB2312" w:cs="仿宋_GB2312"/>
                <w:b/>
                <w:color w:val="auto"/>
                <w:sz w:val="21"/>
                <w:highlight w:val="none"/>
              </w:rPr>
              <w:t>（提供演示）</w:t>
            </w:r>
          </w:p>
          <w:p w14:paraId="23A8C8C3">
            <w:pPr>
              <w:pStyle w:val="4"/>
              <w:jc w:val="both"/>
              <w:rPr>
                <w:color w:val="auto"/>
                <w:highlight w:val="none"/>
              </w:rPr>
            </w:pPr>
            <w:r>
              <w:rPr>
                <w:rFonts w:ascii="仿宋_GB2312" w:hAnsi="仿宋_GB2312" w:eastAsia="仿宋_GB2312" w:cs="仿宋_GB2312"/>
                <w:color w:val="auto"/>
                <w:sz w:val="21"/>
                <w:highlight w:val="none"/>
              </w:rPr>
              <w:t>19.★整机听力模式下具备AI人声语言增强功能，扩声系统语言传输指数（STIPA）≥0.75。</w:t>
            </w:r>
          </w:p>
          <w:p w14:paraId="43FF5798">
            <w:pPr>
              <w:pStyle w:val="4"/>
              <w:jc w:val="both"/>
              <w:rPr>
                <w:color w:val="auto"/>
                <w:highlight w:val="none"/>
              </w:rPr>
            </w:pPr>
            <w:r>
              <w:rPr>
                <w:rFonts w:ascii="仿宋_GB2312" w:hAnsi="仿宋_GB2312" w:eastAsia="仿宋_GB2312" w:cs="仿宋_GB2312"/>
                <w:color w:val="auto"/>
                <w:sz w:val="21"/>
                <w:highlight w:val="none"/>
              </w:rPr>
              <w:t>20.★设备触摸支持动态压力感应，支持非电子书写笔书写或点压时，屏幕能感应压力变化，书写或点压过程的笔迹呈现粗细变化，自带AI书写美化能力，智能识别批注的书写轨迹，进行笔锋智能美化，模拟纸上书写的起笔、行笔和收笔效果。</w:t>
            </w:r>
          </w:p>
          <w:p w14:paraId="18DCAFDF">
            <w:pPr>
              <w:pStyle w:val="4"/>
              <w:jc w:val="both"/>
              <w:rPr>
                <w:color w:val="auto"/>
                <w:highlight w:val="none"/>
              </w:rPr>
            </w:pPr>
            <w:r>
              <w:rPr>
                <w:rFonts w:ascii="仿宋_GB2312" w:hAnsi="仿宋_GB2312" w:eastAsia="仿宋_GB2312" w:cs="仿宋_GB2312"/>
                <w:color w:val="auto"/>
                <w:sz w:val="21"/>
                <w:highlight w:val="none"/>
              </w:rPr>
              <w:t>21.设备书写触控延迟≤25ms。</w:t>
            </w:r>
          </w:p>
          <w:p w14:paraId="543ECEFB">
            <w:pPr>
              <w:pStyle w:val="4"/>
              <w:jc w:val="both"/>
              <w:rPr>
                <w:color w:val="auto"/>
                <w:highlight w:val="none"/>
              </w:rPr>
            </w:pPr>
            <w:r>
              <w:rPr>
                <w:rFonts w:ascii="仿宋_GB2312" w:hAnsi="仿宋_GB2312" w:eastAsia="仿宋_GB2312" w:cs="仿宋_GB2312"/>
                <w:color w:val="auto"/>
                <w:sz w:val="21"/>
                <w:highlight w:val="none"/>
              </w:rPr>
              <w:t>22.设备内置双Wi-Fi 6无线网卡，在Android和Windows系统下，可实现Wi-Fi无线上网连接、AP无线热点发射。</w:t>
            </w:r>
          </w:p>
          <w:p w14:paraId="011CE0D2">
            <w:pPr>
              <w:pStyle w:val="4"/>
              <w:jc w:val="both"/>
              <w:rPr>
                <w:color w:val="auto"/>
                <w:highlight w:val="none"/>
              </w:rPr>
            </w:pPr>
            <w:r>
              <w:rPr>
                <w:rFonts w:ascii="仿宋_GB2312" w:hAnsi="仿宋_GB2312" w:eastAsia="仿宋_GB2312" w:cs="仿宋_GB2312"/>
                <w:color w:val="auto"/>
                <w:sz w:val="21"/>
                <w:highlight w:val="none"/>
              </w:rPr>
              <w:t>23.具备恢复出厂设置功能。</w:t>
            </w:r>
          </w:p>
          <w:p w14:paraId="5FBDF50A">
            <w:pPr>
              <w:pStyle w:val="4"/>
              <w:jc w:val="both"/>
              <w:rPr>
                <w:color w:val="auto"/>
                <w:highlight w:val="none"/>
              </w:rPr>
            </w:pPr>
            <w:r>
              <w:rPr>
                <w:rFonts w:ascii="仿宋_GB2312" w:hAnsi="仿宋_GB2312" w:eastAsia="仿宋_GB2312" w:cs="仿宋_GB2312"/>
                <w:color w:val="auto"/>
                <w:sz w:val="21"/>
                <w:highlight w:val="none"/>
              </w:rPr>
              <w:t>24.设备全通道侧边栏可以展示学校名称、班级、场地信息等内容。</w:t>
            </w:r>
          </w:p>
          <w:p w14:paraId="64A07811">
            <w:pPr>
              <w:pStyle w:val="4"/>
              <w:jc w:val="both"/>
              <w:rPr>
                <w:color w:val="auto"/>
                <w:highlight w:val="none"/>
              </w:rPr>
            </w:pPr>
            <w:r>
              <w:rPr>
                <w:rFonts w:ascii="仿宋_GB2312" w:hAnsi="仿宋_GB2312" w:eastAsia="仿宋_GB2312" w:cs="仿宋_GB2312"/>
                <w:color w:val="auto"/>
                <w:sz w:val="21"/>
                <w:highlight w:val="none"/>
              </w:rPr>
              <w:t>25.教学桌面支持自定义壁纸。</w:t>
            </w:r>
          </w:p>
          <w:p w14:paraId="72691FEE">
            <w:pPr>
              <w:pStyle w:val="4"/>
              <w:jc w:val="both"/>
              <w:rPr>
                <w:color w:val="auto"/>
                <w:highlight w:val="none"/>
              </w:rPr>
            </w:pPr>
            <w:r>
              <w:rPr>
                <w:rFonts w:ascii="仿宋_GB2312" w:hAnsi="仿宋_GB2312" w:eastAsia="仿宋_GB2312" w:cs="仿宋_GB2312"/>
                <w:color w:val="auto"/>
                <w:sz w:val="21"/>
                <w:highlight w:val="none"/>
              </w:rPr>
              <w:t>26.★设备支持在无任何外部设备的情况下，实时录制用户朗读内容，识别用户声纹并进行统一身份登录，登录后自动获取个人云端教学课件列表，打开教学白板软件时可跳过软件自带登录步骤。</w:t>
            </w:r>
            <w:r>
              <w:rPr>
                <w:color w:val="auto"/>
                <w:highlight w:val="none"/>
              </w:rPr>
              <w:br w:type="textWrapping"/>
            </w:r>
            <w:r>
              <w:rPr>
                <w:rFonts w:ascii="仿宋_GB2312" w:hAnsi="仿宋_GB2312" w:eastAsia="仿宋_GB2312" w:cs="仿宋_GB2312"/>
                <w:color w:val="auto"/>
                <w:sz w:val="21"/>
                <w:highlight w:val="none"/>
              </w:rPr>
              <w:t>27.★安卓系统版本不低于Android 15.0，CPU≥4核，存储空间≥32GB。</w:t>
            </w:r>
          </w:p>
          <w:p w14:paraId="40A7A275">
            <w:pPr>
              <w:pStyle w:val="4"/>
              <w:jc w:val="both"/>
              <w:rPr>
                <w:color w:val="auto"/>
                <w:highlight w:val="none"/>
              </w:rPr>
            </w:pPr>
            <w:r>
              <w:rPr>
                <w:rFonts w:ascii="仿宋_GB2312" w:hAnsi="仿宋_GB2312" w:eastAsia="仿宋_GB2312" w:cs="仿宋_GB2312"/>
                <w:color w:val="auto"/>
                <w:sz w:val="21"/>
                <w:highlight w:val="none"/>
              </w:rPr>
              <w:t>28.★整机CPU芯片，WIFI与蓝牙芯片、摄像头图像处理芯片，均采用国产自主芯片。</w:t>
            </w:r>
          </w:p>
          <w:p w14:paraId="5AC78700">
            <w:pPr>
              <w:pStyle w:val="4"/>
              <w:jc w:val="both"/>
              <w:rPr>
                <w:color w:val="auto"/>
                <w:highlight w:val="none"/>
              </w:rPr>
            </w:pPr>
            <w:r>
              <w:rPr>
                <w:rFonts w:ascii="仿宋_GB2312" w:hAnsi="仿宋_GB2312" w:eastAsia="仿宋_GB2312" w:cs="仿宋_GB2312"/>
                <w:color w:val="auto"/>
                <w:sz w:val="21"/>
                <w:highlight w:val="none"/>
              </w:rPr>
              <w:t>29.设备内置朗读工具，通过麦克风检测算法监测教室中学生的朗读情况。</w:t>
            </w:r>
          </w:p>
          <w:p w14:paraId="27CB2481">
            <w:pPr>
              <w:pStyle w:val="4"/>
              <w:jc w:val="both"/>
              <w:rPr>
                <w:color w:val="auto"/>
                <w:highlight w:val="none"/>
              </w:rPr>
            </w:pPr>
            <w:r>
              <w:rPr>
                <w:rFonts w:ascii="仿宋_GB2312" w:hAnsi="仿宋_GB2312" w:eastAsia="仿宋_GB2312" w:cs="仿宋_GB2312"/>
                <w:color w:val="auto"/>
                <w:sz w:val="21"/>
                <w:highlight w:val="none"/>
              </w:rPr>
              <w:t>30.设备内置自习工具，通过麦克风检测算法监测教室中学生音量大小，当学生音量大于一定标准时，自动弹窗提醒。</w:t>
            </w:r>
          </w:p>
          <w:p w14:paraId="76858790">
            <w:pPr>
              <w:pStyle w:val="4"/>
              <w:jc w:val="both"/>
              <w:rPr>
                <w:color w:val="auto"/>
                <w:highlight w:val="none"/>
              </w:rPr>
            </w:pPr>
            <w:r>
              <w:rPr>
                <w:rFonts w:ascii="仿宋_GB2312" w:hAnsi="仿宋_GB2312" w:eastAsia="仿宋_GB2312" w:cs="仿宋_GB2312"/>
                <w:color w:val="auto"/>
                <w:sz w:val="21"/>
                <w:highlight w:val="none"/>
              </w:rPr>
              <w:t>31.采用模块可抽拉式插入整机，可实现无单独接线的插拔。按压式卡扣，无需工具即可快速拆卸电脑模块。</w:t>
            </w:r>
            <w:r>
              <w:rPr>
                <w:rFonts w:ascii="仿宋_GB2312" w:hAnsi="仿宋_GB2312" w:eastAsia="仿宋_GB2312" w:cs="仿宋_GB2312"/>
                <w:b/>
                <w:color w:val="auto"/>
                <w:sz w:val="21"/>
                <w:highlight w:val="none"/>
              </w:rPr>
              <w:t>（提供演示）</w:t>
            </w:r>
          </w:p>
          <w:p w14:paraId="6A74F14D">
            <w:pPr>
              <w:pStyle w:val="4"/>
              <w:jc w:val="both"/>
              <w:rPr>
                <w:color w:val="auto"/>
                <w:highlight w:val="none"/>
              </w:rPr>
            </w:pPr>
            <w:r>
              <w:rPr>
                <w:rFonts w:ascii="仿宋_GB2312" w:hAnsi="仿宋_GB2312" w:eastAsia="仿宋_GB2312" w:cs="仿宋_GB2312"/>
                <w:color w:val="auto"/>
                <w:sz w:val="21"/>
                <w:highlight w:val="none"/>
              </w:rPr>
              <w:t>32.处理器≥8核8线程，内存：≥8 GB DDR4，硬盘：≥256 GB SSD固态硬盘。</w:t>
            </w:r>
          </w:p>
          <w:p w14:paraId="694301EF">
            <w:pPr>
              <w:pStyle w:val="4"/>
              <w:jc w:val="both"/>
              <w:rPr>
                <w:color w:val="auto"/>
                <w:highlight w:val="none"/>
              </w:rPr>
            </w:pPr>
            <w:r>
              <w:rPr>
                <w:rFonts w:ascii="仿宋_GB2312" w:hAnsi="仿宋_GB2312" w:eastAsia="仿宋_GB2312" w:cs="仿宋_GB2312"/>
                <w:color w:val="auto"/>
                <w:sz w:val="21"/>
                <w:highlight w:val="none"/>
              </w:rPr>
              <w:t>33.具备供电保护模块。</w:t>
            </w:r>
          </w:p>
        </w:tc>
        <w:tc>
          <w:tcPr>
            <w:tcW w:w="3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36355">
            <w:pPr>
              <w:pStyle w:val="4"/>
              <w:jc w:val="both"/>
              <w:rPr>
                <w:color w:val="auto"/>
                <w:highlight w:val="none"/>
              </w:rPr>
            </w:pPr>
            <w:r>
              <w:rPr>
                <w:rFonts w:ascii="仿宋_GB2312" w:hAnsi="仿宋_GB2312" w:eastAsia="仿宋_GB2312" w:cs="仿宋_GB2312"/>
                <w:color w:val="auto"/>
                <w:sz w:val="21"/>
                <w:highlight w:val="none"/>
              </w:rPr>
              <w:t>40</w:t>
            </w:r>
          </w:p>
        </w:tc>
        <w:tc>
          <w:tcPr>
            <w:tcW w:w="36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FD760">
            <w:pPr>
              <w:pStyle w:val="4"/>
              <w:jc w:val="center"/>
              <w:rPr>
                <w:color w:val="auto"/>
                <w:highlight w:val="none"/>
              </w:rPr>
            </w:pPr>
            <w:r>
              <w:rPr>
                <w:rFonts w:ascii="仿宋_GB2312" w:hAnsi="仿宋_GB2312" w:eastAsia="仿宋_GB2312" w:cs="仿宋_GB2312"/>
                <w:color w:val="auto"/>
                <w:sz w:val="21"/>
                <w:highlight w:val="none"/>
              </w:rPr>
              <w:t>套</w:t>
            </w:r>
          </w:p>
        </w:tc>
      </w:tr>
      <w:tr w14:paraId="66C62D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A1422E">
            <w:pPr>
              <w:pStyle w:val="4"/>
              <w:jc w:val="center"/>
              <w:rPr>
                <w:color w:val="auto"/>
                <w:highlight w:val="none"/>
              </w:rPr>
            </w:pPr>
            <w:r>
              <w:rPr>
                <w:rFonts w:ascii="仿宋_GB2312" w:hAnsi="仿宋_GB2312" w:eastAsia="仿宋_GB2312" w:cs="仿宋_GB2312"/>
                <w:color w:val="auto"/>
                <w:sz w:val="21"/>
                <w:highlight w:val="none"/>
              </w:rPr>
              <w:t>2</w:t>
            </w:r>
          </w:p>
        </w:tc>
        <w:tc>
          <w:tcPr>
            <w:tcW w:w="4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C3A062">
            <w:pPr>
              <w:pStyle w:val="4"/>
              <w:jc w:val="center"/>
              <w:rPr>
                <w:color w:val="auto"/>
                <w:highlight w:val="none"/>
              </w:rPr>
            </w:pPr>
            <w:r>
              <w:rPr>
                <w:rFonts w:ascii="仿宋_GB2312" w:hAnsi="仿宋_GB2312" w:eastAsia="仿宋_GB2312" w:cs="仿宋_GB2312"/>
                <w:color w:val="auto"/>
                <w:sz w:val="21"/>
                <w:highlight w:val="none"/>
              </w:rPr>
              <w:t>白板软件</w:t>
            </w:r>
          </w:p>
        </w:tc>
        <w:tc>
          <w:tcPr>
            <w:tcW w:w="34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C0B00F">
            <w:pPr>
              <w:pStyle w:val="4"/>
              <w:jc w:val="both"/>
              <w:rPr>
                <w:color w:val="auto"/>
                <w:highlight w:val="none"/>
              </w:rPr>
            </w:pPr>
            <w:r>
              <w:rPr>
                <w:rFonts w:ascii="仿宋_GB2312" w:hAnsi="仿宋_GB2312" w:eastAsia="仿宋_GB2312" w:cs="仿宋_GB2312"/>
                <w:color w:val="auto"/>
                <w:sz w:val="21"/>
                <w:highlight w:val="none"/>
              </w:rPr>
              <w:t>1.具有备课模式及授课模式，且操作界面根据备课和授课使用场景设计。</w:t>
            </w:r>
          </w:p>
          <w:p w14:paraId="03AC8305">
            <w:pPr>
              <w:pStyle w:val="4"/>
              <w:jc w:val="both"/>
              <w:rPr>
                <w:color w:val="auto"/>
                <w:highlight w:val="none"/>
              </w:rPr>
            </w:pPr>
            <w:r>
              <w:rPr>
                <w:rFonts w:ascii="仿宋_GB2312" w:hAnsi="仿宋_GB2312" w:eastAsia="仿宋_GB2312" w:cs="仿宋_GB2312"/>
                <w:color w:val="auto"/>
                <w:sz w:val="21"/>
                <w:highlight w:val="none"/>
              </w:rPr>
              <w:t>2.为使用方全体教师配备个人账号，形成一体的信息化教学账号体系；根据教师账号信息将教师云空间匹配至对应学校、学科校本资源库。</w:t>
            </w:r>
          </w:p>
          <w:p w14:paraId="0C76CF1C">
            <w:pPr>
              <w:pStyle w:val="4"/>
              <w:jc w:val="both"/>
              <w:rPr>
                <w:color w:val="auto"/>
                <w:highlight w:val="none"/>
              </w:rPr>
            </w:pPr>
            <w:r>
              <w:rPr>
                <w:rFonts w:ascii="仿宋_GB2312" w:hAnsi="仿宋_GB2312" w:eastAsia="仿宋_GB2312" w:cs="仿宋_GB2312"/>
                <w:color w:val="auto"/>
                <w:sz w:val="21"/>
                <w:highlight w:val="none"/>
              </w:rPr>
              <w:t>3.支持通过数字账号、微信二维码、硬件密钥方式登录教师个人账号。</w:t>
            </w:r>
          </w:p>
          <w:p w14:paraId="387F5464">
            <w:pPr>
              <w:pStyle w:val="4"/>
              <w:jc w:val="both"/>
              <w:rPr>
                <w:color w:val="auto"/>
                <w:highlight w:val="none"/>
              </w:rPr>
            </w:pPr>
            <w:r>
              <w:rPr>
                <w:rFonts w:ascii="仿宋_GB2312" w:hAnsi="仿宋_GB2312" w:eastAsia="仿宋_GB2312" w:cs="仿宋_GB2312"/>
                <w:color w:val="auto"/>
                <w:sz w:val="21"/>
                <w:highlight w:val="none"/>
              </w:rPr>
              <w:t>4.★支持为教师提供可扩展至≥10TB的云存储空间，教师可在个人云空间上传存储互动课件、云教案和其他教学资源。</w:t>
            </w:r>
          </w:p>
          <w:p w14:paraId="717B7938">
            <w:pPr>
              <w:pStyle w:val="4"/>
              <w:jc w:val="both"/>
              <w:rPr>
                <w:color w:val="auto"/>
                <w:highlight w:val="none"/>
              </w:rPr>
            </w:pPr>
            <w:r>
              <w:rPr>
                <w:rFonts w:ascii="仿宋_GB2312" w:hAnsi="仿宋_GB2312" w:eastAsia="仿宋_GB2312" w:cs="仿宋_GB2312"/>
                <w:color w:val="auto"/>
                <w:sz w:val="21"/>
                <w:highlight w:val="none"/>
              </w:rPr>
              <w:t>5.可在备课平台直接编写教案，教案为云端存储，支持文本、图片、视频、公式的插入。可将教案关联至教师课件，支持课件同时关联多份教案，关联后教师可在备课界面调用查看教案，便于教研工作开展。</w:t>
            </w:r>
          </w:p>
          <w:p w14:paraId="7AE4C1B5">
            <w:pPr>
              <w:pStyle w:val="4"/>
              <w:jc w:val="both"/>
              <w:rPr>
                <w:color w:val="auto"/>
                <w:highlight w:val="none"/>
              </w:rPr>
            </w:pPr>
            <w:r>
              <w:rPr>
                <w:rFonts w:ascii="仿宋_GB2312" w:hAnsi="仿宋_GB2312" w:eastAsia="仿宋_GB2312" w:cs="仿宋_GB2312"/>
                <w:color w:val="auto"/>
                <w:sz w:val="21"/>
                <w:highlight w:val="none"/>
              </w:rPr>
              <w:t>6.★在备课场景中支持搜索课件库课件资源，支持整份课件或按照课件页插入课件中。支持按照教学环节筛选对应课件页一键插入课件中，可导入新课、作者简介。支持按照元素类型思维导图、课堂活动选取需要的部分补充课件缺失的部分。支持在查看部分课件的同时查看对应整份课件，了解作者整体教学思路。</w:t>
            </w:r>
          </w:p>
          <w:p w14:paraId="7FAED8D1">
            <w:pPr>
              <w:pStyle w:val="4"/>
              <w:jc w:val="both"/>
              <w:rPr>
                <w:color w:val="auto"/>
                <w:highlight w:val="none"/>
              </w:rPr>
            </w:pPr>
            <w:r>
              <w:rPr>
                <w:rFonts w:ascii="仿宋_GB2312" w:hAnsi="仿宋_GB2312" w:eastAsia="仿宋_GB2312" w:cs="仿宋_GB2312"/>
                <w:color w:val="auto"/>
                <w:sz w:val="21"/>
                <w:highlight w:val="none"/>
              </w:rPr>
              <w:t>7.具备集体备课功能，支持上传教案、课件等资源发起集体备课研讨，除本校老师可参与外，通过手机号邀请外校老师，进行跨校教研。</w:t>
            </w:r>
          </w:p>
          <w:p w14:paraId="5726FC23">
            <w:pPr>
              <w:pStyle w:val="4"/>
              <w:jc w:val="both"/>
              <w:rPr>
                <w:color w:val="auto"/>
                <w:highlight w:val="none"/>
              </w:rPr>
            </w:pPr>
            <w:r>
              <w:rPr>
                <w:rFonts w:ascii="仿宋_GB2312" w:hAnsi="仿宋_GB2312" w:eastAsia="仿宋_GB2312" w:cs="仿宋_GB2312"/>
                <w:color w:val="auto"/>
                <w:sz w:val="21"/>
                <w:highlight w:val="none"/>
              </w:rPr>
              <w:t>8.集体备课的参备人可发表观点，评论实时提醒，对教案可进行批注，完成研讨后，可生成集体备课报告，参备人可查看并下载报告，支持查看研讨过程全数据。</w:t>
            </w:r>
          </w:p>
          <w:p w14:paraId="02AD5403">
            <w:pPr>
              <w:pStyle w:val="4"/>
              <w:jc w:val="both"/>
              <w:rPr>
                <w:color w:val="auto"/>
                <w:highlight w:val="none"/>
              </w:rPr>
            </w:pPr>
            <w:r>
              <w:rPr>
                <w:rFonts w:ascii="仿宋_GB2312" w:hAnsi="仿宋_GB2312" w:eastAsia="仿宋_GB2312" w:cs="仿宋_GB2312"/>
                <w:color w:val="auto"/>
                <w:sz w:val="21"/>
                <w:highlight w:val="none"/>
              </w:rPr>
              <w:t>9.★视频研讨：支持在线发起多人视频研讨，研讨过程中可邀请校内外老师共同参与，会议主持人可对会议进行参会人员的管理，包括邀请发言/开启禁言，共享屏幕等操作，系统自动录制视频研讨全过程，会议结束后可自动形成视频回放记录。</w:t>
            </w:r>
          </w:p>
          <w:p w14:paraId="5AE8C93C">
            <w:pPr>
              <w:pStyle w:val="4"/>
              <w:jc w:val="both"/>
              <w:rPr>
                <w:color w:val="auto"/>
                <w:highlight w:val="none"/>
              </w:rPr>
            </w:pPr>
            <w:r>
              <w:rPr>
                <w:rFonts w:ascii="仿宋_GB2312" w:hAnsi="仿宋_GB2312" w:eastAsia="仿宋_GB2312" w:cs="仿宋_GB2312"/>
                <w:color w:val="auto"/>
                <w:sz w:val="21"/>
                <w:highlight w:val="none"/>
              </w:rPr>
              <w:t>10.支持提供在线课堂功能，无需额外安装部署直播软件，可实现语音直播、课件同步、互动工具等远程教学功能。</w:t>
            </w:r>
          </w:p>
          <w:p w14:paraId="5403DAA7">
            <w:pPr>
              <w:pStyle w:val="4"/>
              <w:jc w:val="both"/>
              <w:rPr>
                <w:color w:val="auto"/>
                <w:highlight w:val="none"/>
              </w:rPr>
            </w:pPr>
            <w:r>
              <w:rPr>
                <w:rFonts w:ascii="仿宋_GB2312" w:hAnsi="仿宋_GB2312" w:eastAsia="仿宋_GB2312" w:cs="仿宋_GB2312"/>
                <w:color w:val="auto"/>
                <w:sz w:val="21"/>
                <w:highlight w:val="none"/>
              </w:rPr>
              <w:t>11.支持将互动课件导出为pptx、pdf、H5或web链接，在多终端（包含windows、iOS、安卓、国产操作系统等）可再次编辑。</w:t>
            </w:r>
          </w:p>
          <w:p w14:paraId="7E653F1B">
            <w:pPr>
              <w:pStyle w:val="4"/>
              <w:jc w:val="both"/>
              <w:rPr>
                <w:color w:val="auto"/>
                <w:highlight w:val="none"/>
              </w:rPr>
            </w:pPr>
            <w:r>
              <w:rPr>
                <w:rFonts w:ascii="仿宋_GB2312" w:hAnsi="仿宋_GB2312" w:eastAsia="仿宋_GB2312" w:cs="仿宋_GB2312"/>
                <w:color w:val="auto"/>
                <w:sz w:val="21"/>
                <w:highlight w:val="none"/>
              </w:rPr>
              <w:t>12.互动教学课件支持定向精准分享：分享者可将互动课件、课件组精准推送至指定接收方账号云空间，接收方可在云空间接收并打开分享课件。</w:t>
            </w:r>
          </w:p>
          <w:p w14:paraId="2F48F6EF">
            <w:pPr>
              <w:pStyle w:val="4"/>
              <w:jc w:val="both"/>
              <w:rPr>
                <w:color w:val="auto"/>
                <w:highlight w:val="none"/>
              </w:rPr>
            </w:pPr>
            <w:r>
              <w:rPr>
                <w:rFonts w:ascii="仿宋_GB2312" w:hAnsi="仿宋_GB2312" w:eastAsia="仿宋_GB2312" w:cs="仿宋_GB2312"/>
                <w:color w:val="auto"/>
                <w:sz w:val="21"/>
                <w:highlight w:val="none"/>
              </w:rPr>
              <w:t>13.提供古诗词、古文教学资源：包括但不限于原文、白话翻译、作者介绍、朗诵音频等。支持直接搜索诗词、古文名称或作者名称查找。</w:t>
            </w:r>
          </w:p>
          <w:p w14:paraId="3564D0EB">
            <w:pPr>
              <w:pStyle w:val="4"/>
              <w:jc w:val="both"/>
              <w:rPr>
                <w:color w:val="auto"/>
                <w:highlight w:val="none"/>
              </w:rPr>
            </w:pPr>
            <w:r>
              <w:rPr>
                <w:rFonts w:ascii="仿宋_GB2312" w:hAnsi="仿宋_GB2312" w:eastAsia="仿宋_GB2312" w:cs="仿宋_GB2312"/>
                <w:color w:val="auto"/>
                <w:sz w:val="21"/>
                <w:highlight w:val="none"/>
              </w:rPr>
              <w:t>14.软件内置英文智能语义分析模块，可对英文文本的拼写、句型、语法等进行错误检查，并可一键纠错。</w:t>
            </w:r>
          </w:p>
          <w:p w14:paraId="09724F0A">
            <w:pPr>
              <w:pStyle w:val="4"/>
              <w:jc w:val="both"/>
              <w:rPr>
                <w:color w:val="auto"/>
                <w:highlight w:val="none"/>
              </w:rPr>
            </w:pPr>
            <w:r>
              <w:rPr>
                <w:rFonts w:ascii="仿宋_GB2312" w:hAnsi="仿宋_GB2312" w:eastAsia="仿宋_GB2312" w:cs="仿宋_GB2312"/>
                <w:color w:val="auto"/>
                <w:sz w:val="21"/>
                <w:highlight w:val="none"/>
              </w:rPr>
              <w:t>15.★提供化学方程式快速编辑工具。</w:t>
            </w:r>
          </w:p>
          <w:p w14:paraId="7D8051B6">
            <w:pPr>
              <w:pStyle w:val="4"/>
              <w:jc w:val="both"/>
              <w:rPr>
                <w:color w:val="auto"/>
                <w:highlight w:val="none"/>
              </w:rPr>
            </w:pPr>
            <w:r>
              <w:rPr>
                <w:rFonts w:ascii="仿宋_GB2312" w:hAnsi="仿宋_GB2312" w:eastAsia="仿宋_GB2312" w:cs="仿宋_GB2312"/>
                <w:color w:val="auto"/>
                <w:sz w:val="21"/>
                <w:highlight w:val="none"/>
              </w:rPr>
              <w:t>16.★提供物理线图：支持自由绘制物理线图，提供元件库和模板库≥30个组件，支持自动吸附连接线，画布可无限漫游。绘制后的线图可一键插入到备课课件中并支持二次编辑。老师可将常用的线图保存至个人云盘方便二次调用。</w:t>
            </w:r>
          </w:p>
          <w:p w14:paraId="28F7FA63">
            <w:pPr>
              <w:pStyle w:val="4"/>
              <w:jc w:val="both"/>
              <w:rPr>
                <w:color w:val="auto"/>
                <w:highlight w:val="none"/>
              </w:rPr>
            </w:pPr>
            <w:r>
              <w:rPr>
                <w:rFonts w:ascii="仿宋_GB2312" w:hAnsi="仿宋_GB2312" w:eastAsia="仿宋_GB2312" w:cs="仿宋_GB2312"/>
                <w:color w:val="auto"/>
                <w:sz w:val="21"/>
                <w:highlight w:val="none"/>
              </w:rPr>
              <w:t>17.支持浏览和插入国际音标表，可直接点击发音，支持整表和单个音标卡片插入。支持将字母、单词、句子转写为音标，并可插入到课件中形成文本。</w:t>
            </w:r>
          </w:p>
          <w:p w14:paraId="638239B3">
            <w:pPr>
              <w:pStyle w:val="4"/>
              <w:jc w:val="both"/>
              <w:rPr>
                <w:color w:val="auto"/>
                <w:highlight w:val="none"/>
              </w:rPr>
            </w:pPr>
            <w:r>
              <w:rPr>
                <w:rFonts w:ascii="仿宋_GB2312" w:hAnsi="仿宋_GB2312" w:eastAsia="仿宋_GB2312" w:cs="仿宋_GB2312"/>
                <w:color w:val="auto"/>
                <w:sz w:val="21"/>
                <w:highlight w:val="none"/>
              </w:rPr>
              <w:t>18.提供三维立体星球模型，内含太阳系全览模型、行星模型、卫星模型，支持360°自由旋转、缩放。太阳系全览模型、行星、卫星使用模型嵌套设计，无需切换界面，可从太阳系逐层定位至卫星；提供丰富的地理教学图集，可查看行星的详细数据信息。</w:t>
            </w:r>
          </w:p>
          <w:p w14:paraId="16E40BAE">
            <w:pPr>
              <w:pStyle w:val="4"/>
              <w:jc w:val="both"/>
              <w:rPr>
                <w:color w:val="auto"/>
                <w:highlight w:val="none"/>
              </w:rPr>
            </w:pPr>
            <w:r>
              <w:rPr>
                <w:rFonts w:ascii="仿宋_GB2312" w:hAnsi="仿宋_GB2312" w:eastAsia="仿宋_GB2312" w:cs="仿宋_GB2312"/>
                <w:color w:val="auto"/>
                <w:sz w:val="21"/>
                <w:highlight w:val="none"/>
              </w:rPr>
              <w:t>19.★党建微课视频：提供≥80节党建微课视频，包含革命篇、建设篇、改革篇、复兴篇≥4个篇章。微课内容可在线点播，下载至课件播放。微课视频支持视频关键帧打点标记，播放过程中可一键跳转至标记位置，同时支持一键对视频内容进行截图插入课件。</w:t>
            </w:r>
          </w:p>
        </w:tc>
        <w:tc>
          <w:tcPr>
            <w:tcW w:w="3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1AFD2">
            <w:pPr>
              <w:pStyle w:val="4"/>
              <w:jc w:val="both"/>
              <w:rPr>
                <w:color w:val="auto"/>
                <w:highlight w:val="none"/>
              </w:rPr>
            </w:pPr>
            <w:r>
              <w:rPr>
                <w:rFonts w:ascii="仿宋_GB2312" w:hAnsi="仿宋_GB2312" w:eastAsia="仿宋_GB2312" w:cs="仿宋_GB2312"/>
                <w:color w:val="auto"/>
                <w:sz w:val="21"/>
                <w:highlight w:val="none"/>
              </w:rPr>
              <w:t>40</w:t>
            </w:r>
          </w:p>
        </w:tc>
        <w:tc>
          <w:tcPr>
            <w:tcW w:w="36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1149A5">
            <w:pPr>
              <w:pStyle w:val="4"/>
              <w:jc w:val="center"/>
              <w:rPr>
                <w:color w:val="auto"/>
                <w:highlight w:val="none"/>
              </w:rPr>
            </w:pPr>
            <w:r>
              <w:rPr>
                <w:rFonts w:ascii="仿宋_GB2312" w:hAnsi="仿宋_GB2312" w:eastAsia="仿宋_GB2312" w:cs="仿宋_GB2312"/>
                <w:color w:val="auto"/>
                <w:sz w:val="21"/>
                <w:highlight w:val="none"/>
              </w:rPr>
              <w:t>套</w:t>
            </w:r>
          </w:p>
        </w:tc>
      </w:tr>
      <w:tr w14:paraId="491206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62B85">
            <w:pPr>
              <w:pStyle w:val="4"/>
              <w:jc w:val="center"/>
              <w:rPr>
                <w:color w:val="auto"/>
                <w:highlight w:val="none"/>
              </w:rPr>
            </w:pPr>
            <w:r>
              <w:rPr>
                <w:rFonts w:ascii="仿宋_GB2312" w:hAnsi="仿宋_GB2312" w:eastAsia="仿宋_GB2312" w:cs="仿宋_GB2312"/>
                <w:color w:val="auto"/>
                <w:sz w:val="21"/>
                <w:highlight w:val="none"/>
              </w:rPr>
              <w:t>3</w:t>
            </w:r>
          </w:p>
        </w:tc>
        <w:tc>
          <w:tcPr>
            <w:tcW w:w="4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01587">
            <w:pPr>
              <w:pStyle w:val="4"/>
              <w:jc w:val="center"/>
              <w:rPr>
                <w:color w:val="auto"/>
                <w:highlight w:val="none"/>
              </w:rPr>
            </w:pPr>
            <w:r>
              <w:rPr>
                <w:rFonts w:ascii="仿宋_GB2312" w:hAnsi="仿宋_GB2312" w:eastAsia="仿宋_GB2312" w:cs="仿宋_GB2312"/>
                <w:color w:val="auto"/>
                <w:sz w:val="21"/>
                <w:highlight w:val="none"/>
              </w:rPr>
              <w:t>视频展台</w:t>
            </w:r>
          </w:p>
        </w:tc>
        <w:tc>
          <w:tcPr>
            <w:tcW w:w="34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CA28B2">
            <w:pPr>
              <w:pStyle w:val="4"/>
              <w:rPr>
                <w:color w:val="auto"/>
                <w:highlight w:val="none"/>
              </w:rPr>
            </w:pPr>
            <w:r>
              <w:rPr>
                <w:rFonts w:ascii="仿宋_GB2312" w:hAnsi="仿宋_GB2312" w:eastAsia="仿宋_GB2312" w:cs="仿宋_GB2312"/>
                <w:color w:val="auto"/>
                <w:sz w:val="21"/>
                <w:highlight w:val="none"/>
              </w:rPr>
              <w:t>1.采用≥800万像素摄像头；采用 USB五伏电源直接供电，无需额外配置电源适配器，环保无辐射；箱内USB连线采用隐藏式设计，箱内无可见连线且USB口下出，有效防止积尘，且方便布线和返修；</w:t>
            </w:r>
          </w:p>
          <w:p w14:paraId="45709964">
            <w:pPr>
              <w:pStyle w:val="4"/>
              <w:rPr>
                <w:color w:val="auto"/>
                <w:highlight w:val="none"/>
              </w:rPr>
            </w:pPr>
            <w:r>
              <w:rPr>
                <w:rFonts w:ascii="仿宋_GB2312" w:hAnsi="仿宋_GB2312" w:eastAsia="仿宋_GB2312" w:cs="仿宋_GB2312"/>
                <w:color w:val="auto"/>
                <w:sz w:val="21"/>
                <w:highlight w:val="none"/>
              </w:rPr>
              <w:t>2.A4大小拍摄幅面，≥1080P动态视频预览达到30帧/秒；托板及挂墙部分采用金属加强，整机壁挂式安装；</w:t>
            </w:r>
          </w:p>
          <w:p w14:paraId="4DCD8619">
            <w:pPr>
              <w:pStyle w:val="4"/>
              <w:rPr>
                <w:color w:val="auto"/>
                <w:highlight w:val="none"/>
              </w:rPr>
            </w:pPr>
            <w:r>
              <w:rPr>
                <w:rFonts w:ascii="仿宋_GB2312" w:hAnsi="仿宋_GB2312" w:eastAsia="仿宋_GB2312" w:cs="仿宋_GB2312"/>
                <w:color w:val="auto"/>
                <w:sz w:val="21"/>
                <w:highlight w:val="none"/>
              </w:rPr>
              <w:t>3.支持展台成像画面实时批注，预设多种笔划粗细及颜色供选择，且支持对展台成像画面联同批注内容进行同步缩放、移动；</w:t>
            </w:r>
          </w:p>
          <w:p w14:paraId="5D1CC0EF">
            <w:pPr>
              <w:pStyle w:val="4"/>
              <w:rPr>
                <w:color w:val="auto"/>
                <w:highlight w:val="none"/>
              </w:rPr>
            </w:pPr>
            <w:r>
              <w:rPr>
                <w:rFonts w:ascii="仿宋_GB2312" w:hAnsi="仿宋_GB2312" w:eastAsia="仿宋_GB2312" w:cs="仿宋_GB2312"/>
                <w:color w:val="auto"/>
                <w:sz w:val="21"/>
                <w:highlight w:val="none"/>
              </w:rPr>
              <w:t>4.展示托板正上方具备LED补光灯，保证展示区域的亮度及展示效果；</w:t>
            </w:r>
          </w:p>
          <w:p w14:paraId="72BAAE89">
            <w:pPr>
              <w:pStyle w:val="4"/>
              <w:rPr>
                <w:color w:val="auto"/>
                <w:highlight w:val="none"/>
              </w:rPr>
            </w:pPr>
            <w:r>
              <w:rPr>
                <w:rFonts w:ascii="仿宋_GB2312" w:hAnsi="仿宋_GB2312" w:eastAsia="仿宋_GB2312" w:cs="仿宋_GB2312"/>
                <w:color w:val="auto"/>
                <w:sz w:val="21"/>
                <w:highlight w:val="none"/>
              </w:rPr>
              <w:t>5.支持对展台画面进行放大、缩小、旋转、自适应、冻结画面等操作。</w:t>
            </w:r>
          </w:p>
          <w:p w14:paraId="5C3A9719">
            <w:pPr>
              <w:pStyle w:val="4"/>
              <w:rPr>
                <w:color w:val="auto"/>
                <w:highlight w:val="none"/>
              </w:rPr>
            </w:pPr>
            <w:r>
              <w:rPr>
                <w:rFonts w:ascii="仿宋_GB2312" w:hAnsi="仿宋_GB2312" w:eastAsia="仿宋_GB2312" w:cs="仿宋_GB2312"/>
                <w:color w:val="auto"/>
                <w:sz w:val="21"/>
                <w:highlight w:val="none"/>
              </w:rPr>
              <w:t>6.支持故障自动检测，检测故障原因，并给出解决方案。</w:t>
            </w:r>
            <w:r>
              <w:rPr>
                <w:rFonts w:ascii="仿宋_GB2312" w:hAnsi="仿宋_GB2312" w:eastAsia="仿宋_GB2312" w:cs="仿宋_GB2312"/>
                <w:color w:val="auto"/>
                <w:sz w:val="19"/>
                <w:highlight w:val="none"/>
              </w:rPr>
              <w:t xml:space="preserve"> </w:t>
            </w:r>
          </w:p>
        </w:tc>
        <w:tc>
          <w:tcPr>
            <w:tcW w:w="3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D15EB8">
            <w:pPr>
              <w:pStyle w:val="4"/>
              <w:jc w:val="both"/>
              <w:rPr>
                <w:color w:val="auto"/>
                <w:highlight w:val="none"/>
              </w:rPr>
            </w:pPr>
            <w:r>
              <w:rPr>
                <w:rFonts w:ascii="仿宋_GB2312" w:hAnsi="仿宋_GB2312" w:eastAsia="仿宋_GB2312" w:cs="仿宋_GB2312"/>
                <w:color w:val="auto"/>
                <w:sz w:val="21"/>
                <w:highlight w:val="none"/>
              </w:rPr>
              <w:t>40</w:t>
            </w:r>
          </w:p>
        </w:tc>
        <w:tc>
          <w:tcPr>
            <w:tcW w:w="36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9BDAB">
            <w:pPr>
              <w:pStyle w:val="4"/>
              <w:jc w:val="center"/>
              <w:rPr>
                <w:color w:val="auto"/>
                <w:highlight w:val="none"/>
              </w:rPr>
            </w:pPr>
            <w:r>
              <w:rPr>
                <w:rFonts w:ascii="仿宋_GB2312" w:hAnsi="仿宋_GB2312" w:eastAsia="仿宋_GB2312" w:cs="仿宋_GB2312"/>
                <w:color w:val="auto"/>
                <w:sz w:val="21"/>
                <w:highlight w:val="none"/>
              </w:rPr>
              <w:t>套</w:t>
            </w:r>
          </w:p>
        </w:tc>
      </w:tr>
      <w:tr w14:paraId="76AF06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50D49">
            <w:pPr>
              <w:pStyle w:val="4"/>
              <w:jc w:val="center"/>
              <w:rPr>
                <w:color w:val="auto"/>
                <w:highlight w:val="none"/>
              </w:rPr>
            </w:pPr>
            <w:r>
              <w:rPr>
                <w:rFonts w:ascii="仿宋_GB2312" w:hAnsi="仿宋_GB2312" w:eastAsia="仿宋_GB2312" w:cs="仿宋_GB2312"/>
                <w:color w:val="auto"/>
                <w:sz w:val="21"/>
                <w:highlight w:val="none"/>
              </w:rPr>
              <w:t>4</w:t>
            </w:r>
          </w:p>
        </w:tc>
        <w:tc>
          <w:tcPr>
            <w:tcW w:w="4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E2DCA">
            <w:pPr>
              <w:pStyle w:val="4"/>
              <w:jc w:val="center"/>
              <w:rPr>
                <w:color w:val="auto"/>
                <w:highlight w:val="none"/>
              </w:rPr>
            </w:pPr>
            <w:r>
              <w:rPr>
                <w:rFonts w:ascii="仿宋_GB2312" w:hAnsi="仿宋_GB2312" w:eastAsia="仿宋_GB2312" w:cs="仿宋_GB2312"/>
                <w:color w:val="auto"/>
                <w:sz w:val="21"/>
                <w:highlight w:val="none"/>
              </w:rPr>
              <w:t>集控管理平台</w:t>
            </w:r>
          </w:p>
        </w:tc>
        <w:tc>
          <w:tcPr>
            <w:tcW w:w="34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5876C">
            <w:pPr>
              <w:pStyle w:val="4"/>
              <w:rPr>
                <w:color w:val="auto"/>
                <w:highlight w:val="none"/>
              </w:rPr>
            </w:pPr>
            <w:r>
              <w:rPr>
                <w:rFonts w:ascii="仿宋_GB2312" w:hAnsi="仿宋_GB2312" w:eastAsia="仿宋_GB2312" w:cs="仿宋_GB2312"/>
                <w:color w:val="auto"/>
                <w:sz w:val="21"/>
                <w:highlight w:val="none"/>
              </w:rPr>
              <w:t>1.系统布局：系统基于SaaS布局，应用界面采用B/S架构设计，支持学校管理员在多种不同的操作系统上通过网页浏览器登录进行所有管理指令操作。</w:t>
            </w:r>
          </w:p>
          <w:p w14:paraId="6DE2B42E">
            <w:pPr>
              <w:pStyle w:val="4"/>
              <w:rPr>
                <w:color w:val="auto"/>
                <w:highlight w:val="none"/>
              </w:rPr>
            </w:pPr>
            <w:r>
              <w:rPr>
                <w:rFonts w:ascii="仿宋_GB2312" w:hAnsi="仿宋_GB2312" w:eastAsia="仿宋_GB2312" w:cs="仿宋_GB2312"/>
                <w:color w:val="auto"/>
                <w:sz w:val="21"/>
                <w:highlight w:val="none"/>
              </w:rPr>
              <w:t>2.专属工作台：支持老师根据管理习惯设置显隐组件来定制专属工作台。支持通过设备总览组件快捷查看学校所有设备实时状态及达标情况，以掌握设备应用于教学过程的流畅状态；支持通过设备巡视组件实时了解教室和设备的情况，满足纪律监管、教研评课等场景；支持通过设备使用情况组件了解设备活跃分布及长时间未使用的设备情况，设置智能策略来达到减缓设备寿命衰减的目的。</w:t>
            </w:r>
          </w:p>
          <w:p w14:paraId="3ABED662">
            <w:pPr>
              <w:pStyle w:val="4"/>
              <w:rPr>
                <w:color w:val="auto"/>
                <w:highlight w:val="none"/>
              </w:rPr>
            </w:pPr>
            <w:r>
              <w:rPr>
                <w:rFonts w:ascii="仿宋_GB2312" w:hAnsi="仿宋_GB2312" w:eastAsia="仿宋_GB2312" w:cs="仿宋_GB2312"/>
                <w:color w:val="auto"/>
                <w:sz w:val="21"/>
                <w:highlight w:val="none"/>
              </w:rPr>
              <w:t>3.★数据中心：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w:t>
            </w:r>
          </w:p>
          <w:p w14:paraId="75947EB7">
            <w:pPr>
              <w:pStyle w:val="4"/>
              <w:rPr>
                <w:color w:val="auto"/>
                <w:highlight w:val="none"/>
              </w:rPr>
            </w:pPr>
            <w:r>
              <w:rPr>
                <w:rFonts w:ascii="仿宋_GB2312" w:hAnsi="仿宋_GB2312" w:eastAsia="仿宋_GB2312" w:cs="仿宋_GB2312"/>
                <w:color w:val="auto"/>
                <w:sz w:val="21"/>
                <w:highlight w:val="none"/>
              </w:rPr>
              <w:t>4.设备巡视：支持同时最多查看20个教室的实时摄像头画面、设备屏幕画面；支持在一个显示界面同时查看单个教室内所有屏幕、所有摄像头的实时画面，以及所有麦克风的声音，其中摄像头画面可直接使用班班通自带摄像头，也支持批量将学校已有网络摄像头导入系统内，同场地下的班班通设备会主动和网络摄像头建立连接，巡视时可调用网络摄像头查看教室实时画面；支持自定义切换巡视画面的清晰度，支持在标清/高清/超清等清晰度之间进行切换。单台设备巡视时，支持远程发送文本消息、语音消息、记录备注、听课评价；支持回溯所有管理员的巡视记录。</w:t>
            </w:r>
          </w:p>
          <w:p w14:paraId="32B28413">
            <w:pPr>
              <w:pStyle w:val="4"/>
              <w:rPr>
                <w:color w:val="auto"/>
                <w:highlight w:val="none"/>
              </w:rPr>
            </w:pPr>
            <w:r>
              <w:rPr>
                <w:rFonts w:ascii="仿宋_GB2312" w:hAnsi="仿宋_GB2312" w:eastAsia="仿宋_GB2312" w:cs="仿宋_GB2312"/>
                <w:color w:val="auto"/>
                <w:sz w:val="21"/>
                <w:highlight w:val="none"/>
              </w:rPr>
              <w:t>5.★支持分析解读教师使用数据，提供信息化素养提升建议；支持根据各学科/设备/老师使用数据分析经验丰富的老师，并提供信息化素养提升建议；支持根据不同类型软件的使用明细分析本校常用软件，并提供软件普及、替换或拦截建议。</w:t>
            </w:r>
          </w:p>
          <w:p w14:paraId="0A51F43A">
            <w:pPr>
              <w:pStyle w:val="4"/>
              <w:rPr>
                <w:color w:val="auto"/>
                <w:highlight w:val="none"/>
              </w:rPr>
            </w:pPr>
            <w:r>
              <w:rPr>
                <w:rFonts w:ascii="仿宋_GB2312" w:hAnsi="仿宋_GB2312" w:eastAsia="仿宋_GB2312" w:cs="仿宋_GB2312"/>
                <w:color w:val="auto"/>
                <w:sz w:val="21"/>
                <w:highlight w:val="none"/>
              </w:rPr>
              <w:t>6.★手机看班：支持管理者开启看班服务，开启/关闭看班的管控功能；拥有看班权限的老师可在移动端或PC客户端实时巡班，并进行基础远程管控，方便管理班级。支持管理者为普通老师直接分配、普通老师自行申请后由管理者在平台审核开通的2种方式管理看班的班级权限，所有权限调整均配备操作日志，便于出现问题后回溯原因；支持通过教师、设备维度查看拥有看班的权限明细，并支持快速调整权限。</w:t>
            </w:r>
          </w:p>
          <w:p w14:paraId="21526AB1">
            <w:pPr>
              <w:pStyle w:val="4"/>
              <w:rPr>
                <w:color w:val="auto"/>
                <w:highlight w:val="none"/>
              </w:rPr>
            </w:pPr>
            <w:r>
              <w:rPr>
                <w:rFonts w:ascii="仿宋_GB2312" w:hAnsi="仿宋_GB2312" w:eastAsia="仿宋_GB2312" w:cs="仿宋_GB2312"/>
                <w:color w:val="auto"/>
                <w:sz w:val="21"/>
                <w:highlight w:val="none"/>
              </w:rPr>
              <w:t>7.设备概览：支持实时查看设备当前在离线状态、监管率、联网率、达标率；支持通过五大维度，科学合理监测评估基建设备的稳定性。支持通过网络达标情况了解设备是否常态化联网，网络速率是否满足教学需要；支持通过硬件达标情况了解设备使用年限、CPU/内存/磁盘等硬件的配置；支持通过流畅度达标情况了解设备CPU占用/温度、内存占用、系统盘容量占用的情况，以判断设备是否可以流畅应用于教学环节；支持通过安全达标情况了解设备启用安全防护服务的情况；支持通过设备应用情况来了解设备、教师在教学中的使用情况，包含使用率、软件使用情况、网址访问情况，以辅助判断教师信息化设备利用水平的高低。</w:t>
            </w:r>
          </w:p>
          <w:p w14:paraId="72A09709">
            <w:pPr>
              <w:pStyle w:val="4"/>
              <w:rPr>
                <w:color w:val="auto"/>
                <w:highlight w:val="none"/>
              </w:rPr>
            </w:pPr>
            <w:r>
              <w:rPr>
                <w:rFonts w:ascii="仿宋_GB2312" w:hAnsi="仿宋_GB2312" w:eastAsia="仿宋_GB2312" w:cs="仿宋_GB2312"/>
                <w:color w:val="auto"/>
                <w:sz w:val="21"/>
                <w:highlight w:val="none"/>
              </w:rPr>
              <w:t>8.设备盘点：支持快速筛选全校所有设备网络、硬件、流畅度、安全四大指标的达标状态，快速定位和识别问题设备；支持自定义配置四项指标的达标阈值；支持快速导出全校所有设备的达标明细，方便学校盘点设备使用；</w:t>
            </w:r>
          </w:p>
          <w:p w14:paraId="2D0C5E8D">
            <w:pPr>
              <w:pStyle w:val="4"/>
              <w:rPr>
                <w:color w:val="auto"/>
                <w:highlight w:val="none"/>
              </w:rPr>
            </w:pPr>
            <w:r>
              <w:rPr>
                <w:rFonts w:ascii="仿宋_GB2312" w:hAnsi="仿宋_GB2312" w:eastAsia="仿宋_GB2312" w:cs="仿宋_GB2312"/>
                <w:color w:val="auto"/>
                <w:sz w:val="21"/>
                <w:highlight w:val="none"/>
              </w:rPr>
              <w:t>9.支持实时强制转播时事新闻，设备执行播放任务过程中可由学校老师扫码验证身份后退出本次转播服务执行；支持新闻界面、视频文件等转播方式；支持立即、定时、周循环3种循环模式；支持指定设备定向发布内容；支持查看执行结果和计划列表。</w:t>
            </w:r>
          </w:p>
          <w:p w14:paraId="4EB140D1">
            <w:pPr>
              <w:pStyle w:val="4"/>
              <w:rPr>
                <w:color w:val="auto"/>
                <w:highlight w:val="none"/>
              </w:rPr>
            </w:pPr>
            <w:r>
              <w:rPr>
                <w:rFonts w:ascii="仿宋_GB2312" w:hAnsi="仿宋_GB2312" w:eastAsia="仿宋_GB2312" w:cs="仿宋_GB2312"/>
                <w:color w:val="auto"/>
                <w:sz w:val="21"/>
                <w:highlight w:val="none"/>
              </w:rPr>
              <w:t>10.批量磁盘清理：支持远程批量清理设备磁盘，保障设备磁盘可用空间最大化，从而提升设备运行流畅性、桌面整洁性；支持清理指定磁盘的指定文件夹；支持清理系统盘备份、缓存、日志等垃圾文件；支持迁移系统盘视频、图片、音乐、文档等空间占用较大的文件；支持格式化非系统盘磁盘。</w:t>
            </w:r>
          </w:p>
          <w:p w14:paraId="20922514">
            <w:pPr>
              <w:pStyle w:val="4"/>
              <w:rPr>
                <w:color w:val="auto"/>
                <w:highlight w:val="none"/>
              </w:rPr>
            </w:pPr>
            <w:r>
              <w:rPr>
                <w:rFonts w:ascii="仿宋_GB2312" w:hAnsi="仿宋_GB2312" w:eastAsia="仿宋_GB2312" w:cs="仿宋_GB2312"/>
                <w:color w:val="auto"/>
                <w:sz w:val="21"/>
                <w:highlight w:val="none"/>
              </w:rPr>
              <w:t>11.冰点还原及穿透：支持远程批量设置设备的冰冻状态，支持实时监测设备冰点存在的风险。支持远程向已冰冻的设备发送指令、安装软件，设备接收到后会立即执行，并在设备正常关机时触发穿透动作，穿透完成后，设备即可使用已安装软件、执行已接收指令，且穿透过程中无需人为解冻。</w:t>
            </w:r>
          </w:p>
        </w:tc>
        <w:tc>
          <w:tcPr>
            <w:tcW w:w="3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C34BE">
            <w:pPr>
              <w:pStyle w:val="4"/>
              <w:jc w:val="both"/>
              <w:rPr>
                <w:color w:val="auto"/>
                <w:highlight w:val="none"/>
              </w:rPr>
            </w:pPr>
            <w:r>
              <w:rPr>
                <w:rFonts w:ascii="仿宋_GB2312" w:hAnsi="仿宋_GB2312" w:eastAsia="仿宋_GB2312" w:cs="仿宋_GB2312"/>
                <w:color w:val="auto"/>
                <w:sz w:val="21"/>
                <w:highlight w:val="none"/>
              </w:rPr>
              <w:t>40</w:t>
            </w:r>
          </w:p>
        </w:tc>
        <w:tc>
          <w:tcPr>
            <w:tcW w:w="36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7D360">
            <w:pPr>
              <w:pStyle w:val="4"/>
              <w:jc w:val="center"/>
              <w:rPr>
                <w:color w:val="auto"/>
                <w:highlight w:val="none"/>
              </w:rPr>
            </w:pPr>
            <w:r>
              <w:rPr>
                <w:rFonts w:ascii="仿宋_GB2312" w:hAnsi="仿宋_GB2312" w:eastAsia="仿宋_GB2312" w:cs="仿宋_GB2312"/>
                <w:color w:val="auto"/>
                <w:sz w:val="21"/>
                <w:highlight w:val="none"/>
              </w:rPr>
              <w:t>套</w:t>
            </w:r>
          </w:p>
        </w:tc>
      </w:tr>
      <w:tr w14:paraId="6B3E81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F7A67">
            <w:pPr>
              <w:pStyle w:val="4"/>
              <w:jc w:val="center"/>
              <w:rPr>
                <w:color w:val="auto"/>
                <w:highlight w:val="none"/>
              </w:rPr>
            </w:pPr>
            <w:r>
              <w:rPr>
                <w:rFonts w:ascii="仿宋_GB2312" w:hAnsi="仿宋_GB2312" w:eastAsia="仿宋_GB2312" w:cs="仿宋_GB2312"/>
                <w:color w:val="auto"/>
                <w:sz w:val="21"/>
                <w:highlight w:val="none"/>
              </w:rPr>
              <w:t>5</w:t>
            </w:r>
          </w:p>
        </w:tc>
        <w:tc>
          <w:tcPr>
            <w:tcW w:w="48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3264F">
            <w:pPr>
              <w:pStyle w:val="4"/>
              <w:jc w:val="center"/>
              <w:rPr>
                <w:color w:val="auto"/>
                <w:highlight w:val="none"/>
              </w:rPr>
            </w:pPr>
            <w:r>
              <w:rPr>
                <w:rFonts w:ascii="仿宋_GB2312" w:hAnsi="仿宋_GB2312" w:eastAsia="仿宋_GB2312" w:cs="仿宋_GB2312"/>
                <w:color w:val="auto"/>
                <w:sz w:val="21"/>
                <w:highlight w:val="none"/>
              </w:rPr>
              <w:t>安装调试</w:t>
            </w:r>
          </w:p>
        </w:tc>
        <w:tc>
          <w:tcPr>
            <w:tcW w:w="344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23E309">
            <w:pPr>
              <w:pStyle w:val="4"/>
              <w:jc w:val="left"/>
              <w:rPr>
                <w:color w:val="auto"/>
                <w:highlight w:val="none"/>
              </w:rPr>
            </w:pPr>
            <w:r>
              <w:rPr>
                <w:rFonts w:ascii="仿宋_GB2312" w:hAnsi="仿宋_GB2312" w:eastAsia="仿宋_GB2312" w:cs="仿宋_GB2312"/>
                <w:color w:val="auto"/>
                <w:sz w:val="21"/>
                <w:highlight w:val="none"/>
              </w:rPr>
              <w:t>1.硬件设备安装调试及旧设备拆除；</w:t>
            </w:r>
          </w:p>
          <w:p w14:paraId="5D989274">
            <w:pPr>
              <w:pStyle w:val="4"/>
              <w:jc w:val="left"/>
              <w:rPr>
                <w:color w:val="auto"/>
                <w:highlight w:val="none"/>
              </w:rPr>
            </w:pPr>
            <w:r>
              <w:rPr>
                <w:rFonts w:ascii="仿宋_GB2312" w:hAnsi="仿宋_GB2312" w:eastAsia="仿宋_GB2312" w:cs="仿宋_GB2312"/>
                <w:color w:val="auto"/>
                <w:sz w:val="21"/>
                <w:highlight w:val="none"/>
              </w:rPr>
              <w:t>2.软件系统安装和调试。</w:t>
            </w:r>
          </w:p>
        </w:tc>
        <w:tc>
          <w:tcPr>
            <w:tcW w:w="3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EAC9B">
            <w:pPr>
              <w:pStyle w:val="4"/>
              <w:jc w:val="center"/>
              <w:rPr>
                <w:color w:val="auto"/>
                <w:highlight w:val="none"/>
              </w:rPr>
            </w:pPr>
            <w:r>
              <w:rPr>
                <w:rFonts w:ascii="仿宋_GB2312" w:hAnsi="仿宋_GB2312" w:eastAsia="仿宋_GB2312" w:cs="仿宋_GB2312"/>
                <w:color w:val="auto"/>
                <w:sz w:val="21"/>
                <w:highlight w:val="none"/>
              </w:rPr>
              <w:t>套</w:t>
            </w:r>
          </w:p>
        </w:tc>
        <w:tc>
          <w:tcPr>
            <w:tcW w:w="36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87DB6">
            <w:pPr>
              <w:pStyle w:val="4"/>
              <w:jc w:val="center"/>
              <w:rPr>
                <w:color w:val="auto"/>
                <w:highlight w:val="none"/>
              </w:rPr>
            </w:pPr>
            <w:r>
              <w:rPr>
                <w:rFonts w:ascii="仿宋_GB2312" w:hAnsi="仿宋_GB2312" w:eastAsia="仿宋_GB2312" w:cs="仿宋_GB2312"/>
                <w:color w:val="auto"/>
                <w:sz w:val="21"/>
                <w:highlight w:val="none"/>
              </w:rPr>
              <w:t>40</w:t>
            </w:r>
          </w:p>
        </w:tc>
      </w:tr>
    </w:tbl>
    <w:p w14:paraId="482A6013">
      <w:pPr>
        <w:pStyle w:val="4"/>
        <w:jc w:val="both"/>
        <w:rPr>
          <w:color w:val="auto"/>
          <w:highlight w:val="none"/>
        </w:rPr>
      </w:pPr>
      <w:r>
        <w:rPr>
          <w:rFonts w:ascii="仿宋_GB2312" w:hAnsi="仿宋_GB2312" w:eastAsia="仿宋_GB2312" w:cs="仿宋_GB2312"/>
          <w:color w:val="auto"/>
          <w:sz w:val="21"/>
          <w:highlight w:val="none"/>
        </w:rPr>
        <w:t>2.4演示要求：</w:t>
      </w:r>
    </w:p>
    <w:p w14:paraId="3BF03341">
      <w:pPr>
        <w:pStyle w:val="4"/>
        <w:ind w:firstLine="420"/>
        <w:jc w:val="both"/>
        <w:rPr>
          <w:color w:val="auto"/>
          <w:highlight w:val="none"/>
        </w:rPr>
      </w:pPr>
      <w:r>
        <w:rPr>
          <w:rFonts w:ascii="仿宋_GB2312" w:hAnsi="仿宋_GB2312" w:eastAsia="仿宋_GB2312" w:cs="仿宋_GB2312"/>
          <w:color w:val="auto"/>
          <w:sz w:val="21"/>
          <w:highlight w:val="none"/>
        </w:rPr>
        <w:t>1.各供应商仅能派一名技术人员进行现场演示。实物进行现场演示，演示时间不超过15分钟；</w:t>
      </w:r>
    </w:p>
    <w:p w14:paraId="1714B4F9">
      <w:pPr>
        <w:pStyle w:val="4"/>
        <w:ind w:firstLine="420"/>
        <w:jc w:val="both"/>
        <w:rPr>
          <w:color w:val="auto"/>
          <w:highlight w:val="none"/>
        </w:rPr>
      </w:pPr>
      <w:r>
        <w:rPr>
          <w:rFonts w:ascii="仿宋_GB2312" w:hAnsi="仿宋_GB2312" w:eastAsia="仿宋_GB2312" w:cs="仿宋_GB2312"/>
          <w:color w:val="auto"/>
          <w:sz w:val="21"/>
          <w:highlight w:val="none"/>
        </w:rPr>
        <w:t>2.供应商不演示或功能演示不完整的，视为无效响应；</w:t>
      </w:r>
    </w:p>
    <w:p w14:paraId="47179BD5">
      <w:pPr>
        <w:pStyle w:val="4"/>
        <w:ind w:firstLine="420"/>
        <w:jc w:val="both"/>
        <w:rPr>
          <w:color w:val="auto"/>
          <w:highlight w:val="none"/>
        </w:rPr>
      </w:pPr>
      <w:r>
        <w:rPr>
          <w:rFonts w:ascii="仿宋_GB2312" w:hAnsi="仿宋_GB2312" w:eastAsia="仿宋_GB2312" w:cs="仿宋_GB2312"/>
          <w:color w:val="auto"/>
          <w:sz w:val="21"/>
          <w:highlight w:val="none"/>
        </w:rPr>
        <w:t>3.演示样机须为投标拟供货型号整机，若使用高配样机、工程样机替代批量供货机型等，视为无效响应。</w:t>
      </w:r>
    </w:p>
    <w:p w14:paraId="122D13CF">
      <w:pPr>
        <w:rPr>
          <w:color w:val="auto"/>
          <w:highlight w:val="none"/>
        </w:rPr>
      </w:pPr>
      <w:r>
        <w:rPr>
          <w:rFonts w:ascii="仿宋_GB2312" w:hAnsi="仿宋_GB2312" w:eastAsia="仿宋_GB2312" w:cs="仿宋_GB2312"/>
          <w:color w:val="auto"/>
          <w:sz w:val="21"/>
          <w:highlight w:val="none"/>
        </w:rPr>
        <w:t>2.5合同履行期限：自合同签订之日起至质保期结束。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306AE0"/>
    <w:rsid w:val="7A306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2026-08-22T15:19:00Z</dcterms:created>
  <dc:creator>Summer</dc:creator>
  <cp:lastModifiedBy>Summer</cp:lastModifiedBy>
  <dcterms:modified xsi:type="dcterms:W3CDTF">2026-08-22T15:19:45Z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03C575FF51DD45339D5E5D1134FFC6CC_11</vt:lpwstr>
  </property>
  <property fmtid="{D5CDD505-2E9C-101B-9397-08002B2CF9AE}" pid="4" name="KSOTemplateDocerSaveRecord">
    <vt:lpwstr>eyJoZGlkIjoiMWY3Nzc4MGZiNjQzMTVmMDc1OWRhZDhiOTgyM2ViOGIiLCJ1c2VySWQiOiIyMzczOTcxMTEifQ==</vt:lpwstr>
  </property>
</Properties>
</file>