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版本号：HXTC-ZFCG-南郑区-2026060920260610001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2026年南郑区高台镇东风村粪污资源化利用液体有机肥生产线项目（工程建设）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HXTC-ZFCG-南郑区-20260609</w:t>
      </w:r>
      <w:r>
        <w:br/>
      </w:r>
      <w:r>
        <w:br/>
      </w:r>
      <w:r>
        <w:br/>
      </w:r>
    </w:p>
    <w:p>
      <w:pPr>
        <w:pStyle w:val="null3"/>
        <w:jc w:val="center"/>
        <w:outlineLvl w:val="2"/>
      </w:pPr>
      <w:r>
        <w:rPr>
          <w:rFonts w:ascii="仿宋_GB2312" w:hAnsi="仿宋_GB2312" w:cs="仿宋_GB2312" w:eastAsia="仿宋_GB2312"/>
          <w:sz w:val="28"/>
          <w:b/>
        </w:rPr>
        <w:t>汉中市南郑区高台镇人民政府</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汉中市南郑区高台镇人民政府</w:t>
      </w:r>
      <w:r>
        <w:rPr>
          <w:rFonts w:ascii="仿宋_GB2312" w:hAnsi="仿宋_GB2312" w:cs="仿宋_GB2312" w:eastAsia="仿宋_GB2312"/>
        </w:rPr>
        <w:t>委托，拟对</w:t>
      </w:r>
      <w:r>
        <w:rPr>
          <w:rFonts w:ascii="仿宋_GB2312" w:hAnsi="仿宋_GB2312" w:cs="仿宋_GB2312" w:eastAsia="仿宋_GB2312"/>
        </w:rPr>
        <w:t>2026年南郑区高台镇东风村粪污资源化利用液体有机肥生产线项目（工程建设）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HXTC-ZFCG-南郑区-20260609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2026年南郑区高台镇东风村粪污资源化利用液体有机肥生产线项目（工程建设）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南郑区高台镇东风村粪污资源化利用液体有机肥生产线项目（工程建设），1项，主要工程内容包含：钢结构屋面，钢墙架，玻璃丝绵屋面板及墙面板，设备间混凝土地面，设备间墙面抹灰，厂房四周室外墙面抹灰等（具体内容详见本项目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采购包1（2026年南郑区高台镇东风村粪污资源化利用液体有机肥生产线项目（工程建设））：属于专门面向中小企业采购。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p>
      <w:pPr>
        <w:pStyle w:val="null3"/>
      </w:pPr>
      <w:r>
        <w:rPr>
          <w:rFonts w:ascii="仿宋_GB2312" w:hAnsi="仿宋_GB2312" w:cs="仿宋_GB2312" w:eastAsia="仿宋_GB2312"/>
        </w:rPr>
        <w:t>2、具有履行合同所必须的设备和专业技术能力：供应商须具备建设行政主管部门核发的[钢结构工程专业承包]三级（含三级）及以上资质等级，且具有有效的安全生产许可证并在有效期内【注：①提供加盖公章的证照复印件；②供应商基本信息及项目负责人的基本信息应在“陕西省住房和城乡建设厅综合服务中心”或“全国建筑市场监管公共服务平台（四库一平台）”可查询，提供完整的网页截图，企业信息确认在有效期内且无不良行为记录，并加盖供应商公章。供应商需在本项目电子化交易系统中按要求上传相关证明文件并签章】：具有履行合同所必须的设备和专业技术能力：供应商须具备建设行政主管部门核发的[钢结构工程专业承包]三级（含三级）及以上资质等级，且具有有效的安全生产许可证并在有效期内，供应商需在本项目电子化交易系统中按要求上传相关证明文件并签章；</w:t>
      </w:r>
    </w:p>
    <w:p>
      <w:pPr>
        <w:pStyle w:val="null3"/>
      </w:pPr>
      <w:r>
        <w:rPr>
          <w:rFonts w:ascii="仿宋_GB2312" w:hAnsi="仿宋_GB2312" w:cs="仿宋_GB2312" w:eastAsia="仿宋_GB2312"/>
        </w:rPr>
        <w:t>3、拟派项目负责人执业资格和专业要求：拟派项目负责人须具备[建筑工程专业]注册建造师二级（含二级）及以上执业资格和安全生产考核合格B证，且无在建项目、无不良信用记录【注：①提供项目负责人证照复印件（职称证、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电子签章】：拟派项目负责人执业资格和专业要求：拟派项目负责人须具备[建筑工程专业]注册建造师二级（含二级）及以上执业资格和安全生产考核合格B证，且无在建项目、无不良信用记录，供应商需在本项目电子化交易系统中按要求上传相关证明文件并签章；</w:t>
      </w:r>
    </w:p>
    <w:p>
      <w:pPr>
        <w:pStyle w:val="null3"/>
      </w:pPr>
      <w:r>
        <w:rPr>
          <w:rFonts w:ascii="仿宋_GB2312" w:hAnsi="仿宋_GB2312" w:cs="仿宋_GB2312" w:eastAsia="仿宋_GB2312"/>
        </w:rPr>
        <w:t>4、供应商应授权合法的人员参加本次竞争性磋商活动：其中法定代表人直接参加的，须出具法人身份证，并与营业执照上信息一致；授权代表参加的，须出具法定代表人授权书及被授权人身份证【注：提供加盖公章的证照复印件】：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p>
      <w:pPr>
        <w:pStyle w:val="null3"/>
      </w:pPr>
      <w:r>
        <w:rPr>
          <w:rFonts w:ascii="仿宋_GB2312" w:hAnsi="仿宋_GB2312" w:cs="仿宋_GB2312" w:eastAsia="仿宋_GB2312"/>
        </w:rPr>
        <w:t>5、本项目不接受联合体磋商，单位负责人为同一人或者存在控股、管理关系的不同单位不得同时参与本项目磋商响应【注：提供“供应商非联合体”声明函】：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p>
      <w:pPr>
        <w:pStyle w:val="null3"/>
      </w:pPr>
      <w:r>
        <w:rPr>
          <w:rFonts w:ascii="仿宋_GB2312" w:hAnsi="仿宋_GB2312" w:cs="仿宋_GB2312" w:eastAsia="仿宋_GB2312"/>
        </w:rPr>
        <w:t>7、供应商按规定缴纳了磋商保证金或提供磋商担保函【注：提供加盖公章的复印件。供应商需在本项目电子化交易系统中按要求上传相关证明文件并电子签章】：按规定缴纳了磋商保证金或提供磋商担保函看，供应商需在本项目电子化交易系统中按要求上传相关证明文件并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汉中市南郑区高台镇人民政府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汉中市南郑区高台镇高台街19号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汉中市南郑区高台镇人民政府经办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0916-5572133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陕西省汉中市汉台区将坛西路南侧35号颐馨园小区东单元十一楼1101室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0916-2524867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开户名称：华兴天成项目咨询有限公司汉中分公司</w:t>
            </w:r>
          </w:p>
          <w:p>
            <w:pPr>
              <w:pStyle w:val="null3"/>
            </w:pPr>
            <w:r>
              <w:rPr>
                <w:rFonts w:ascii="仿宋_GB2312" w:hAnsi="仿宋_GB2312" w:cs="仿宋_GB2312" w:eastAsia="仿宋_GB2312"/>
              </w:rPr>
              <w:t>开户银行：中国银行股份有限公司汉中天汉大道支行</w:t>
            </w:r>
          </w:p>
          <w:p>
            <w:pPr>
              <w:pStyle w:val="null3"/>
            </w:pPr>
            <w:r>
              <w:rPr>
                <w:rFonts w:ascii="仿宋_GB2312" w:hAnsi="仿宋_GB2312" w:cs="仿宋_GB2312" w:eastAsia="仿宋_GB2312"/>
              </w:rPr>
              <w:t>银行账号：1024 8277 3591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说明：具体内容甲乙双方合同内约定。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改委办公厅颁发的《关于采购代理服务收费有关问题的通知》（发改办价格[2003] 857号）、《国家发展改革委关于降低部分建设项目收费标准规范收费行为等有关问题的通知》（发改价格[2011]534号）的有关规定执行或双方合同约定。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汉中市南郑区高台镇人民政府</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汉中市南郑区高台镇人民政府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汉中市南郑区高台镇人民政府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符合国家及行业现行技术规范标准，具体内容甲乙双方合同内约定或按照建设工程施工合同范本（GF—2017—0201）内容执行。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联系人：鲁清</w:t>
      </w:r>
    </w:p>
    <w:p>
      <w:pPr>
        <w:pStyle w:val="null3"/>
      </w:pPr>
      <w:r>
        <w:rPr>
          <w:rFonts w:ascii="仿宋_GB2312" w:hAnsi="仿宋_GB2312" w:cs="仿宋_GB2312" w:eastAsia="仿宋_GB2312"/>
        </w:rPr>
        <w:t>联系电话：18691605987</w:t>
      </w:r>
    </w:p>
    <w:p>
      <w:pPr>
        <w:pStyle w:val="null3"/>
      </w:pPr>
      <w:r>
        <w:rPr>
          <w:rFonts w:ascii="仿宋_GB2312" w:hAnsi="仿宋_GB2312" w:cs="仿宋_GB2312" w:eastAsia="仿宋_GB2312"/>
        </w:rPr>
        <w:t>地址：陕西省汉中市汉台区将坛西路南侧35号颐馨园小区东单元十一楼1101室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897,882.99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2026年南郑区高台镇东风村粪污资源化利用液体有机肥生产线项目（工程建设）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标的名称：2026年南郑区高台镇东风村粪污资源化利用液体有机肥生产线项目（工程建设）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1、工程概况：2026年南郑区高台镇东风村粪污资源化利用液体有机肥生产线项目（工程建设），1项，主要工程内容包含：钢结构屋面，钢墙架，玻璃丝绵屋面板及墙面板，设备间混凝土地面，设备间墙面抹灰，厂房四周室外墙面抹灰等（具体内容详见本项目施工图纸及工程量清单）。</w:t>
            </w:r>
          </w:p>
          <w:p>
            <w:pPr>
              <w:pStyle w:val="null3"/>
              <w:jc w:val="left"/>
            </w:pPr>
            <w:r>
              <w:rPr>
                <w:rFonts w:ascii="仿宋_GB2312" w:hAnsi="仿宋_GB2312" w:cs="仿宋_GB2312" w:eastAsia="仿宋_GB2312"/>
                <w:sz w:val="21"/>
              </w:rPr>
              <w:t>2、施工范围：本项目施工图纸、设计文件及工程量清单范围内全部工程内容。</w:t>
            </w:r>
          </w:p>
          <w:p>
            <w:pPr>
              <w:pStyle w:val="null3"/>
              <w:jc w:val="left"/>
            </w:pPr>
            <w:r>
              <w:rPr>
                <w:rFonts w:ascii="仿宋_GB2312" w:hAnsi="仿宋_GB2312" w:cs="仿宋_GB2312" w:eastAsia="仿宋_GB2312"/>
                <w:sz w:val="21"/>
              </w:rPr>
              <w:t>3、施工地点：位于汉中市南郑区高台镇东风村。</w:t>
            </w:r>
          </w:p>
          <w:p>
            <w:pPr>
              <w:pStyle w:val="null3"/>
              <w:jc w:val="left"/>
            </w:pPr>
            <w:r>
              <w:rPr>
                <w:rFonts w:ascii="仿宋_GB2312" w:hAnsi="仿宋_GB2312" w:cs="仿宋_GB2312" w:eastAsia="仿宋_GB2312"/>
                <w:sz w:val="21"/>
              </w:rPr>
              <w:t>4、计划工期（合同履行期限）：合同签订后90日历天（具体服务起止日期可随合同签订时间相应顺延）。</w:t>
            </w:r>
          </w:p>
          <w:p>
            <w:pPr>
              <w:pStyle w:val="null3"/>
              <w:jc w:val="left"/>
            </w:pPr>
            <w:r>
              <w:rPr>
                <w:rFonts w:ascii="仿宋_GB2312" w:hAnsi="仿宋_GB2312" w:cs="仿宋_GB2312" w:eastAsia="仿宋_GB2312"/>
                <w:sz w:val="21"/>
              </w:rPr>
              <w:t>5、工程质量要求：交工验收的质量评定：合格；竣工验收的质量评定：合格；质量达到建筑工程合格标准，并满足国家相关标准、规范及有关技术文件要求。</w:t>
            </w:r>
          </w:p>
          <w:p>
            <w:pPr>
              <w:pStyle w:val="null3"/>
              <w:jc w:val="left"/>
            </w:pPr>
            <w:r>
              <w:rPr>
                <w:rFonts w:ascii="仿宋_GB2312" w:hAnsi="仿宋_GB2312" w:cs="仿宋_GB2312" w:eastAsia="仿宋_GB2312"/>
                <w:sz w:val="21"/>
              </w:rPr>
              <w:t>6、安全目标：无安全责任事故发生。</w:t>
            </w:r>
          </w:p>
          <w:p>
            <w:pPr>
              <w:pStyle w:val="null3"/>
              <w:jc w:val="left"/>
            </w:pPr>
            <w:r>
              <w:rPr>
                <w:rFonts w:ascii="仿宋_GB2312" w:hAnsi="仿宋_GB2312" w:cs="仿宋_GB2312" w:eastAsia="仿宋_GB2312"/>
                <w:sz w:val="21"/>
              </w:rPr>
              <w:t>7、工程质量保修期：2年（自工程竣工初验合格之日起计算，若该质量保修期小于国家标准，则以国家最新标准为准）。</w:t>
            </w:r>
          </w:p>
          <w:p>
            <w:pPr>
              <w:pStyle w:val="null3"/>
            </w:pPr>
            <w:r>
              <w:rPr>
                <w:rFonts w:ascii="仿宋_GB2312" w:hAnsi="仿宋_GB2312" w:cs="仿宋_GB2312" w:eastAsia="仿宋_GB2312"/>
                <w:sz w:val="21"/>
              </w:rPr>
              <w:t>8、其他权利与义务：满足竞争性磋商文件要求。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·GB 55001‑2021 工程结构通用规范 ·GB 55002‑2021 建筑与市政工程抗震通用规范· ·GB 55003‑2021 建筑与市政地基基础通用规范 ·GB 55006?2021 钢结构通用规范/ GB 55007?2021 砌体结构通用规范/ GB 55008?2021 混凝土结构通用规范 ·GB 55015‑2021 建筑节能与可再生能源利用通用规范 ·GB 55030‑2022 建筑与市政工程防水通用规范 ·GB 55032‑2022 建筑与市政工程施工质量控制通用规范 ·GB 55023?2022 施工脚手架通用规范/ GB 55034?2022 建筑与市政施工现场安全卫生与职业健康通用规范 注：本工程须执行国家、行业及陕西省现行有效的工程建设标准强制性条文及上述规范标准。当标准有更新时，按最新版本执行。未列明的但涉及本工程施工的相关规范、规程亦须遵照执行。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1.本项目工程概述： （1）本工程为2026年南郑区高台镇东风村粪污资源化利用液体有机肥生产线项目（工程建设）。主要包含工作内容：钢结构屋面，钢墙架，玻璃丝绵屋面板及墙面板，设备间混凝土地面，设备间墙面抹灰，厂房四周室外墙面抹灰等。 2.编制依据： （1）2026年南郑区高台镇东风村粪污资源化利用液体有机肥生产线项目（工程建设）施工图； （2）《陕西省工程建设标准之建设工程工程量清单计价标准》（2025）； （3）《陕西省工程建设标准之工程量计算标准》（2025）； （4）《陕西省建设工程费用规则（2025）》。 3.有关问题说明： （1）本项目混凝土按商品混凝土编制计算； （2）本项目砂浆按现场搅拌砂浆编制计算； （3）100厚玻璃丝绵夹芯板墙面（含防水卷材）暂定材料价180元/㎡； （4）100厚玻璃丝绵夹芯板屋面（含防水卷材）暂定材料价185元/㎡； （5）所有厌氧池土建及结构不在本次发包范围内； （6）甲烷气体探测系统，由甲方委托工艺方二次深化设计，暂未计算； （7）结构说明6.7条，檩条采用热浸镀锌防腐，经咨询设计檩条构件为：屋面檩条及墙面檩条； （8）防火涂料类型建筑与设计不一致，经咨询设计，按结构设计非膨胀防火涂料计算，钢屋架同钢梁耐火极限及厚度； （9）该工程预留暂列金：45000.00元。 4.本工程量清单编制软件采用：广联达云计价平台 GCCP7.0。 5.磋商报价要求：（1）本项目设有最高限价，最高限价经财政评审后，金额：¥897,882.99元（大写：捌拾玖万柒仟捌佰捌拾贰元玖角玖分），供应商的磋商响应报价超过最高限价的，视为未响应竞争性磋商文件要求，其磋商响应文件按无效响应处理。（2）供应商各轮次磋商总报价不得超过采购预算金额（最高限价），且满足磋商文件中不正当竞争预防措施（实质性要求）内容。 6.其他：（1）本采购项目的材料、设备、施工须达到所涉及到的现行中华人民共和国以及省、自治区、直辖市或行业的工程建设标准、规范的要求；（2）该项工程项目的材料、设备、施工除须达到以上标准外，还应满足方案设计要求和采购人在竞争性磋商文件中的有关要求；（3）该工程项目的材料、设备、施工如无上述1、2条的标准，在材料、设备的定货采购和施工安装时，应出具生产厂家或施工安装企业在技术监督部门已备案企业标准，并经采购人批准后方可实施。</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1.项目名称：2026年南郑区高台镇东风村粪污资源化利用液体有机肥生产线项目（工程建设）； 2.为顺利推进政府采购电子化交易平台应用工作，供应商务必在开标截止时间30分钟前，通过项目电子化交易系统进行签到，如未进行签到，产生的一切后果由供应商自行承担。 3.供应商应认真核实本项目的工程量清单。磋商响应报价是供应商响应本项目要求的全部工作内容的价格体现，包括施工机械使用费、人工费、材料与设备费、其他(运杂费、质检费、安装费、缺陷修复费、保险费，以及合同明示或暗示的风险、责任和义务等)，以及管理费、税金、利润等所有费用，并符合建设工程计价规则。磋商文件未列明，而供应商认为应当计取的费用均应列入报价中。报价时不论是否计取，采购人均按已计取对待。各供应商所有分项报价（与最后磋商报价比例一致）同比例下浮。 4.签名是指手写签名或者加盖名章，盖章是指加盖单位印章。 5.本项目所属行业为建筑业。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须的设备和专业技术能力：供应商须具备建设行政主管部门核发的[钢结构工程专业承包]三级（含三级）及以上资质等级，且具有有效的安全生产许可证并在有效期内【注：①提供加盖公章的证照复印件；②供应商基本信息及项目负责人的基本信息应在“陕西省住房和城乡建设厅综合服务中心”或“全国建筑市场监管公共服务平台（四库一平台）”可查询，提供完整的网页截图，企业信息确认在有效期内且无不良行为记录，并加盖供应商公章。供应商需在本项目电子化交易系统中按要求上传相关证明文件并签章】</w:t>
            </w:r>
          </w:p>
        </w:tc>
        <w:tc>
          <w:tcPr>
            <w:tcW w:type="dxa" w:w="3322"/>
          </w:tcPr>
          <w:p>
            <w:pPr>
              <w:pStyle w:val="null3"/>
            </w:pPr>
            <w:r>
              <w:rPr>
                <w:rFonts w:ascii="仿宋_GB2312" w:hAnsi="仿宋_GB2312" w:cs="仿宋_GB2312" w:eastAsia="仿宋_GB2312"/>
              </w:rPr>
              <w:t>具有履行合同所必须的设备和专业技术能力：供应商须具备建设行政主管部门核发的[钢结构工程专业承包]三级（含三级）及以上资质等级，且具有有效的安全生产许可证并在有效期内，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执业资格和专业要求：拟派项目负责人须具备[建筑工程专业]注册建造师二级（含二级）及以上执业资格和安全生产考核合格B证，且无在建项目、无不良信用记录【注：①提供项目负责人证照复印件（职称证、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拟派项目负责人执业资格和专业要求：拟派项目负责人须具备[建筑工程专业]注册建造师二级（含二级）及以上执业资格和安全生产考核合格B证，且无在建项目、无不良信用记录，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注：提供加盖公章的证照复印件】</w:t>
            </w:r>
          </w:p>
        </w:tc>
        <w:tc>
          <w:tcPr>
            <w:tcW w:type="dxa" w:w="332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本项目不接受联合体磋商，单位负责人为同一人或者存在控股、管理关系的不同单位不得同时参与本项目磋商响应【注：提供“供应商非联合体”声明函】</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w:t>
            </w:r>
          </w:p>
        </w:tc>
        <w:tc>
          <w:tcPr>
            <w:tcW w:type="dxa" w:w="332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供应商按规定缴纳了磋商保证金或提供磋商担保函【注：提供加盖公章的复印件。供应商需在本项目电子化交易系统中按要求上传相关证明文件并电子签章】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按规定缴纳了磋商保证金或提供磋商担保函看，供应商需在本项目电子化交易系统中按要求上传相关证明文件并签章。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①施工方案；</w:t>
            </w:r>
          </w:p>
        </w:tc>
        <w:tc>
          <w:tcPr>
            <w:tcW w:type="dxa" w:w="2492"/>
          </w:tcPr>
          <w:p>
            <w:pPr>
              <w:pStyle w:val="null3"/>
            </w:pPr>
            <w:r>
              <w:rPr>
                <w:rFonts w:ascii="仿宋_GB2312" w:hAnsi="仿宋_GB2312" w:cs="仿宋_GB2312" w:eastAsia="仿宋_GB2312"/>
              </w:rPr>
              <w:t>一、评审内容：供应商针对项目编制完善的施工方案，内容包含：①工程重难点及解决措施；②各类工程施工方法；③施工质量通病防治措施。 二、评审标准： 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 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 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三、赋分标准：（1）根据供应商响应程度，以上评审内容均完整、有针对性且实施性较强的，得满分9分； （2）其中每有一条评审内容缺项的，扣3分； （3）每项评审内容中若有一处完整性、针对性及可实施性有缺陷或与项目不匹配的，扣1分，扣完为止。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附件1：综合评分明细表：①施工方案.docx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②资源配置计划；</w:t>
            </w:r>
          </w:p>
        </w:tc>
        <w:tc>
          <w:tcPr>
            <w:tcW w:type="dxa" w:w="2492"/>
          </w:tcPr>
          <w:p>
            <w:pPr>
              <w:pStyle w:val="null3"/>
            </w:pPr>
            <w:r>
              <w:rPr>
                <w:rFonts w:ascii="仿宋_GB2312" w:hAnsi="仿宋_GB2312" w:cs="仿宋_GB2312" w:eastAsia="仿宋_GB2312"/>
              </w:rPr>
              <w:t>一、评审内容：供应商针对项目编制完善的资源配置计划，内容包含：①劳动力资源配置计划；②施工机械设备投入计划；③主要施工材料供应计划。 二、评审标准：1、完整性：（1）完整性强：方案内容全面、系统，涵盖项目的所有关键环节和工作任务，无遗漏，且各部分逻辑衔接紧密；（2）较完整：方案结构基本完整，覆盖项目的主要环节和工作内容，仅缺少少量非关键性细节；（3）完整性一般：计划对大部分环节有涉及，但存在若干重要环节或必要内容缺失，影响整体实施；（4）缺乏完整性：方案缺失多个关键环节或核心内容，无法支撑项目顺利推进，存在明显不完善之处。 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 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三、赋分标准：（1）根据供应商响应程度，以上评审内容均完整、有针对性且实施性较强的，得满分9分； （2）其中每有一条评审内容缺项的，扣3分； （3）每项评审内容中若有一处完整性、针对性及可实施性有缺陷或与项目不匹配的，扣1分，扣完为止。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附件2：综合评分明细表：②资源配置计划.docx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③施工进度计划；</w:t>
            </w:r>
          </w:p>
        </w:tc>
        <w:tc>
          <w:tcPr>
            <w:tcW w:type="dxa" w:w="2492"/>
          </w:tcPr>
          <w:p>
            <w:pPr>
              <w:pStyle w:val="null3"/>
            </w:pPr>
            <w:r>
              <w:rPr>
                <w:rFonts w:ascii="仿宋_GB2312" w:hAnsi="仿宋_GB2312" w:cs="仿宋_GB2312" w:eastAsia="仿宋_GB2312"/>
              </w:rPr>
              <w:t>一、评审内容：供应商针对项目编制完善的施工进度计划，内容包含：①施工进度计划横道图或网络图，关键线路清晰；②进度计划保证措施；③工期保证措施。 二、评审标准： 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 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 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三、赋分标准：（1）根据供应商响应程度，以上评审内容均完整、有针对性且实施性较强的，得满分9分； （2）其中每有一条评审内容缺项的，扣3分； （3）每项评审内容中若有一处完整性、针对性及可实施性有缺陷或与项目不匹配的，扣1分，扣完为止。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附件3：综合评分明细表：③施工进度计划.docx</w:t>
            </w:r>
          </w:p>
        </w:tc>
      </w:tr>
      <w:tr>
        <w:tc>
          <w:tcPr>
            <w:tcW w:type="dxa" w:w="831"/>
            <w:vMerge/>
          </w:tcPr>
          <w:p/>
        </w:tc>
        <w:tc>
          <w:tcPr>
            <w:tcW w:type="dxa" w:w="1661"/>
          </w:tcPr>
          <w:p>
            <w:pPr>
              <w:pStyle w:val="null3"/>
            </w:pPr>
            <w:r>
              <w:rPr>
                <w:rFonts w:ascii="仿宋_GB2312" w:hAnsi="仿宋_GB2312" w:cs="仿宋_GB2312" w:eastAsia="仿宋_GB2312"/>
              </w:rPr>
              <w:t>④质量保证措施；</w:t>
            </w:r>
          </w:p>
        </w:tc>
        <w:tc>
          <w:tcPr>
            <w:tcW w:type="dxa" w:w="2492"/>
          </w:tcPr>
          <w:p>
            <w:pPr>
              <w:pStyle w:val="null3"/>
            </w:pPr>
            <w:r>
              <w:rPr>
                <w:rFonts w:ascii="仿宋_GB2312" w:hAnsi="仿宋_GB2312" w:cs="仿宋_GB2312" w:eastAsia="仿宋_GB2312"/>
              </w:rPr>
              <w:t>一、评审内容：供应商针对项目编制完善的质量保证措施，内容包含 ：①质量目标管理体系；②施工质量的检验制度；③确保质量的技术组织措施。 二、评审标准： 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 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 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三、赋分标准：（1）根据供应商响应程度，以上评审内容均完整、有针对性且实施性较强的，得满分9分； （2）其中每有一条评审内容缺项的，扣3分； （3）每项评审内容中若有一处完整性、针对性及可实施性有缺陷或与项目不匹配的，扣1分，扣完为止。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附件4：综合评分明细表：④质量保证措施.docx</w:t>
            </w:r>
          </w:p>
        </w:tc>
      </w:tr>
      <w:tr>
        <w:tc>
          <w:tcPr>
            <w:tcW w:type="dxa" w:w="831"/>
            <w:vMerge/>
          </w:tcPr>
          <w:p/>
        </w:tc>
        <w:tc>
          <w:tcPr>
            <w:tcW w:type="dxa" w:w="1661"/>
          </w:tcPr>
          <w:p>
            <w:pPr>
              <w:pStyle w:val="null3"/>
            </w:pPr>
            <w:r>
              <w:rPr>
                <w:rFonts w:ascii="仿宋_GB2312" w:hAnsi="仿宋_GB2312" w:cs="仿宋_GB2312" w:eastAsia="仿宋_GB2312"/>
              </w:rPr>
              <w:t>⑤安全文明施工措施；</w:t>
            </w:r>
          </w:p>
        </w:tc>
        <w:tc>
          <w:tcPr>
            <w:tcW w:type="dxa" w:w="2492"/>
          </w:tcPr>
          <w:p>
            <w:pPr>
              <w:pStyle w:val="null3"/>
            </w:pPr>
            <w:r>
              <w:rPr>
                <w:rFonts w:ascii="仿宋_GB2312" w:hAnsi="仿宋_GB2312" w:cs="仿宋_GB2312" w:eastAsia="仿宋_GB2312"/>
              </w:rPr>
              <w:t>一、评审内容：供应商针对项目编制完整的安全文明施工措施，内容包含：①安全生产管理制度；②安全文明施工措施；③安全应急预案。 二、评审标准：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 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 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三、赋分标准：（1）根据供应商响应程度，以上评审内容均完整、有针对性且实施性较强的，得满分9分； （2）其中每有一条评审内容缺项的，扣3分； （3）每项评审内容中若有一处完整性、针对性及可实施性有缺陷或与项目不匹配的，扣1分，扣完为止。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附件5：综合评分明细表：⑤安全文明施工措施.docx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⑥项目管理机构；</w:t>
            </w:r>
          </w:p>
        </w:tc>
        <w:tc>
          <w:tcPr>
            <w:tcW w:type="dxa" w:w="2492"/>
          </w:tcPr>
          <w:p>
            <w:pPr>
              <w:pStyle w:val="null3"/>
            </w:pPr>
            <w:r>
              <w:rPr>
                <w:rFonts w:ascii="仿宋_GB2312" w:hAnsi="仿宋_GB2312" w:cs="仿宋_GB2312" w:eastAsia="仿宋_GB2312"/>
              </w:rPr>
              <w:t>一、评审内容：供应商针对项目编制科学的项目管理机构，内容包含：①管理机构的配备计划及管理人员证书；②组织机构的岗位职责及管理制度。 二、评审标准：1、人员配置的合规性与专业覆盖度：（1）优：管理机构设置科学、层级清晰；关键岗位无缺项，且专业配置完全契合本项目性质；（2）良：管理机构基本健全，关键岗位基本配齐，能满足项目基本施工需要，但个别辅助岗位略显薄弱，或专业配置仅达到及格线；（3）一般：管理机构设置较为简单，存在明显的岗位缺项（如缺质量员或安全员），或人员专业与本项目实际需求匹配度不高，存在“凑数”嫌疑；（4）差：未提供管理机构配置，或关键岗位大量缺失，无法满足工程实施的基本管理要求。 2、组织架构的层级清晰度与权责界定：（1）优：组织机构图逻辑严密，决策层、管理层、执行层架构一目了然；各岗位职责说明书详尽，权力边界清晰，不存在多头管理或责任真空；对质量、安全、进度等关键管控环节设有专门的负责人；（2）良：组织机构图基本清晰，能看出大致分工，但部分岗位职责描述较为笼统，权责对应关系不够精细；（3）一般：组织架构混乱，层级不清，或岗位职责大量雷同、复制粘贴模板，看不出本项目特有的管理重点；（4）差：未提供组织架构图或岗位职责说明，或内容与项目完全无关。 3、管理机制的科学性与现场落地保障：（1）优：管理制度（质量、安全、进度、资料等）形成闭环管理机制；管理流程设计合理，具有可操作性；针对本项目难点（如夜间施工、交叉作业）制定了具体的协调与管理预案；（2）良：管理制度基本齐全，流程设计无明显漏洞，但多为通用性条款，缺乏针对本项目特点的深化管理措施，预见性一般；（3）一般：管理制度流于形式，内容空泛、口号化；管理流程过于理想化，脱离现场实际，难以指导具体施工；未考虑项目难点；（4）差：未提供管理制度或流程，或内容存在严重逻辑错误，不具备任何指导意义。 三、赋分标准：（1）根据供应商响应程度，以上评审内容均完整、有针对性且实施性较强的，得满分9分； （2）其中每有一条评审内容缺项的，扣4.5分； （3）每项评审内容中，根据评审依据的要求，优得：4.5分；良得：3.0分；一般得：1.5分；差不得分；未提供此项者不得分。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附件6：综合评分明细表：⑥项目管理机构.docx</w:t>
            </w:r>
          </w:p>
        </w:tc>
      </w:tr>
      <w:tr>
        <w:tc>
          <w:tcPr>
            <w:tcW w:type="dxa" w:w="831"/>
            <w:vMerge/>
          </w:tcPr>
          <w:p/>
        </w:tc>
        <w:tc>
          <w:tcPr>
            <w:tcW w:type="dxa" w:w="1661"/>
          </w:tcPr>
          <w:p>
            <w:pPr>
              <w:pStyle w:val="null3"/>
            </w:pPr>
            <w:r>
              <w:rPr>
                <w:rFonts w:ascii="仿宋_GB2312" w:hAnsi="仿宋_GB2312" w:cs="仿宋_GB2312" w:eastAsia="仿宋_GB2312"/>
              </w:rPr>
              <w:t>⑦绿色施工与可持续发展措施；</w:t>
            </w:r>
          </w:p>
        </w:tc>
        <w:tc>
          <w:tcPr>
            <w:tcW w:type="dxa" w:w="2492"/>
          </w:tcPr>
          <w:p>
            <w:pPr>
              <w:pStyle w:val="null3"/>
            </w:pPr>
            <w:r>
              <w:rPr>
                <w:rFonts w:ascii="仿宋_GB2312" w:hAnsi="仿宋_GB2312" w:cs="仿宋_GB2312" w:eastAsia="仿宋_GB2312"/>
              </w:rPr>
              <w:t>一、评审内容：供应商针对项目编制完善的绿色施工与可持续发展措施方案，体现环保、节能、节材理念，包含：①环境保护与降尘降噪：制定的专项降尘、降噪、防异味等措施；②资源节约与循环利用：在施工过程中对水、电、建筑材料等的节约与循环利用方案；③场地复原及周边生态保护：施工结束后对场地的清理、复原及周边生态保护承诺。 二、评审标准：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 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 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三、赋分标准：（1）根据供应商响应程度，以上评审内容均完整、有针对性且实施性较强的，得满分6分； （2）其中每有一条评审内容缺项的，扣2分； （3）每项评审内容中若有一处完整性、针对性及可实施性有缺陷或与项目不匹配的，扣0.5分，扣完为止。 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附件7：综合评分明细表：⑦绿色施工与可持续发展措施.docx</w:t>
            </w:r>
          </w:p>
        </w:tc>
      </w:tr>
      <w:tr>
        <w:tc>
          <w:tcPr>
            <w:tcW w:type="dxa" w:w="831"/>
            <w:vMerge/>
          </w:tcPr>
          <w:p/>
        </w:tc>
        <w:tc>
          <w:tcPr>
            <w:tcW w:type="dxa" w:w="1661"/>
          </w:tcPr>
          <w:p>
            <w:pPr>
              <w:pStyle w:val="null3"/>
            </w:pPr>
            <w:r>
              <w:rPr>
                <w:rFonts w:ascii="仿宋_GB2312" w:hAnsi="仿宋_GB2312" w:cs="仿宋_GB2312" w:eastAsia="仿宋_GB2312"/>
              </w:rPr>
              <w:t>⑧服务承诺；</w:t>
            </w:r>
          </w:p>
        </w:tc>
        <w:tc>
          <w:tcPr>
            <w:tcW w:type="dxa" w:w="2492"/>
          </w:tcPr>
          <w:p>
            <w:pPr>
              <w:pStyle w:val="null3"/>
            </w:pPr>
            <w:r>
              <w:rPr>
                <w:rFonts w:ascii="仿宋_GB2312" w:hAnsi="仿宋_GB2312" w:cs="仿宋_GB2312" w:eastAsia="仿宋_GB2312"/>
              </w:rPr>
              <w:t>一、评审内容：供应商针对本项目编制完善的服务承诺，内容包含但不限于：①实质性服务承诺：配合项目涉及的工程施工内容，施工期间不影响周边村民正常生活通行（如合理规划施工时段、设置临时通行便道、避免噪音/扬尘扰民等），工程售后保障（如质保期内维修响应、缺陷责任期服务、质保期外优惠服务等）；②质保承诺：提供明确的质保期（≥2年）的专项保障措施。 二、评审标准：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 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 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三、赋分标准：（1）根据供应商响应程度，以上评审内容均完整、有针对性且实施性较强的，得满分6分； （2）其中每有一条评审内容缺项的，扣3分； （3）每项评审内容中若有一处完整性、针对性及可实施性有缺陷或与项目不匹配的，扣0.5分，扣完为止。 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附件8：综合评分明细表：⑧服务承诺.docx</w:t>
            </w:r>
          </w:p>
        </w:tc>
      </w:tr>
      <w:tr>
        <w:tc>
          <w:tcPr>
            <w:tcW w:type="dxa" w:w="831"/>
            <w:vMerge/>
          </w:tcPr>
          <w:p/>
        </w:tc>
        <w:tc>
          <w:tcPr>
            <w:tcW w:type="dxa" w:w="1661"/>
          </w:tcPr>
          <w:p>
            <w:pPr>
              <w:pStyle w:val="null3"/>
            </w:pPr>
            <w:r>
              <w:rPr>
                <w:rFonts w:ascii="仿宋_GB2312" w:hAnsi="仿宋_GB2312" w:cs="仿宋_GB2312" w:eastAsia="仿宋_GB2312"/>
              </w:rPr>
              <w:t>⑨类似业绩；</w:t>
            </w:r>
          </w:p>
        </w:tc>
        <w:tc>
          <w:tcPr>
            <w:tcW w:type="dxa" w:w="2492"/>
          </w:tcPr>
          <w:p>
            <w:pPr>
              <w:pStyle w:val="null3"/>
            </w:pPr>
            <w:r>
              <w:rPr>
                <w:rFonts w:ascii="仿宋_GB2312" w:hAnsi="仿宋_GB2312" w:cs="仿宋_GB2312" w:eastAsia="仿宋_GB2312"/>
              </w:rPr>
              <w:t>供应商提供近三年（2023年——至今）完成类似项目业绩（时间以签订的施工合同时间为准），每提供1个业绩得1分，此项最高得4分；（注：业绩评审需提供加盖公章的项目施工合同复印件，合同须体现项目内容、签订时间及签字盖章页等关键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附件9：综合评分明细表：⑨类似业绩.docx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1.本次磋商有磋商最高限价。供应商的磋商总价超过磋商最高限价的视为废标,不再参与下一步评审。 2.有效最低报价为基准价得30分。 3.按（有效最低报价/有效磋商报价）×30的公式计算其得分。 4.磋商报价不完整的,不进入评标标准价的计算,项得0分。 5.不正当竞争预防措施：在评审过程中,磋商小组认定有可能影响产品质量或者不能诚信履约的,磋商小组应当要求其在评审现场合理的时间内提供成本构成书面说明,并提交相关证明材料。磋商单位书面说明应当按照国家财务会计制度的规定要求,逐项就投标单位提供的货物、工程和服务的主营业务成本（应根据投标单位企业类型予以区别）、税金及附加、销售费用、管理费用、财务费用等成本构成事项详细陈述。 磋商单位书面说明应当签字确认或者加盖公章,否则无效。书面说明的签字确认,磋商单位为法人的,由其法定代表人或者代理人签字确认;磋商单位为其他组织的,由其主要负责人或者代理人签字确认；磋商单位为自然人的,由其本人或者代理人签字确认。 磋商单位提供书面说明后,磋商小组应当结合采购项目需求、专业实际情况、磋商单位财务状况报告、与其他磋商单位比较情况等就磋商单位书面说明进行审查评价。磋商单位拒绝或者变相拒绝提供有效书面说明或者书面说明不能证明其报价合理性的,磋商小组应当将其响应文件作为无效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详见附件：附件1：综合评分明细表：①施工方案.docx</w:t>
      </w:r>
    </w:p>
    <w:p>
      <w:pPr>
        <w:pStyle w:val="null3"/>
        <w:ind w:firstLine="960"/>
      </w:pPr>
      <w:r>
        <w:rPr>
          <w:rFonts w:ascii="仿宋_GB2312" w:hAnsi="仿宋_GB2312" w:cs="仿宋_GB2312" w:eastAsia="仿宋_GB2312"/>
        </w:rPr>
        <w:t>详见附件：附件2：综合评分明细表：②资源配置计划.docx</w:t>
      </w:r>
    </w:p>
    <w:p>
      <w:pPr>
        <w:pStyle w:val="null3"/>
        <w:ind w:firstLine="960"/>
      </w:pPr>
      <w:r>
        <w:rPr>
          <w:rFonts w:ascii="仿宋_GB2312" w:hAnsi="仿宋_GB2312" w:cs="仿宋_GB2312" w:eastAsia="仿宋_GB2312"/>
        </w:rPr>
        <w:t>详见附件：附件3：综合评分明细表：③施工进度计划.docx</w:t>
      </w:r>
    </w:p>
    <w:p>
      <w:pPr>
        <w:pStyle w:val="null3"/>
        <w:ind w:firstLine="960"/>
      </w:pPr>
      <w:r>
        <w:rPr>
          <w:rFonts w:ascii="仿宋_GB2312" w:hAnsi="仿宋_GB2312" w:cs="仿宋_GB2312" w:eastAsia="仿宋_GB2312"/>
        </w:rPr>
        <w:t>详见附件：附件4：综合评分明细表：④质量保证措施.docx</w:t>
      </w:r>
    </w:p>
    <w:p>
      <w:pPr>
        <w:pStyle w:val="null3"/>
        <w:ind w:firstLine="960"/>
      </w:pPr>
      <w:r>
        <w:rPr>
          <w:rFonts w:ascii="仿宋_GB2312" w:hAnsi="仿宋_GB2312" w:cs="仿宋_GB2312" w:eastAsia="仿宋_GB2312"/>
        </w:rPr>
        <w:t>详见附件：附件5：综合评分明细表：⑤安全文明施工措施.docx</w:t>
      </w:r>
    </w:p>
    <w:p>
      <w:pPr>
        <w:pStyle w:val="null3"/>
        <w:ind w:firstLine="960"/>
      </w:pPr>
      <w:r>
        <w:rPr>
          <w:rFonts w:ascii="仿宋_GB2312" w:hAnsi="仿宋_GB2312" w:cs="仿宋_GB2312" w:eastAsia="仿宋_GB2312"/>
        </w:rPr>
        <w:t>详见附件：附件6：综合评分明细表：⑥项目管理机构.docx</w:t>
      </w:r>
    </w:p>
    <w:p>
      <w:pPr>
        <w:pStyle w:val="null3"/>
        <w:ind w:firstLine="960"/>
      </w:pPr>
      <w:r>
        <w:rPr>
          <w:rFonts w:ascii="仿宋_GB2312" w:hAnsi="仿宋_GB2312" w:cs="仿宋_GB2312" w:eastAsia="仿宋_GB2312"/>
        </w:rPr>
        <w:t>详见附件：附件7：综合评分明细表：⑦绿色施工与可持续发展措施.docx</w:t>
      </w:r>
    </w:p>
    <w:p>
      <w:pPr>
        <w:pStyle w:val="null3"/>
        <w:ind w:firstLine="960"/>
      </w:pPr>
      <w:r>
        <w:rPr>
          <w:rFonts w:ascii="仿宋_GB2312" w:hAnsi="仿宋_GB2312" w:cs="仿宋_GB2312" w:eastAsia="仿宋_GB2312"/>
        </w:rPr>
        <w:t>详见附件：附件8：综合评分明细表：⑧服务承诺.docx</w:t>
      </w:r>
    </w:p>
    <w:p>
      <w:pPr>
        <w:pStyle w:val="null3"/>
        <w:ind w:firstLine="960"/>
      </w:pPr>
      <w:r>
        <w:rPr>
          <w:rFonts w:ascii="仿宋_GB2312" w:hAnsi="仿宋_GB2312" w:cs="仿宋_GB2312" w:eastAsia="仿宋_GB2312"/>
        </w:rPr>
        <w:t>详见附件：附件9：综合评分明细表：⑨类似业绩.docx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