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版本号：HQX-2026(026)20260716001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2026年生活物资（米面油）采购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HQX-2026(026)</w:t>
      </w:r>
      <w:r>
        <w:br/>
      </w:r>
      <w:r>
        <w:br/>
      </w:r>
      <w:r>
        <w:br/>
      </w:r>
    </w:p>
    <w:p>
      <w:pPr>
        <w:pStyle w:val="null3"/>
        <w:jc w:val="center"/>
        <w:outlineLvl w:val="2"/>
      </w:pPr>
      <w:r>
        <w:rPr>
          <w:rFonts w:ascii="仿宋_GB2312" w:hAnsi="仿宋_GB2312" w:cs="仿宋_GB2312" w:eastAsia="仿宋_GB2312"/>
          <w:sz w:val="28"/>
          <w:b/>
        </w:rPr>
        <w:t>陕西省杨凌监狱</w:t>
      </w:r>
    </w:p>
    <w:p>
      <w:pPr>
        <w:pStyle w:val="null3"/>
        <w:jc w:val="center"/>
        <w:outlineLvl w:val="2"/>
      </w:pPr>
      <w:r>
        <w:rPr>
          <w:rFonts w:ascii="仿宋_GB2312" w:hAnsi="仿宋_GB2312" w:cs="仿宋_GB2312" w:eastAsia="仿宋_GB2312"/>
          <w:sz w:val="28"/>
          <w:b/>
        </w:rPr>
        <w:t>陕西恒谦行工程管理咨询有限公司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陕西恒谦行工程管理咨询有限公司</w:t>
      </w:r>
      <w:r>
        <w:rPr>
          <w:rFonts w:ascii="仿宋_GB2312" w:hAnsi="仿宋_GB2312" w:cs="仿宋_GB2312" w:eastAsia="仿宋_GB2312"/>
        </w:rPr>
        <w:t>（以下简称“代理机构”）受</w:t>
      </w:r>
      <w:r>
        <w:rPr>
          <w:rFonts w:ascii="仿宋_GB2312" w:hAnsi="仿宋_GB2312" w:cs="仿宋_GB2312" w:eastAsia="仿宋_GB2312"/>
        </w:rPr>
        <w:t>陕西省杨凌监狱</w:t>
      </w:r>
      <w:r>
        <w:rPr>
          <w:rFonts w:ascii="仿宋_GB2312" w:hAnsi="仿宋_GB2312" w:cs="仿宋_GB2312" w:eastAsia="仿宋_GB2312"/>
        </w:rPr>
        <w:t>委托，拟对</w:t>
      </w:r>
      <w:r>
        <w:rPr>
          <w:rFonts w:ascii="仿宋_GB2312" w:hAnsi="仿宋_GB2312" w:cs="仿宋_GB2312" w:eastAsia="仿宋_GB2312"/>
        </w:rPr>
        <w:t>2026年生活物资（米面油）采购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HQX-2026(026)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2026年生活物资（米面油）采购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为了保证罪犯生活物资的供应，采购2026年生活物资（米面油）1批。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p>
      <w:pPr>
        <w:pStyle w:val="null3"/>
      </w:pPr>
      <w:r>
        <w:rPr>
          <w:rFonts w:ascii="仿宋_GB2312" w:hAnsi="仿宋_GB2312" w:cs="仿宋_GB2312" w:eastAsia="仿宋_GB2312"/>
        </w:rPr>
        <w:t>2、供应商须具有健全的财务会计制度：提供2024年或2025年度完整的经审计的财务报告（成立时间至投标文件提交截止时间不足一年的可提供成立后任意时段的资产负债表、利润表、现金流量表），或提交单位近半年以来银行（基本户开户行）出具的资信证明（以上两种形式的资料提供任何一种即可）；其他组织和自然人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3、具有依法缴纳税收的良好记录：提供响应文件提交截止时间前，近一年内至少三个月的纳税证明或完税证明（增值税，印花税，城市维护建设费，企业所得税等一种或多种税种），依法免税的单位应提供相关证明材料；供应商需在项目电子化交易系统中按要求提供证明资料并进行电子签章；</w:t>
      </w:r>
    </w:p>
    <w:p>
      <w:pPr>
        <w:pStyle w:val="null3"/>
      </w:pPr>
      <w:r>
        <w:rPr>
          <w:rFonts w:ascii="仿宋_GB2312" w:hAnsi="仿宋_GB2312" w:cs="仿宋_GB2312" w:eastAsia="仿宋_GB2312"/>
        </w:rPr>
        <w:t>4、具有依法缴纳社会保障资金的良好记录：提供响应文件提交截止时间前，近一年内至少三个月的社会保障资金缴存证明资料或社保机构开具的社会保险参保缴费情况证明，依法不需要缴纳社会保障资金的单位应提供相关证明材料；供应商需在项目电子化交易系统中按要求提供证明资料并进行电子签章；</w:t>
      </w:r>
    </w:p>
    <w:p>
      <w:pPr>
        <w:pStyle w:val="null3"/>
      </w:pPr>
      <w:r>
        <w:rPr>
          <w:rFonts w:ascii="仿宋_GB2312" w:hAnsi="仿宋_GB2312" w:cs="仿宋_GB2312" w:eastAsia="仿宋_GB2312"/>
        </w:rPr>
        <w:t>5、所必需的设备和专业技术能力声明：提供具有履行本合同所必需的设备和专业技术能力的声明；供应商需在项目电子化交易系统中按要求提供证明资料并进行电子签章；</w:t>
      </w:r>
    </w:p>
    <w:p>
      <w:pPr>
        <w:pStyle w:val="null3"/>
      </w:pPr>
      <w:r>
        <w:rPr>
          <w:rFonts w:ascii="仿宋_GB2312" w:hAnsi="仿宋_GB2312" w:cs="仿宋_GB2312" w:eastAsia="仿宋_GB2312"/>
        </w:rPr>
        <w:t>6、没有重大违法记录的书面声明：出具参加政府采购活动前3年内在经营活动中没有重大违法记录的书面声明；供应商需在项目电子化交易系统中按要求提供证明资料并进行电子签章；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7、信誉：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供应商需在项目电子化交易系统中按要求提供证明资料并进行电子签章；</w:t>
      </w:r>
    </w:p>
    <w:p>
      <w:pPr>
        <w:pStyle w:val="null3"/>
      </w:pPr>
      <w:r>
        <w:rPr>
          <w:rFonts w:ascii="仿宋_GB2312" w:hAnsi="仿宋_GB2312" w:cs="仿宋_GB2312" w:eastAsia="仿宋_GB2312"/>
        </w:rPr>
        <w:t>8、资质：供应商为生产厂家的须具备有效的《食品生产许可证》；供应商为代理商的须提供《食品经营许可证》或《预包装食品经营者备案表》及所投产品生产厂家《食品生产许可证》复印件；供应商需在项目电子化交易系统中按要求上传相应证明文件并进行电子签章；</w:t>
      </w:r>
    </w:p>
    <w:p>
      <w:pPr>
        <w:pStyle w:val="null3"/>
      </w:pPr>
      <w:r>
        <w:rPr>
          <w:rFonts w:ascii="仿宋_GB2312" w:hAnsi="仿宋_GB2312" w:cs="仿宋_GB2312" w:eastAsia="仿宋_GB2312"/>
        </w:rPr>
        <w:t>9、限制投标情况：①单位负责人为同一人或者存在直接控股、管理关系的不同供应商，不得参加同一合同项下的政府采购活动；②除单一来源采购外，为采购项目提供整体设计、规范编制或者项目管理、监理、检测等服务的供应商，不得再参加该采购项目的其他采购活动。供应商需在项目电子化交易系统中按要求提供证明资料并进行电子签章；</w:t>
      </w:r>
    </w:p>
    <w:p>
      <w:pPr>
        <w:pStyle w:val="null3"/>
      </w:pPr>
      <w:r>
        <w:rPr>
          <w:rFonts w:ascii="仿宋_GB2312" w:hAnsi="仿宋_GB2312" w:cs="仿宋_GB2312" w:eastAsia="仿宋_GB2312"/>
        </w:rPr>
        <w:t>10、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11、非联合体投标声明：本项目不接受联合体投标。供应商需在项目电子化交易系统中按要求提供证明资料并进行电子签章；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p>
      <w:pPr>
        <w:pStyle w:val="null3"/>
      </w:pPr>
      <w:r>
        <w:rPr>
          <w:rFonts w:ascii="仿宋_GB2312" w:hAnsi="仿宋_GB2312" w:cs="仿宋_GB2312" w:eastAsia="仿宋_GB2312"/>
        </w:rPr>
        <w:t>2、供应商须具有健全的财务会计制度：提供2024年或2025年度完整的经审计的财务报告（成立时间至投标文件提交截止时间不足一年的可提供成立后任意时段的资产负债表、利润表、现金流量表），或提交单位近半年以来银行（基本户开户行）出具的资信证明（以上两种形式的资料提供任何一种即可）；其他组织和自然人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3、具有依法缴纳税收的良好记录：提供响应文件提交截止时间前，近一年内至少三个月的纳税证明或完税证明（增值税，印花税，城市维护建设费，企业所得税等一种或多种税种），依法免税的单位应提供相关证明材料；供应商需在项目电子化交易系统中按要求提供证明资料并进行电子签章；</w:t>
      </w:r>
    </w:p>
    <w:p>
      <w:pPr>
        <w:pStyle w:val="null3"/>
      </w:pPr>
      <w:r>
        <w:rPr>
          <w:rFonts w:ascii="仿宋_GB2312" w:hAnsi="仿宋_GB2312" w:cs="仿宋_GB2312" w:eastAsia="仿宋_GB2312"/>
        </w:rPr>
        <w:t>4、具有依法缴纳社会保障资金的良好记录：提供响应文件提交截止时间前，近一年内至少三个月的社会保障资金缴存证明资料或社保机构开具的社会保险参保缴费情况证明，依法不需要缴纳社会保障资金的单位应提供相关证明材料；供应商需在项目电子化交易系统中按要求提供证明资料并进行电子签章；</w:t>
      </w:r>
    </w:p>
    <w:p>
      <w:pPr>
        <w:pStyle w:val="null3"/>
      </w:pPr>
      <w:r>
        <w:rPr>
          <w:rFonts w:ascii="仿宋_GB2312" w:hAnsi="仿宋_GB2312" w:cs="仿宋_GB2312" w:eastAsia="仿宋_GB2312"/>
        </w:rPr>
        <w:t>5、所必需的设备和专业技术能力声明：提供具有履行本合同所必需的设备和专业技术能力的声明；供应商需在项目电子化交易系统中按要求提供证明资料并进行电子签章；</w:t>
      </w:r>
    </w:p>
    <w:p>
      <w:pPr>
        <w:pStyle w:val="null3"/>
      </w:pPr>
      <w:r>
        <w:rPr>
          <w:rFonts w:ascii="仿宋_GB2312" w:hAnsi="仿宋_GB2312" w:cs="仿宋_GB2312" w:eastAsia="仿宋_GB2312"/>
        </w:rPr>
        <w:t>6、没有重大违法记录的书面声明：出具参加政府采购活动前3年内在经营活动中没有重大违法记录的书面声明；供应商需在项目电子化交易系统中按要求提供证明资料并进行电子签章；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7、信誉：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供应商需在项目电子化交易系统中按要求提供证明资料并进行电子签章；</w:t>
      </w:r>
    </w:p>
    <w:p>
      <w:pPr>
        <w:pStyle w:val="null3"/>
      </w:pPr>
      <w:r>
        <w:rPr>
          <w:rFonts w:ascii="仿宋_GB2312" w:hAnsi="仿宋_GB2312" w:cs="仿宋_GB2312" w:eastAsia="仿宋_GB2312"/>
        </w:rPr>
        <w:t>8、资质：供应商为生产厂家的须具备有效的《食品生产许可证》；供应商为代理商的须提供《食品经营许可证》或《预包装食品经营者备案表》及所投产品生产厂家《食品生产许可证》复印件；供应商需在项目电子化交易系统中按要求上传相应证明文件并进行电子签章；</w:t>
      </w:r>
    </w:p>
    <w:p>
      <w:pPr>
        <w:pStyle w:val="null3"/>
      </w:pPr>
      <w:r>
        <w:rPr>
          <w:rFonts w:ascii="仿宋_GB2312" w:hAnsi="仿宋_GB2312" w:cs="仿宋_GB2312" w:eastAsia="仿宋_GB2312"/>
        </w:rPr>
        <w:t>9、限制投标情况：①单位负责人为同一人或者存在直接控股、管理关系的不同供应商，不得参加同一合同项下的政府采购活动；②除单一来源采购外，为采购项目提供整体设计、规范编制或者项目管理、监理、检测等服务的供应商，不得再参加该采购项目的其他采购活动。供应商需在项目电子化交易系统中按要求提供证明资料并进行电子签章；</w:t>
      </w:r>
    </w:p>
    <w:p>
      <w:pPr>
        <w:pStyle w:val="null3"/>
      </w:pPr>
      <w:r>
        <w:rPr>
          <w:rFonts w:ascii="仿宋_GB2312" w:hAnsi="仿宋_GB2312" w:cs="仿宋_GB2312" w:eastAsia="仿宋_GB2312"/>
        </w:rPr>
        <w:t>10、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11、非联合体投标声明：本项目不接受联合体投标。供应商需在项目电子化交易系统中按要求提供证明资料并进行电子签章；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陕西省杨凌监狱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陕西省杨凌示范区滨河东路2号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029-68005173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陕西恒谦行工程管理咨询有限公司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陕西省西咸新区沣西新城沣西国际大厦1号楼10层 1004室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马梅、马青青、梁乐乐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029-38016903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采购包1：961,750.00元</w:t>
            </w:r>
          </w:p>
          <w:p>
            <w:pPr>
              <w:pStyle w:val="null3"/>
            </w:pPr>
            <w:r>
              <w:rPr>
                <w:rFonts w:ascii="仿宋_GB2312" w:hAnsi="仿宋_GB2312" w:cs="仿宋_GB2312" w:eastAsia="仿宋_GB2312"/>
              </w:rPr>
              <w:t>采购包2：337,920.00元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开户名称：陕西恒谦行工程管理咨询有限公司</w:t>
            </w:r>
          </w:p>
          <w:p>
            <w:pPr>
              <w:pStyle w:val="null3"/>
            </w:pPr>
            <w:r>
              <w:rPr>
                <w:rFonts w:ascii="仿宋_GB2312" w:hAnsi="仿宋_GB2312" w:cs="仿宋_GB2312" w:eastAsia="仿宋_GB2312"/>
              </w:rPr>
              <w:t>开户银行：中国建设银行股份有限公司咸阳分行</w:t>
            </w:r>
          </w:p>
          <w:p>
            <w:pPr>
              <w:pStyle w:val="null3"/>
            </w:pPr>
            <w:r>
              <w:rPr>
                <w:rFonts w:ascii="仿宋_GB2312" w:hAnsi="仿宋_GB2312" w:cs="仿宋_GB2312" w:eastAsia="仿宋_GB2312"/>
              </w:rPr>
              <w:t>银行账号：61050163530800000695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代理服务费收费标准：本项目采购代理服务费参照国家有关收费标准国家计委关于印发《招标代理服务收费管理暂行办法》的通知（计价格[2002]1980号）文件下浮5%计取，采购包1：面粉、油 采购代理费为：13722.00元， 采购包2：大米 采购代理费为：4802.00元。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陕西省杨凌监狱</w:t>
      </w:r>
      <w:r>
        <w:rPr>
          <w:rFonts w:ascii="仿宋_GB2312" w:hAnsi="仿宋_GB2312" w:cs="仿宋_GB2312" w:eastAsia="仿宋_GB2312"/>
        </w:rPr>
        <w:t>和</w:t>
      </w:r>
      <w:r>
        <w:rPr>
          <w:rFonts w:ascii="仿宋_GB2312" w:hAnsi="仿宋_GB2312" w:cs="仿宋_GB2312" w:eastAsia="仿宋_GB2312"/>
        </w:rPr>
        <w:t>陕西恒谦行工程管理咨询有限公司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陕西省杨凌监狱</w:t>
      </w:r>
      <w:r>
        <w:rPr>
          <w:rFonts w:ascii="仿宋_GB2312" w:hAnsi="仿宋_GB2312" w:cs="仿宋_GB2312" w:eastAsia="仿宋_GB2312"/>
        </w:rPr>
        <w:t>负责解释。除上述招标文件内容，其他内容由</w:t>
      </w:r>
      <w:r>
        <w:rPr>
          <w:rFonts w:ascii="仿宋_GB2312" w:hAnsi="仿宋_GB2312" w:cs="仿宋_GB2312" w:eastAsia="仿宋_GB2312"/>
        </w:rPr>
        <w:t>陕西恒谦行工程管理咨询有限公司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陕西省杨凌监狱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陕西恒谦行工程管理咨询有限公司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验收方式:分阶段验收，中标供应商按照采购人需求按时送货，并申请验收，采购人验收后签验收单。验收标准:符合国家相关规范标准及采购人要求。根据招标文件要求、投标文件及合同约定执行。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验收方式:分阶段验收，中标供应商按照采购人需求按时送货，并申请验收，采购人验收后签验收单。验收标准:符合国家相关规范标准及采购人要求。根据招标文件要求、投标文件及合同约定执行。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联系人：马梅、马青青、梁乐乐</w:t>
      </w:r>
    </w:p>
    <w:p>
      <w:pPr>
        <w:pStyle w:val="null3"/>
      </w:pPr>
      <w:r>
        <w:rPr>
          <w:rFonts w:ascii="仿宋_GB2312" w:hAnsi="仿宋_GB2312" w:cs="仿宋_GB2312" w:eastAsia="仿宋_GB2312"/>
        </w:rPr>
        <w:t>联系电话：02938016903</w:t>
      </w:r>
    </w:p>
    <w:p>
      <w:pPr>
        <w:pStyle w:val="null3"/>
      </w:pPr>
      <w:r>
        <w:rPr>
          <w:rFonts w:ascii="仿宋_GB2312" w:hAnsi="仿宋_GB2312" w:cs="仿宋_GB2312" w:eastAsia="仿宋_GB2312"/>
        </w:rPr>
        <w:t>地址：陕西省西咸新区沣西新城沣西国际大厦1号楼1004室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采购内容:米、面、油，采购数量:1批。主要功能或目标:保障2026年罪犯伙食标准；需满足的要求:食品质量合格，能够满足罪犯生活需求。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961,750.00</w:t>
      </w:r>
    </w:p>
    <w:p>
      <w:pPr>
        <w:pStyle w:val="null3"/>
      </w:pPr>
      <w:r>
        <w:rPr>
          <w:rFonts w:ascii="仿宋_GB2312" w:hAnsi="仿宋_GB2312" w:cs="仿宋_GB2312" w:eastAsia="仿宋_GB2312"/>
        </w:rPr>
        <w:t>采购包最高限价（元）: 961,750.00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961,750.00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337,920.00</w:t>
      </w:r>
    </w:p>
    <w:p>
      <w:pPr>
        <w:pStyle w:val="null3"/>
      </w:pPr>
      <w:r>
        <w:rPr>
          <w:rFonts w:ascii="仿宋_GB2312" w:hAnsi="仿宋_GB2312" w:cs="仿宋_GB2312" w:eastAsia="仿宋_GB2312"/>
        </w:rPr>
        <w:t>采购包最高限价（元）: 337,920.00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337,920.00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标的名称：面粉、油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小麦面粉</w:t>
            </w:r>
            <w:r>
              <w:rPr>
                <w:rFonts w:ascii="仿宋_GB2312" w:hAnsi="仿宋_GB2312" w:cs="仿宋_GB2312" w:eastAsia="仿宋_GB2312"/>
              </w:rPr>
              <w:t xml:space="preserve">  </w:t>
            </w:r>
            <w:r>
              <w:rPr>
                <w:rFonts w:ascii="仿宋_GB2312" w:hAnsi="仿宋_GB2312" w:cs="仿宋_GB2312" w:eastAsia="仿宋_GB2312"/>
              </w:rPr>
              <w:t>数量：</w:t>
            </w:r>
            <w:r>
              <w:rPr>
                <w:rFonts w:ascii="仿宋_GB2312" w:hAnsi="仿宋_GB2312" w:cs="仿宋_GB2312" w:eastAsia="仿宋_GB2312"/>
              </w:rPr>
              <w:t>200000.00kg</w:t>
            </w:r>
          </w:p>
          <w:p>
            <w:pPr>
              <w:pStyle w:val="null3"/>
            </w:pPr>
            <w:r>
              <w:rPr>
                <w:rFonts w:ascii="仿宋_GB2312" w:hAnsi="仿宋_GB2312" w:cs="仿宋_GB2312" w:eastAsia="仿宋_GB2312"/>
              </w:rPr>
              <w:t>1.质量要求：</w:t>
            </w:r>
          </w:p>
          <w:p>
            <w:pPr>
              <w:pStyle w:val="null3"/>
            </w:pPr>
            <w:r>
              <w:rPr>
                <w:rFonts w:ascii="仿宋_GB2312" w:hAnsi="仿宋_GB2312" w:cs="仿宋_GB2312" w:eastAsia="仿宋_GB2312"/>
              </w:rPr>
              <w:t>①等级：特一粉；</w:t>
            </w:r>
          </w:p>
          <w:p>
            <w:pPr>
              <w:pStyle w:val="null3"/>
            </w:pPr>
            <w:r>
              <w:rPr>
                <w:rFonts w:ascii="仿宋_GB2312" w:hAnsi="仿宋_GB2312" w:cs="仿宋_GB2312" w:eastAsia="仿宋_GB2312"/>
              </w:rPr>
              <w:t>②色泽</w:t>
            </w:r>
            <w:r>
              <w:rPr>
                <w:rFonts w:ascii="仿宋_GB2312" w:hAnsi="仿宋_GB2312" w:cs="仿宋_GB2312" w:eastAsia="仿宋_GB2312"/>
              </w:rPr>
              <w:t>：</w:t>
            </w:r>
            <w:r>
              <w:rPr>
                <w:rFonts w:ascii="仿宋_GB2312" w:hAnsi="仿宋_GB2312" w:cs="仿宋_GB2312" w:eastAsia="仿宋_GB2312"/>
              </w:rPr>
              <w:t>白色至微黄色，色泽均匀，无明显杂质</w:t>
            </w:r>
            <w:r>
              <w:rPr>
                <w:rFonts w:ascii="仿宋_GB2312" w:hAnsi="仿宋_GB2312" w:cs="仿宋_GB2312" w:eastAsia="仿宋_GB2312"/>
              </w:rPr>
              <w:t>；</w:t>
            </w:r>
          </w:p>
          <w:p>
            <w:pPr>
              <w:pStyle w:val="null3"/>
            </w:pPr>
            <w:r>
              <w:rPr>
                <w:rFonts w:ascii="仿宋_GB2312" w:hAnsi="仿宋_GB2312" w:cs="仿宋_GB2312" w:eastAsia="仿宋_GB2312"/>
              </w:rPr>
              <w:t>③组织状态：呈粉状，无粗粒感，无生虫，无结块/挂丝，无异物；</w:t>
            </w:r>
          </w:p>
          <w:p>
            <w:pPr>
              <w:pStyle w:val="null3"/>
            </w:pPr>
            <w:r>
              <w:rPr>
                <w:rFonts w:ascii="仿宋_GB2312" w:hAnsi="仿宋_GB2312" w:cs="仿宋_GB2312" w:eastAsia="仿宋_GB2312"/>
              </w:rPr>
              <w:t>④气味：具有小麦香味，无异味、无霉味、酸味；</w:t>
            </w:r>
          </w:p>
          <w:p>
            <w:pPr>
              <w:pStyle w:val="null3"/>
            </w:pPr>
            <w:r>
              <w:rPr>
                <w:rFonts w:ascii="仿宋_GB2312" w:hAnsi="仿宋_GB2312" w:cs="仿宋_GB2312" w:eastAsia="仿宋_GB2312"/>
              </w:rPr>
              <w:t>⑤滋味：口味正常可口，淡而微甜，无发酸、刺喉、发苦等现象；⑥成分：非转基因。蛋白质、水分含量适中，手抓后易散落，不易成团；</w:t>
            </w:r>
          </w:p>
          <w:p>
            <w:pPr>
              <w:pStyle w:val="null3"/>
            </w:pPr>
            <w:r>
              <w:rPr>
                <w:rFonts w:ascii="仿宋_GB2312" w:hAnsi="仿宋_GB2312" w:cs="仿宋_GB2312" w:eastAsia="仿宋_GB2312"/>
              </w:rPr>
              <w:t>⑦感观、理化、安全等各项指标合格，符合标准要求；无违禁成分；</w:t>
            </w:r>
          </w:p>
          <w:p>
            <w:pPr>
              <w:pStyle w:val="null3"/>
            </w:pPr>
            <w:r>
              <w:rPr>
                <w:rFonts w:ascii="仿宋_GB2312" w:hAnsi="仿宋_GB2312" w:cs="仿宋_GB2312" w:eastAsia="仿宋_GB2312"/>
              </w:rPr>
              <w:t>2.包装：独立包装，便于运输、储存，外包装必须符合《粮食销售包装》要求，包装袋清洁无污渍、无破损、无渗漏；</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标签标识：标签标识清晰，内容完整，符合行业标准及规范要求；</w:t>
            </w:r>
          </w:p>
          <w:p>
            <w:pPr>
              <w:pStyle w:val="null3"/>
            </w:pPr>
            <w:r>
              <w:rPr>
                <w:rFonts w:ascii="仿宋_GB2312" w:hAnsi="仿宋_GB2312" w:cs="仿宋_GB2312" w:eastAsia="仿宋_GB2312"/>
              </w:rPr>
              <w:t>4.质量标准：GB/T1355-2021；</w:t>
            </w:r>
          </w:p>
          <w:p>
            <w:pPr>
              <w:pStyle w:val="null3"/>
            </w:pPr>
            <w:r>
              <w:rPr>
                <w:rFonts w:ascii="仿宋_GB2312" w:hAnsi="仿宋_GB2312" w:cs="仿宋_GB2312" w:eastAsia="仿宋_GB2312"/>
              </w:rPr>
              <w:t>5.保证所供货物满足国家强制标准要求，剩余保质期不少于标注保质期三分之二，随货提供合格证、批次检测报告等；</w:t>
            </w:r>
          </w:p>
          <w:p>
            <w:pPr>
              <w:pStyle w:val="null3"/>
            </w:pPr>
            <w:r>
              <w:rPr>
                <w:rFonts w:ascii="仿宋_GB2312" w:hAnsi="仿宋_GB2312" w:cs="仿宋_GB2312" w:eastAsia="仿宋_GB2312"/>
              </w:rPr>
              <w:t>6.保证货物来源渠道正规，商家信誉良好，未发过重大安全事件，杜绝假冒伪劣产品；</w:t>
            </w:r>
          </w:p>
          <w:p>
            <w:pPr>
              <w:pStyle w:val="null3"/>
            </w:pPr>
            <w:r>
              <w:rPr>
                <w:rFonts w:ascii="仿宋_GB2312" w:hAnsi="仿宋_GB2312" w:cs="仿宋_GB2312" w:eastAsia="仿宋_GB2312"/>
                <w:sz w:val="21"/>
              </w:rPr>
              <w:t>7.符合国家及行业相关标准，提供CMA/CNAS检测报告。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菜籽油</w:t>
            </w:r>
            <w:r>
              <w:rPr>
                <w:rFonts w:ascii="仿宋_GB2312" w:hAnsi="仿宋_GB2312" w:cs="仿宋_GB2312" w:eastAsia="仿宋_GB2312"/>
              </w:rPr>
              <w:t xml:space="preserve">  </w:t>
            </w:r>
            <w:r>
              <w:rPr>
                <w:rFonts w:ascii="仿宋_GB2312" w:hAnsi="仿宋_GB2312" w:cs="仿宋_GB2312" w:eastAsia="仿宋_GB2312"/>
              </w:rPr>
              <w:t>数量：</w:t>
            </w:r>
            <w:r>
              <w:rPr>
                <w:rFonts w:ascii="仿宋_GB2312" w:hAnsi="仿宋_GB2312" w:cs="仿宋_GB2312" w:eastAsia="仿宋_GB2312"/>
              </w:rPr>
              <w:t>16750.00kg</w:t>
            </w:r>
          </w:p>
          <w:p>
            <w:pPr>
              <w:pStyle w:val="null3"/>
            </w:pPr>
            <w:r>
              <w:rPr>
                <w:rFonts w:ascii="仿宋_GB2312" w:hAnsi="仿宋_GB2312" w:cs="仿宋_GB2312" w:eastAsia="仿宋_GB2312"/>
              </w:rPr>
              <w:t>1.质量要求</w:t>
            </w:r>
            <w:r>
              <w:rPr>
                <w:rFonts w:ascii="仿宋_GB2312" w:hAnsi="仿宋_GB2312" w:cs="仿宋_GB2312" w:eastAsia="仿宋_GB2312"/>
              </w:rPr>
              <w:t>：</w:t>
            </w:r>
          </w:p>
          <w:p>
            <w:pPr>
              <w:pStyle w:val="null3"/>
            </w:pPr>
            <w:r>
              <w:rPr>
                <w:rFonts w:ascii="仿宋_GB2312" w:hAnsi="仿宋_GB2312" w:cs="仿宋_GB2312" w:eastAsia="仿宋_GB2312"/>
              </w:rPr>
              <w:t>①</w:t>
            </w:r>
            <w:r>
              <w:rPr>
                <w:rFonts w:ascii="仿宋_GB2312" w:hAnsi="仿宋_GB2312" w:cs="仿宋_GB2312" w:eastAsia="仿宋_GB2312"/>
              </w:rPr>
              <w:t>等级</w:t>
            </w:r>
            <w:r>
              <w:rPr>
                <w:rFonts w:ascii="仿宋_GB2312" w:hAnsi="仿宋_GB2312" w:cs="仿宋_GB2312" w:eastAsia="仿宋_GB2312"/>
              </w:rPr>
              <w:t>：</w:t>
            </w:r>
            <w:r>
              <w:rPr>
                <w:rFonts w:ascii="仿宋_GB2312" w:hAnsi="仿宋_GB2312" w:cs="仿宋_GB2312" w:eastAsia="仿宋_GB2312"/>
              </w:rPr>
              <w:t>二级或以上</w:t>
            </w:r>
            <w:r>
              <w:rPr>
                <w:rFonts w:ascii="仿宋_GB2312" w:hAnsi="仿宋_GB2312" w:cs="仿宋_GB2312" w:eastAsia="仿宋_GB2312"/>
              </w:rPr>
              <w:t>；</w:t>
            </w:r>
            <w:r>
              <w:rPr>
                <w:rFonts w:ascii="仿宋_GB2312" w:hAnsi="仿宋_GB2312" w:cs="仿宋_GB2312" w:eastAsia="仿宋_GB2312"/>
              </w:rPr>
              <w:t>加工工艺先进，纯度质量好，健康营养</w:t>
            </w:r>
            <w:r>
              <w:rPr>
                <w:rFonts w:ascii="仿宋_GB2312" w:hAnsi="仿宋_GB2312" w:cs="仿宋_GB2312" w:eastAsia="仿宋_GB2312"/>
              </w:rPr>
              <w:t>；</w:t>
            </w:r>
          </w:p>
          <w:p>
            <w:pPr>
              <w:pStyle w:val="null3"/>
            </w:pPr>
            <w:r>
              <w:rPr>
                <w:rFonts w:ascii="仿宋_GB2312" w:hAnsi="仿宋_GB2312" w:cs="仿宋_GB2312" w:eastAsia="仿宋_GB2312"/>
              </w:rPr>
              <w:t>②</w:t>
            </w:r>
            <w:r>
              <w:rPr>
                <w:rFonts w:ascii="仿宋_GB2312" w:hAnsi="仿宋_GB2312" w:cs="仿宋_GB2312" w:eastAsia="仿宋_GB2312"/>
              </w:rPr>
              <w:t>色泽、透明度</w:t>
            </w:r>
            <w:r>
              <w:rPr>
                <w:rFonts w:ascii="仿宋_GB2312" w:hAnsi="仿宋_GB2312" w:cs="仿宋_GB2312" w:eastAsia="仿宋_GB2312"/>
              </w:rPr>
              <w:t>：</w:t>
            </w:r>
            <w:r>
              <w:rPr>
                <w:rFonts w:ascii="仿宋_GB2312" w:hAnsi="仿宋_GB2312" w:cs="仿宋_GB2312" w:eastAsia="仿宋_GB2312"/>
              </w:rPr>
              <w:t>清亮透明，无雾状、无悬浮物</w:t>
            </w:r>
            <w:r>
              <w:rPr>
                <w:rFonts w:ascii="仿宋_GB2312" w:hAnsi="仿宋_GB2312" w:cs="仿宋_GB2312" w:eastAsia="仿宋_GB2312"/>
              </w:rPr>
              <w:t>、</w:t>
            </w:r>
            <w:r>
              <w:rPr>
                <w:rFonts w:ascii="仿宋_GB2312" w:hAnsi="仿宋_GB2312" w:cs="仿宋_GB2312" w:eastAsia="仿宋_GB2312"/>
              </w:rPr>
              <w:t>无杂质</w:t>
            </w:r>
            <w:r>
              <w:rPr>
                <w:rFonts w:ascii="仿宋_GB2312" w:hAnsi="仿宋_GB2312" w:cs="仿宋_GB2312" w:eastAsia="仿宋_GB2312"/>
              </w:rPr>
              <w:t>；</w:t>
            </w:r>
          </w:p>
          <w:p>
            <w:pPr>
              <w:pStyle w:val="null3"/>
            </w:pPr>
            <w:r>
              <w:rPr>
                <w:rFonts w:ascii="仿宋_GB2312" w:hAnsi="仿宋_GB2312" w:cs="仿宋_GB2312" w:eastAsia="仿宋_GB2312"/>
              </w:rPr>
              <w:t>③</w:t>
            </w:r>
            <w:r>
              <w:rPr>
                <w:rFonts w:ascii="仿宋_GB2312" w:hAnsi="仿宋_GB2312" w:cs="仿宋_GB2312" w:eastAsia="仿宋_GB2312"/>
              </w:rPr>
              <w:t>气味</w:t>
            </w:r>
            <w:r>
              <w:rPr>
                <w:rFonts w:ascii="仿宋_GB2312" w:hAnsi="仿宋_GB2312" w:cs="仿宋_GB2312" w:eastAsia="仿宋_GB2312"/>
              </w:rPr>
              <w:t>：</w:t>
            </w:r>
            <w:r>
              <w:rPr>
                <w:rFonts w:ascii="仿宋_GB2312" w:hAnsi="仿宋_GB2312" w:cs="仿宋_GB2312" w:eastAsia="仿宋_GB2312"/>
              </w:rPr>
              <w:t>淡淡的菜籽香味，无异味、无刺鼻怪味</w:t>
            </w:r>
            <w:r>
              <w:rPr>
                <w:rFonts w:ascii="仿宋_GB2312" w:hAnsi="仿宋_GB2312" w:cs="仿宋_GB2312" w:eastAsia="仿宋_GB2312"/>
              </w:rPr>
              <w:t>；</w:t>
            </w:r>
          </w:p>
          <w:p>
            <w:pPr>
              <w:pStyle w:val="null3"/>
            </w:pPr>
            <w:r>
              <w:rPr>
                <w:rFonts w:ascii="仿宋_GB2312" w:hAnsi="仿宋_GB2312" w:cs="仿宋_GB2312" w:eastAsia="仿宋_GB2312"/>
              </w:rPr>
              <w:t>④</w:t>
            </w:r>
            <w:r>
              <w:rPr>
                <w:rFonts w:ascii="仿宋_GB2312" w:hAnsi="仿宋_GB2312" w:cs="仿宋_GB2312" w:eastAsia="仿宋_GB2312"/>
              </w:rPr>
              <w:t>滋味</w:t>
            </w:r>
            <w:r>
              <w:rPr>
                <w:rFonts w:ascii="仿宋_GB2312" w:hAnsi="仿宋_GB2312" w:cs="仿宋_GB2312" w:eastAsia="仿宋_GB2312"/>
              </w:rPr>
              <w:t>：</w:t>
            </w:r>
            <w:r>
              <w:rPr>
                <w:rFonts w:ascii="仿宋_GB2312" w:hAnsi="仿宋_GB2312" w:cs="仿宋_GB2312" w:eastAsia="仿宋_GB2312"/>
              </w:rPr>
              <w:t>无明显沉淀，口感滑润，食用纯香，无苦涩或其他不良味道</w:t>
            </w:r>
            <w:r>
              <w:rPr>
                <w:rFonts w:ascii="仿宋_GB2312" w:hAnsi="仿宋_GB2312" w:cs="仿宋_GB2312" w:eastAsia="仿宋_GB2312"/>
              </w:rPr>
              <w:t>；</w:t>
            </w:r>
          </w:p>
          <w:p>
            <w:pPr>
              <w:pStyle w:val="null3"/>
            </w:pPr>
            <w:r>
              <w:rPr>
                <w:rFonts w:ascii="仿宋_GB2312" w:hAnsi="仿宋_GB2312" w:cs="仿宋_GB2312" w:eastAsia="仿宋_GB2312"/>
              </w:rPr>
              <w:t>⑤</w:t>
            </w:r>
            <w:r>
              <w:rPr>
                <w:rFonts w:ascii="仿宋_GB2312" w:hAnsi="仿宋_GB2312" w:cs="仿宋_GB2312" w:eastAsia="仿宋_GB2312"/>
              </w:rPr>
              <w:t>成分</w:t>
            </w:r>
            <w:r>
              <w:rPr>
                <w:rFonts w:ascii="仿宋_GB2312" w:hAnsi="仿宋_GB2312" w:cs="仿宋_GB2312" w:eastAsia="仿宋_GB2312"/>
              </w:rPr>
              <w:t>：</w:t>
            </w:r>
            <w:r>
              <w:rPr>
                <w:rFonts w:ascii="仿宋_GB2312" w:hAnsi="仿宋_GB2312" w:cs="仿宋_GB2312" w:eastAsia="仿宋_GB2312"/>
              </w:rPr>
              <w:t>非转基因，营养成分含量高</w:t>
            </w:r>
            <w:r>
              <w:rPr>
                <w:rFonts w:ascii="仿宋_GB2312" w:hAnsi="仿宋_GB2312" w:cs="仿宋_GB2312" w:eastAsia="仿宋_GB2312"/>
              </w:rPr>
              <w:t>；</w:t>
            </w:r>
          </w:p>
          <w:p>
            <w:pPr>
              <w:pStyle w:val="null3"/>
            </w:pPr>
            <w:r>
              <w:rPr>
                <w:rFonts w:ascii="仿宋_GB2312" w:hAnsi="仿宋_GB2312" w:cs="仿宋_GB2312" w:eastAsia="仿宋_GB2312"/>
              </w:rPr>
              <w:t>⑥</w:t>
            </w:r>
            <w:r>
              <w:rPr>
                <w:rFonts w:ascii="仿宋_GB2312" w:hAnsi="仿宋_GB2312" w:cs="仿宋_GB2312" w:eastAsia="仿宋_GB2312"/>
              </w:rPr>
              <w:t>感观、理化、安全等各项指标合格，符合标准要求</w:t>
            </w:r>
            <w:r>
              <w:rPr>
                <w:rFonts w:ascii="仿宋_GB2312" w:hAnsi="仿宋_GB2312" w:cs="仿宋_GB2312" w:eastAsia="仿宋_GB2312"/>
              </w:rPr>
              <w:t>，</w:t>
            </w:r>
            <w:r>
              <w:rPr>
                <w:rFonts w:ascii="仿宋_GB2312" w:hAnsi="仿宋_GB2312" w:cs="仿宋_GB2312" w:eastAsia="仿宋_GB2312"/>
              </w:rPr>
              <w:t>无违禁成分</w:t>
            </w:r>
            <w:r>
              <w:rPr>
                <w:rFonts w:ascii="仿宋_GB2312" w:hAnsi="仿宋_GB2312" w:cs="仿宋_GB2312" w:eastAsia="仿宋_GB2312"/>
              </w:rPr>
              <w:t>；</w:t>
            </w:r>
          </w:p>
          <w:p>
            <w:pPr>
              <w:pStyle w:val="null3"/>
            </w:pPr>
            <w:r>
              <w:rPr>
                <w:rFonts w:ascii="仿宋_GB2312" w:hAnsi="仿宋_GB2312" w:cs="仿宋_GB2312" w:eastAsia="仿宋_GB2312"/>
              </w:rPr>
              <w:t>2.包装要求</w:t>
            </w:r>
            <w:r>
              <w:rPr>
                <w:rFonts w:ascii="仿宋_GB2312" w:hAnsi="仿宋_GB2312" w:cs="仿宋_GB2312" w:eastAsia="仿宋_GB2312"/>
              </w:rPr>
              <w:t>：</w:t>
            </w:r>
            <w:r>
              <w:rPr>
                <w:rFonts w:ascii="仿宋_GB2312" w:hAnsi="仿宋_GB2312" w:cs="仿宋_GB2312" w:eastAsia="仿宋_GB2312"/>
              </w:rPr>
              <w:t>独立包装，包装桶清洁透明、无污渍，无破损、无渗漏，符合国家现行食品卫生标准的规定</w:t>
            </w:r>
            <w:r>
              <w:rPr>
                <w:rFonts w:ascii="仿宋_GB2312" w:hAnsi="仿宋_GB2312" w:cs="仿宋_GB2312" w:eastAsia="仿宋_GB2312"/>
              </w:rPr>
              <w:t>；</w:t>
            </w:r>
          </w:p>
          <w:p>
            <w:pPr>
              <w:pStyle w:val="null3"/>
            </w:pPr>
            <w:r>
              <w:rPr>
                <w:rFonts w:ascii="仿宋_GB2312" w:hAnsi="仿宋_GB2312" w:cs="仿宋_GB2312" w:eastAsia="仿宋_GB2312"/>
              </w:rPr>
              <w:t>3.标签标识</w:t>
            </w:r>
            <w:r>
              <w:rPr>
                <w:rFonts w:ascii="仿宋_GB2312" w:hAnsi="仿宋_GB2312" w:cs="仿宋_GB2312" w:eastAsia="仿宋_GB2312"/>
              </w:rPr>
              <w:t>：</w:t>
            </w:r>
            <w:r>
              <w:rPr>
                <w:rFonts w:ascii="仿宋_GB2312" w:hAnsi="仿宋_GB2312" w:cs="仿宋_GB2312" w:eastAsia="仿宋_GB2312"/>
              </w:rPr>
              <w:t>标签标识清晰，内容完整，符合行业标准及规范要求</w:t>
            </w:r>
            <w:r>
              <w:rPr>
                <w:rFonts w:ascii="仿宋_GB2312" w:hAnsi="仿宋_GB2312" w:cs="仿宋_GB2312" w:eastAsia="仿宋_GB2312"/>
              </w:rPr>
              <w:t>；</w:t>
            </w:r>
          </w:p>
          <w:p>
            <w:pPr>
              <w:pStyle w:val="null3"/>
            </w:pPr>
            <w:r>
              <w:rPr>
                <w:rFonts w:ascii="仿宋_GB2312" w:hAnsi="仿宋_GB2312" w:cs="仿宋_GB2312" w:eastAsia="仿宋_GB2312"/>
              </w:rPr>
              <w:t>4.质量标准</w:t>
            </w:r>
            <w:r>
              <w:rPr>
                <w:rFonts w:ascii="仿宋_GB2312" w:hAnsi="仿宋_GB2312" w:cs="仿宋_GB2312" w:eastAsia="仿宋_GB2312"/>
              </w:rPr>
              <w:t>：</w:t>
            </w:r>
            <w:r>
              <w:rPr>
                <w:rFonts w:ascii="仿宋_GB2312" w:hAnsi="仿宋_GB2312" w:cs="仿宋_GB2312" w:eastAsia="仿宋_GB2312"/>
              </w:rPr>
              <w:t>GB/T1536-2021</w:t>
            </w:r>
            <w:r>
              <w:rPr>
                <w:rFonts w:ascii="仿宋_GB2312" w:hAnsi="仿宋_GB2312" w:cs="仿宋_GB2312" w:eastAsia="仿宋_GB2312"/>
              </w:rPr>
              <w:t>；</w:t>
            </w:r>
          </w:p>
          <w:p>
            <w:pPr>
              <w:pStyle w:val="null3"/>
            </w:pPr>
            <w:r>
              <w:rPr>
                <w:rFonts w:ascii="仿宋_GB2312" w:hAnsi="仿宋_GB2312" w:cs="仿宋_GB2312" w:eastAsia="仿宋_GB2312"/>
              </w:rPr>
              <w:t>5.保证所供货物满足国家强制标准要求，剩余保质期不少于标注保质期三分之二，提供合格证、批次检测报告等</w:t>
            </w:r>
            <w:r>
              <w:rPr>
                <w:rFonts w:ascii="仿宋_GB2312" w:hAnsi="仿宋_GB2312" w:cs="仿宋_GB2312" w:eastAsia="仿宋_GB2312"/>
              </w:rPr>
              <w:t>；</w:t>
            </w:r>
          </w:p>
          <w:p>
            <w:pPr>
              <w:pStyle w:val="null3"/>
            </w:pPr>
            <w:r>
              <w:rPr>
                <w:rFonts w:ascii="仿宋_GB2312" w:hAnsi="仿宋_GB2312" w:cs="仿宋_GB2312" w:eastAsia="仿宋_GB2312"/>
              </w:rPr>
              <w:t>6.保证货物来源渠道正规，商家信誉良好，未发过重大安全事件，杜绝假冒伪劣产品</w:t>
            </w:r>
            <w:r>
              <w:rPr>
                <w:rFonts w:ascii="仿宋_GB2312" w:hAnsi="仿宋_GB2312" w:cs="仿宋_GB2312" w:eastAsia="仿宋_GB2312"/>
              </w:rPr>
              <w:t>；</w:t>
            </w:r>
          </w:p>
          <w:p>
            <w:pPr>
              <w:pStyle w:val="null3"/>
            </w:pPr>
            <w:r>
              <w:rPr>
                <w:rFonts w:ascii="仿宋_GB2312" w:hAnsi="仿宋_GB2312" w:cs="仿宋_GB2312" w:eastAsia="仿宋_GB2312"/>
                <w:sz w:val="21"/>
              </w:rPr>
              <w:t>7.符合国家及行业相关标准，提供CMA/CNAS检测报告。</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大米</w:t>
            </w:r>
            <w:r>
              <w:rPr>
                <w:rFonts w:ascii="仿宋_GB2312" w:hAnsi="仿宋_GB2312" w:cs="仿宋_GB2312" w:eastAsia="仿宋_GB2312"/>
              </w:rPr>
              <w:t xml:space="preserve">    </w:t>
            </w:r>
            <w:r>
              <w:rPr>
                <w:rFonts w:ascii="仿宋_GB2312" w:hAnsi="仿宋_GB2312" w:cs="仿宋_GB2312" w:eastAsia="仿宋_GB2312"/>
              </w:rPr>
              <w:t>数量：</w:t>
            </w:r>
            <w:r>
              <w:rPr>
                <w:rFonts w:ascii="仿宋_GB2312" w:hAnsi="仿宋_GB2312" w:cs="仿宋_GB2312" w:eastAsia="仿宋_GB2312"/>
              </w:rPr>
              <w:t>66000.00kg</w:t>
            </w:r>
          </w:p>
          <w:p>
            <w:pPr>
              <w:pStyle w:val="null3"/>
            </w:pPr>
            <w:r>
              <w:rPr>
                <w:rFonts w:ascii="仿宋_GB2312" w:hAnsi="仿宋_GB2312" w:cs="仿宋_GB2312" w:eastAsia="仿宋_GB2312"/>
              </w:rPr>
              <w:t>1.质量要求</w:t>
            </w:r>
            <w:r>
              <w:rPr>
                <w:rFonts w:ascii="仿宋_GB2312" w:hAnsi="仿宋_GB2312" w:cs="仿宋_GB2312" w:eastAsia="仿宋_GB2312"/>
              </w:rPr>
              <w:t>：</w:t>
            </w:r>
          </w:p>
          <w:p>
            <w:pPr>
              <w:pStyle w:val="null3"/>
            </w:pPr>
            <w:r>
              <w:rPr>
                <w:rFonts w:ascii="仿宋_GB2312" w:hAnsi="仿宋_GB2312" w:cs="仿宋_GB2312" w:eastAsia="仿宋_GB2312"/>
              </w:rPr>
              <w:t>①</w:t>
            </w:r>
            <w:r>
              <w:rPr>
                <w:rFonts w:ascii="仿宋_GB2312" w:hAnsi="仿宋_GB2312" w:cs="仿宋_GB2312" w:eastAsia="仿宋_GB2312"/>
              </w:rPr>
              <w:t>质量等级</w:t>
            </w:r>
            <w:r>
              <w:rPr>
                <w:rFonts w:ascii="仿宋_GB2312" w:hAnsi="仿宋_GB2312" w:cs="仿宋_GB2312" w:eastAsia="仿宋_GB2312"/>
              </w:rPr>
              <w:t>：</w:t>
            </w:r>
            <w:r>
              <w:rPr>
                <w:rFonts w:ascii="仿宋_GB2312" w:hAnsi="仿宋_GB2312" w:cs="仿宋_GB2312" w:eastAsia="仿宋_GB2312"/>
              </w:rPr>
              <w:t>二级或以上</w:t>
            </w:r>
            <w:r>
              <w:rPr>
                <w:rFonts w:ascii="仿宋_GB2312" w:hAnsi="仿宋_GB2312" w:cs="仿宋_GB2312" w:eastAsia="仿宋_GB2312"/>
              </w:rPr>
              <w:t>；</w:t>
            </w:r>
          </w:p>
          <w:p>
            <w:pPr>
              <w:pStyle w:val="null3"/>
            </w:pPr>
            <w:r>
              <w:rPr>
                <w:rFonts w:ascii="仿宋_GB2312" w:hAnsi="仿宋_GB2312" w:cs="仿宋_GB2312" w:eastAsia="仿宋_GB2312"/>
              </w:rPr>
              <w:t>②</w:t>
            </w:r>
            <w:r>
              <w:rPr>
                <w:rFonts w:ascii="仿宋_GB2312" w:hAnsi="仿宋_GB2312" w:cs="仿宋_GB2312" w:eastAsia="仿宋_GB2312"/>
              </w:rPr>
              <w:t>外观</w:t>
            </w:r>
            <w:r>
              <w:rPr>
                <w:rFonts w:ascii="仿宋_GB2312" w:hAnsi="仿宋_GB2312" w:cs="仿宋_GB2312" w:eastAsia="仿宋_GB2312"/>
              </w:rPr>
              <w:t>：</w:t>
            </w:r>
            <w:r>
              <w:rPr>
                <w:rFonts w:ascii="仿宋_GB2312" w:hAnsi="仿宋_GB2312" w:cs="仿宋_GB2312" w:eastAsia="仿宋_GB2312"/>
              </w:rPr>
              <w:t>呈清白色或半透明，有光泽，大小均匀，颗粒饱满完整，无沙石、糠粉等杂质</w:t>
            </w:r>
            <w:r>
              <w:rPr>
                <w:rFonts w:ascii="仿宋_GB2312" w:hAnsi="仿宋_GB2312" w:cs="仿宋_GB2312" w:eastAsia="仿宋_GB2312"/>
              </w:rPr>
              <w:t>；</w:t>
            </w:r>
          </w:p>
          <w:p>
            <w:pPr>
              <w:pStyle w:val="null3"/>
            </w:pPr>
            <w:r>
              <w:rPr>
                <w:rFonts w:ascii="仿宋_GB2312" w:hAnsi="仿宋_GB2312" w:cs="仿宋_GB2312" w:eastAsia="仿宋_GB2312"/>
              </w:rPr>
              <w:t>③</w:t>
            </w:r>
            <w:r>
              <w:rPr>
                <w:rFonts w:ascii="仿宋_GB2312" w:hAnsi="仿宋_GB2312" w:cs="仿宋_GB2312" w:eastAsia="仿宋_GB2312"/>
              </w:rPr>
              <w:t>气味</w:t>
            </w:r>
            <w:r>
              <w:rPr>
                <w:rFonts w:ascii="仿宋_GB2312" w:hAnsi="仿宋_GB2312" w:cs="仿宋_GB2312" w:eastAsia="仿宋_GB2312"/>
              </w:rPr>
              <w:t>：</w:t>
            </w:r>
            <w:r>
              <w:rPr>
                <w:rFonts w:ascii="仿宋_GB2312" w:hAnsi="仿宋_GB2312" w:cs="仿宋_GB2312" w:eastAsia="仿宋_GB2312"/>
              </w:rPr>
              <w:t>具有新米的清香味，无陈米异味、无霉味</w:t>
            </w:r>
            <w:r>
              <w:rPr>
                <w:rFonts w:ascii="仿宋_GB2312" w:hAnsi="仿宋_GB2312" w:cs="仿宋_GB2312" w:eastAsia="仿宋_GB2312"/>
              </w:rPr>
              <w:t>；</w:t>
            </w:r>
          </w:p>
          <w:p>
            <w:pPr>
              <w:pStyle w:val="null3"/>
            </w:pPr>
            <w:r>
              <w:rPr>
                <w:rFonts w:ascii="仿宋_GB2312" w:hAnsi="仿宋_GB2312" w:cs="仿宋_GB2312" w:eastAsia="仿宋_GB2312"/>
              </w:rPr>
              <w:t>④</w:t>
            </w:r>
            <w:r>
              <w:rPr>
                <w:rFonts w:ascii="仿宋_GB2312" w:hAnsi="仿宋_GB2312" w:cs="仿宋_GB2312" w:eastAsia="仿宋_GB2312"/>
              </w:rPr>
              <w:t>滋味</w:t>
            </w:r>
            <w:r>
              <w:rPr>
                <w:rFonts w:ascii="仿宋_GB2312" w:hAnsi="仿宋_GB2312" w:cs="仿宋_GB2312" w:eastAsia="仿宋_GB2312"/>
              </w:rPr>
              <w:t>：</w:t>
            </w:r>
            <w:r>
              <w:rPr>
                <w:rFonts w:ascii="仿宋_GB2312" w:hAnsi="仿宋_GB2312" w:cs="仿宋_GB2312" w:eastAsia="仿宋_GB2312"/>
              </w:rPr>
              <w:t>口感软糯、醇厚微甜</w:t>
            </w:r>
            <w:r>
              <w:rPr>
                <w:rFonts w:ascii="仿宋_GB2312" w:hAnsi="仿宋_GB2312" w:cs="仿宋_GB2312" w:eastAsia="仿宋_GB2312"/>
              </w:rPr>
              <w:t>；</w:t>
            </w:r>
          </w:p>
          <w:p>
            <w:pPr>
              <w:pStyle w:val="null3"/>
            </w:pPr>
            <w:r>
              <w:rPr>
                <w:rFonts w:ascii="仿宋_GB2312" w:hAnsi="仿宋_GB2312" w:cs="仿宋_GB2312" w:eastAsia="仿宋_GB2312"/>
              </w:rPr>
              <w:t>⑤</w:t>
            </w:r>
            <w:r>
              <w:rPr>
                <w:rFonts w:ascii="仿宋_GB2312" w:hAnsi="仿宋_GB2312" w:cs="仿宋_GB2312" w:eastAsia="仿宋_GB2312"/>
              </w:rPr>
              <w:t>成分</w:t>
            </w:r>
            <w:r>
              <w:rPr>
                <w:rFonts w:ascii="仿宋_GB2312" w:hAnsi="仿宋_GB2312" w:cs="仿宋_GB2312" w:eastAsia="仿宋_GB2312"/>
              </w:rPr>
              <w:t>：</w:t>
            </w:r>
            <w:r>
              <w:rPr>
                <w:rFonts w:ascii="仿宋_GB2312" w:hAnsi="仿宋_GB2312" w:cs="仿宋_GB2312" w:eastAsia="仿宋_GB2312"/>
              </w:rPr>
              <w:t>100%非转基因，水分含量适中</w:t>
            </w:r>
            <w:r>
              <w:rPr>
                <w:rFonts w:ascii="仿宋_GB2312" w:hAnsi="仿宋_GB2312" w:cs="仿宋_GB2312" w:eastAsia="仿宋_GB2312"/>
              </w:rPr>
              <w:t>；</w:t>
            </w:r>
          </w:p>
          <w:p>
            <w:pPr>
              <w:pStyle w:val="null3"/>
            </w:pPr>
            <w:r>
              <w:rPr>
                <w:rFonts w:ascii="仿宋_GB2312" w:hAnsi="仿宋_GB2312" w:cs="仿宋_GB2312" w:eastAsia="仿宋_GB2312"/>
              </w:rPr>
              <w:t>⑥</w:t>
            </w:r>
            <w:r>
              <w:rPr>
                <w:rFonts w:ascii="仿宋_GB2312" w:hAnsi="仿宋_GB2312" w:cs="仿宋_GB2312" w:eastAsia="仿宋_GB2312"/>
              </w:rPr>
              <w:t>感观、理化、安全等各项指标合格，符合标准要求</w:t>
            </w:r>
            <w:r>
              <w:rPr>
                <w:rFonts w:ascii="仿宋_GB2312" w:hAnsi="仿宋_GB2312" w:cs="仿宋_GB2312" w:eastAsia="仿宋_GB2312"/>
              </w:rPr>
              <w:t>，</w:t>
            </w:r>
            <w:r>
              <w:rPr>
                <w:rFonts w:ascii="仿宋_GB2312" w:hAnsi="仿宋_GB2312" w:cs="仿宋_GB2312" w:eastAsia="仿宋_GB2312"/>
              </w:rPr>
              <w:t>无违禁成分</w:t>
            </w:r>
            <w:r>
              <w:rPr>
                <w:rFonts w:ascii="仿宋_GB2312" w:hAnsi="仿宋_GB2312" w:cs="仿宋_GB2312" w:eastAsia="仿宋_GB2312"/>
              </w:rPr>
              <w:t>；</w:t>
            </w:r>
          </w:p>
          <w:p>
            <w:pPr>
              <w:pStyle w:val="null3"/>
            </w:pPr>
            <w:r>
              <w:rPr>
                <w:rFonts w:ascii="仿宋_GB2312" w:hAnsi="仿宋_GB2312" w:cs="仿宋_GB2312" w:eastAsia="仿宋_GB2312"/>
              </w:rPr>
              <w:t>2.包装规格:25kg/袋</w:t>
            </w:r>
            <w:r>
              <w:rPr>
                <w:rFonts w:ascii="仿宋_GB2312" w:hAnsi="仿宋_GB2312" w:cs="仿宋_GB2312" w:eastAsia="仿宋_GB2312"/>
              </w:rPr>
              <w:t>；</w:t>
            </w:r>
          </w:p>
          <w:p>
            <w:pPr>
              <w:pStyle w:val="null3"/>
            </w:pPr>
            <w:r>
              <w:rPr>
                <w:rFonts w:ascii="仿宋_GB2312" w:hAnsi="仿宋_GB2312" w:cs="仿宋_GB2312" w:eastAsia="仿宋_GB2312"/>
              </w:rPr>
              <w:t>3.标签标识:标签标识清晰，内容完整，符合行业标准及规范要求</w:t>
            </w:r>
            <w:r>
              <w:rPr>
                <w:rFonts w:ascii="仿宋_GB2312" w:hAnsi="仿宋_GB2312" w:cs="仿宋_GB2312" w:eastAsia="仿宋_GB2312"/>
              </w:rPr>
              <w:t>；</w:t>
            </w:r>
          </w:p>
          <w:p>
            <w:pPr>
              <w:pStyle w:val="null3"/>
            </w:pPr>
            <w:r>
              <w:rPr>
                <w:rFonts w:ascii="仿宋_GB2312" w:hAnsi="仿宋_GB2312" w:cs="仿宋_GB2312" w:eastAsia="仿宋_GB2312"/>
              </w:rPr>
              <w:t>4.包装:独立包装，便于运输、储存，外包装必须符合《粮食销售包装》要求,包装袋清洁无污渍、无破损、无渗漏</w:t>
            </w:r>
            <w:r>
              <w:rPr>
                <w:rFonts w:ascii="仿宋_GB2312" w:hAnsi="仿宋_GB2312" w:cs="仿宋_GB2312" w:eastAsia="仿宋_GB2312"/>
              </w:rPr>
              <w:t>；</w:t>
            </w:r>
          </w:p>
          <w:p>
            <w:pPr>
              <w:pStyle w:val="null3"/>
            </w:pPr>
            <w:r>
              <w:rPr>
                <w:rFonts w:ascii="仿宋_GB2312" w:hAnsi="仿宋_GB2312" w:cs="仿宋_GB2312" w:eastAsia="仿宋_GB2312"/>
              </w:rPr>
              <w:t>5.质量标准</w:t>
            </w:r>
            <w:r>
              <w:rPr>
                <w:rFonts w:ascii="仿宋_GB2312" w:hAnsi="仿宋_GB2312" w:cs="仿宋_GB2312" w:eastAsia="仿宋_GB2312"/>
              </w:rPr>
              <w:t>：</w:t>
            </w:r>
            <w:r>
              <w:rPr>
                <w:rFonts w:ascii="仿宋_GB2312" w:hAnsi="仿宋_GB2312" w:cs="仿宋_GB2312" w:eastAsia="仿宋_GB2312"/>
              </w:rPr>
              <w:t>GB/T1354-2018,严禁使用陈化粮及其再加工产品</w:t>
            </w:r>
            <w:r>
              <w:rPr>
                <w:rFonts w:ascii="仿宋_GB2312" w:hAnsi="仿宋_GB2312" w:cs="仿宋_GB2312" w:eastAsia="仿宋_GB2312"/>
              </w:rPr>
              <w:t>；</w:t>
            </w:r>
          </w:p>
          <w:p>
            <w:pPr>
              <w:pStyle w:val="null3"/>
            </w:pPr>
            <w:r>
              <w:rPr>
                <w:rFonts w:ascii="仿宋_GB2312" w:hAnsi="仿宋_GB2312" w:cs="仿宋_GB2312" w:eastAsia="仿宋_GB2312"/>
              </w:rPr>
              <w:t>6.保证所供货物满足国家强制标准要求，货品剩余保质期不少于标注保质期三分之二，随货提供合格证、批次检测报告等</w:t>
            </w:r>
            <w:r>
              <w:rPr>
                <w:rFonts w:ascii="仿宋_GB2312" w:hAnsi="仿宋_GB2312" w:cs="仿宋_GB2312" w:eastAsia="仿宋_GB2312"/>
              </w:rPr>
              <w:t>；</w:t>
            </w:r>
          </w:p>
          <w:p>
            <w:pPr>
              <w:pStyle w:val="null3"/>
            </w:pPr>
            <w:r>
              <w:rPr>
                <w:rFonts w:ascii="仿宋_GB2312" w:hAnsi="仿宋_GB2312" w:cs="仿宋_GB2312" w:eastAsia="仿宋_GB2312"/>
              </w:rPr>
              <w:t>7.保证货物来源渠道正规，商家信誉良好，未发过重大安全事件，杜绝假冒伪劣产品</w:t>
            </w:r>
            <w:r>
              <w:rPr>
                <w:rFonts w:ascii="仿宋_GB2312" w:hAnsi="仿宋_GB2312" w:cs="仿宋_GB2312" w:eastAsia="仿宋_GB2312"/>
              </w:rPr>
              <w:t>；</w:t>
            </w:r>
          </w:p>
          <w:p>
            <w:pPr>
              <w:pStyle w:val="null3"/>
            </w:pPr>
            <w:r>
              <w:rPr>
                <w:rFonts w:ascii="仿宋_GB2312" w:hAnsi="仿宋_GB2312" w:cs="仿宋_GB2312" w:eastAsia="仿宋_GB2312"/>
                <w:sz w:val="21"/>
              </w:rPr>
              <w:t>8.符合国家及行业相关标准，提供CMA/CNAS检测报告。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自合同签订之日起1年，在供货期内，可保证在接到采购人需求通知后，按照采购人要求的时间将所需货品送达指定地点。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自合同签订之日起1年，在供货期内，可保证在接到采购人需求通知后，按照采购人要求的时间将所需货品送达指定地点。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按照采购人需求按时供货，货到指定地点并申请验收，验收合格后，采购人根据资金情况与供应商确定付款进度，采购人通过银行转账的方式向供应商支付货款。供应商需向采购人开具等额的正式发票，并提供银行账号，达到付款条件起 15 日内，支付合同总金额的 50.00%，达到付款条件起15个工作日内，支付合同总金额的50.0%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按照采购人需求按时供货，货到指定地点并申请验收，验收合格后，采购人根据资金情况与供应商确定付款进度，采购人通过银行转账的方式向供应商支付货款。供应商需向采购人开具等额的正式发票，并提供银行账号，达到付款条件起 15 日内，支付合同总金额的 50.00%，达到付款条件起15个工作日内，支付合同总金额的50.0%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付款条件说明：合同签订后，供应商按照采购人需求按时供货，货到指定地点并申请验收，验收合格后，采购人根据资金情况与供应商确定付款进度，采购人通过银行转账的方式向供应商支付货款。供应商需向采购人开具等额的正式发票，并提供银行账号，达到付款条件起 15 日内，支付合同总金额的 50.00%，达到付款条件起15个工作日内，支付合同总金额的50.0%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进度款，付款条件说明： 供应商按照采购人需求按时供货，货到指定地点并申请验收，验收合格后，采购人根据资金情况与供应商确定付款进度，采购人通过银行转账的方式向供应商支付货款。供应商需向采购人开具等额的正式发票，并提供银行账号，达到付款条件起 15 日内，支付合同总金额的 50.00%，达到付款条件起15个工作日内，支付合同总金额的50.0%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验收方式:分阶段验收，中标供应商按照采购人需求按时送货，并申请验收，采购人验收后签验收单。验收标准:符合国家相关规范标准及采购人要求。根据招标文件要求、投标文件及合同约定执行。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验收方式:分阶段验收，中标供应商按照采购人需求按时送货，并申请验收，采购人验收后签验收单。验收标准:符合国家相关规范标准及采购人要求。根据招标文件要求、投标文件及合同约定执行。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满足国家产品质保要求。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满足国家产品质保要求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应按采购人要求进行米面油的供应，同时符合《中华人民共和国产品质量法》《中华人民共和国食品安全法》，有国家标准的执行国家标准。在本项目实施过程中不允许出现任何食品安全事故，否则由中标供应商承担全部事故责任及赔偿责任，并按照合同承担违约责任。 2.中标供应商需具备稳定的生产及供应能力，在配送过程充分考虑天气、运输条件、节假日、限号、桥梁断裂、道路塌方以及不可预见的公共卫生事件等一切因素，在限定的期限内，确保供应充足同时保证按时交货，满足监狱需求。 3.项目实施过程中，中标供应商应履行自身的各项承诺，如果发生特殊情况，在收到采购人通知后2小时内有效响应，24小时内配送到位。 4.本项目为固定总价合同，供应商的投标报价应包括材料费、运输费、税金、装卸费、招标代理费、投标费用等完成采购要求的一切费用，采购人不另行支付中标金额以外的任何费用。 5.使用综合评分法的采购项目，提供相同品牌产品且通过资格审查、符合性审查的不同投标人参加同一合同项下投标的，按一家投标人计算，评审后得分最高的同品牌投标人获得中标人推荐资格；评审得分相同的，按投标报价由低到高的顺序推荐，评审得分且投标报价都相同的，则按实施方案得分由高到低的顺序推荐。本项目采购包1：面粉、油核心产品为面粉；采购包2：大米 核心产品为大米。 6.中标供应商需在领取中标通知书时，向招标代理机构提交1份完整的纸质投标响应文件，纸质投标响应文件须和陕西省政府采购平台电子投标响应文件保持一致。 7.评审时，评审得分相同的处理办法说明：评审得分相同的，按投标报价由低到高顺序排列；评审得分且投标报价相同的，按实施方案得分由高到低顺序排列。 8.本项目为非专门面向中小企业采购。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供应商须具有健全的财务会计制度</w:t>
            </w:r>
          </w:p>
        </w:tc>
        <w:tc>
          <w:tcPr>
            <w:tcW w:type="dxa" w:w="3322"/>
          </w:tcPr>
          <w:p>
            <w:pPr>
              <w:pStyle w:val="null3"/>
            </w:pPr>
            <w:r>
              <w:rPr>
                <w:rFonts w:ascii="仿宋_GB2312" w:hAnsi="仿宋_GB2312" w:cs="仿宋_GB2312" w:eastAsia="仿宋_GB2312"/>
              </w:rPr>
              <w:t>提供2024年或2025年度完整的经审计的财务报告（成立时间至投标文件提交截止时间不足一年的可提供成立后任意时段的资产负债表、利润表、现金流量表），或提交单位近半年以来银行（基本户开户行）出具的资信证明（以上两种形式的资料提供任何一种即可）；其他组织和自然人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响应文件提交截止时间前，近一年内至少三个月的纳税证明或完税证明（增值税，印花税，城市维护建设费，企业所得税等一种或多种税种），依法免税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响应文件提交截止时间前，近一年内至少三个月的社会保障资金缴存证明资料或社保机构开具的社会保险参保缴费情况证明，依法不需要缴纳社会保障资金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所必需的设备和专业技术能力声明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为生产厂家的须具备有效的《食品生产许可证》；供应商为代理商的须提供《食品经营许可证》或《预包装食品经营者备案表》及所投产品生产厂家《食品生产许可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限制投标情况</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除单一来源采购外，为采购项目提供整体设计、规范编制或者项目管理、监理、检测等服务的供应商，不得再参加该采购项目的其他采购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供应商须具有健全的财务会计制度</w:t>
            </w:r>
          </w:p>
        </w:tc>
        <w:tc>
          <w:tcPr>
            <w:tcW w:type="dxa" w:w="3322"/>
          </w:tcPr>
          <w:p>
            <w:pPr>
              <w:pStyle w:val="null3"/>
            </w:pPr>
            <w:r>
              <w:rPr>
                <w:rFonts w:ascii="仿宋_GB2312" w:hAnsi="仿宋_GB2312" w:cs="仿宋_GB2312" w:eastAsia="仿宋_GB2312"/>
              </w:rPr>
              <w:t>提供2024年或2025年度完整的经审计的财务报告（成立时间至投标文件提交截止时间不足一年的可提供成立后任意时段的资产负债表、利润表、现金流量表），或提交单位近半年以来银行（基本户开户行）出具的资信证明（以上两种形式的资料提供任何一种即可）；其他组织和自然人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响应文件提交截止时间前，近一年内至少三个月的纳税证明或完税证明（增值税，印花税，城市维护建设费，企业所得税等一种或多种税种），依法免税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响应文件提交截止时间前，近一年内至少三个月的社会保障资金缴存证明资料或社保机构开具的社会保险参保缴费情况证明，依法不需要缴纳社会保障资金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所必需的设备和专业技术能力声明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为生产厂家的须具备有效的《食品生产许可证》；供应商为代理商的须提供《食品经营许可证》或《预包装食品经营者备案表》及所投产品生产厂家《食品生产许可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限制投标情况</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除单一来源采购外，为采购项目提供整体设计、规范编制或者项目管理、监理、检测等服务的供应商，不得再参加该采购项目的其他采购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报价一览表包1.docx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供应商名称应与营业执照等一致。</w:t>
            </w:r>
          </w:p>
        </w:tc>
        <w:tc>
          <w:tcPr>
            <w:tcW w:type="dxa" w:w="1661"/>
          </w:tcPr>
          <w:p>
            <w:pPr>
              <w:pStyle w:val="null3"/>
            </w:pPr>
            <w:r>
              <w:rPr>
                <w:rFonts w:ascii="仿宋_GB2312" w:hAnsi="仿宋_GB2312" w:cs="仿宋_GB2312" w:eastAsia="仿宋_GB2312"/>
              </w:rPr>
              <w:t>开标一览表 技术偏离表.docx 投标函 标的清单 报价一览表包1.docx 投标文件封面 商务偏离表.docx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投标文件需在项目电子化交易系统中按要求填写并进行电子签章。</w:t>
            </w:r>
          </w:p>
        </w:tc>
        <w:tc>
          <w:tcPr>
            <w:tcW w:type="dxa" w:w="1661"/>
          </w:tcPr>
          <w:p>
            <w:pPr>
              <w:pStyle w:val="null3"/>
            </w:pPr>
            <w:r>
              <w:rPr>
                <w:rFonts w:ascii="仿宋_GB2312" w:hAnsi="仿宋_GB2312" w:cs="仿宋_GB2312" w:eastAsia="仿宋_GB2312"/>
              </w:rPr>
              <w:t>开标一览表 投标函 标的清单 报价一览表包1.docx 投标文件封面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投标文件报价是否唯一</w:t>
            </w:r>
          </w:p>
        </w:tc>
        <w:tc>
          <w:tcPr>
            <w:tcW w:type="dxa" w:w="3322"/>
          </w:tcPr>
          <w:p>
            <w:pPr>
              <w:pStyle w:val="null3"/>
            </w:pPr>
            <w:r>
              <w:rPr>
                <w:rFonts w:ascii="仿宋_GB2312" w:hAnsi="仿宋_GB2312" w:cs="仿宋_GB2312" w:eastAsia="仿宋_GB2312"/>
              </w:rPr>
              <w:t>投标报价有且只有一个，投标报价不得超过最高限价。</w:t>
            </w:r>
          </w:p>
        </w:tc>
        <w:tc>
          <w:tcPr>
            <w:tcW w:type="dxa" w:w="1661"/>
          </w:tcPr>
          <w:p>
            <w:pPr>
              <w:pStyle w:val="null3"/>
            </w:pPr>
            <w:r>
              <w:rPr>
                <w:rFonts w:ascii="仿宋_GB2312" w:hAnsi="仿宋_GB2312" w:cs="仿宋_GB2312" w:eastAsia="仿宋_GB2312"/>
              </w:rPr>
              <w:t>开标一览表 标的清单 报价一览表包1.docx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供应商是否交纳投标保证金</w:t>
            </w:r>
          </w:p>
        </w:tc>
        <w:tc>
          <w:tcPr>
            <w:tcW w:type="dxa" w:w="3322"/>
          </w:tcPr>
          <w:p>
            <w:pPr>
              <w:pStyle w:val="null3"/>
            </w:pPr>
            <w:r>
              <w:rPr>
                <w:rFonts w:ascii="仿宋_GB2312" w:hAnsi="仿宋_GB2312" w:cs="仿宋_GB2312" w:eastAsia="仿宋_GB2312"/>
              </w:rPr>
              <w:t>供应商应按照招标文件的规定交纳投标保证金。</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报价一览表包1.docx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自合同签订之日起1年，在供货期内，可保证在接到采购人需求通知后，按照采购人要求的时间将所需货品送达指定地点。</w:t>
            </w:r>
          </w:p>
        </w:tc>
        <w:tc>
          <w:tcPr>
            <w:tcW w:type="dxa" w:w="1661"/>
          </w:tcPr>
          <w:p>
            <w:pPr>
              <w:pStyle w:val="null3"/>
            </w:pPr>
            <w:r>
              <w:rPr>
                <w:rFonts w:ascii="仿宋_GB2312" w:hAnsi="仿宋_GB2312" w:cs="仿宋_GB2312" w:eastAsia="仿宋_GB2312"/>
              </w:rPr>
              <w:t>报价一览表包1.docx 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满足国家产品质保要求。</w:t>
            </w:r>
          </w:p>
        </w:tc>
        <w:tc>
          <w:tcPr>
            <w:tcW w:type="dxa" w:w="1661"/>
          </w:tcPr>
          <w:p>
            <w:pPr>
              <w:pStyle w:val="null3"/>
            </w:pPr>
            <w:r>
              <w:rPr>
                <w:rFonts w:ascii="仿宋_GB2312" w:hAnsi="仿宋_GB2312" w:cs="仿宋_GB2312" w:eastAsia="仿宋_GB2312"/>
              </w:rPr>
              <w:t>报价一览表包1.docx 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满足国家产品质量标准和采购人的要求。</w:t>
            </w:r>
          </w:p>
        </w:tc>
        <w:tc>
          <w:tcPr>
            <w:tcW w:type="dxa" w:w="1661"/>
          </w:tcPr>
          <w:p>
            <w:pPr>
              <w:pStyle w:val="null3"/>
            </w:pPr>
            <w:r>
              <w:rPr>
                <w:rFonts w:ascii="仿宋_GB2312" w:hAnsi="仿宋_GB2312" w:cs="仿宋_GB2312" w:eastAsia="仿宋_GB2312"/>
              </w:rPr>
              <w:t>报价一览表包1.docx 商务偏离表.docx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投标文件中是否含有采购人不能接受的附加条件的或其他情形</w:t>
            </w:r>
          </w:p>
        </w:tc>
        <w:tc>
          <w:tcPr>
            <w:tcW w:type="dxa" w:w="3322"/>
          </w:tcPr>
          <w:p>
            <w:pPr>
              <w:pStyle w:val="null3"/>
            </w:pPr>
            <w:r>
              <w:rPr>
                <w:rFonts w:ascii="仿宋_GB2312" w:hAnsi="仿宋_GB2312" w:cs="仿宋_GB2312" w:eastAsia="仿宋_GB2312"/>
              </w:rPr>
              <w:t>投标文件中未含有采购人不能接受的附加条件的或其他情形。</w:t>
            </w:r>
          </w:p>
        </w:tc>
        <w:tc>
          <w:tcPr>
            <w:tcW w:type="dxa" w:w="1661"/>
          </w:tcPr>
          <w:p>
            <w:pPr>
              <w:pStyle w:val="null3"/>
            </w:pPr>
            <w:r>
              <w:rPr>
                <w:rFonts w:ascii="仿宋_GB2312" w:hAnsi="仿宋_GB2312" w:cs="仿宋_GB2312" w:eastAsia="仿宋_GB2312"/>
              </w:rPr>
              <w:t>供应商认为有必要提供的其他资料.docx 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报价一览表包2.docx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供应商名称应与营业执照等一致。</w:t>
            </w:r>
          </w:p>
        </w:tc>
        <w:tc>
          <w:tcPr>
            <w:tcW w:type="dxa" w:w="1661"/>
          </w:tcPr>
          <w:p>
            <w:pPr>
              <w:pStyle w:val="null3"/>
            </w:pPr>
            <w:r>
              <w:rPr>
                <w:rFonts w:ascii="仿宋_GB2312" w:hAnsi="仿宋_GB2312" w:cs="仿宋_GB2312" w:eastAsia="仿宋_GB2312"/>
              </w:rPr>
              <w:t>开标一览表 报价一览表包2.docx 投标函 标的清单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投标文件需在项目电子化交易系统中按要求填写并进行电子签章。</w:t>
            </w:r>
          </w:p>
        </w:tc>
        <w:tc>
          <w:tcPr>
            <w:tcW w:type="dxa" w:w="1661"/>
          </w:tcPr>
          <w:p>
            <w:pPr>
              <w:pStyle w:val="null3"/>
            </w:pPr>
            <w:r>
              <w:rPr>
                <w:rFonts w:ascii="仿宋_GB2312" w:hAnsi="仿宋_GB2312" w:cs="仿宋_GB2312" w:eastAsia="仿宋_GB2312"/>
              </w:rPr>
              <w:t>开标一览表 报价一览表包2.docx 投标函 标的清单 投标文件封面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投标文件报价是否唯一</w:t>
            </w:r>
          </w:p>
        </w:tc>
        <w:tc>
          <w:tcPr>
            <w:tcW w:type="dxa" w:w="3322"/>
          </w:tcPr>
          <w:p>
            <w:pPr>
              <w:pStyle w:val="null3"/>
            </w:pPr>
            <w:r>
              <w:rPr>
                <w:rFonts w:ascii="仿宋_GB2312" w:hAnsi="仿宋_GB2312" w:cs="仿宋_GB2312" w:eastAsia="仿宋_GB2312"/>
              </w:rPr>
              <w:t>投标报价有且只有一个，投标报价不得超过最高限价。</w:t>
            </w:r>
          </w:p>
        </w:tc>
        <w:tc>
          <w:tcPr>
            <w:tcW w:type="dxa" w:w="1661"/>
          </w:tcPr>
          <w:p>
            <w:pPr>
              <w:pStyle w:val="null3"/>
            </w:pPr>
            <w:r>
              <w:rPr>
                <w:rFonts w:ascii="仿宋_GB2312" w:hAnsi="仿宋_GB2312" w:cs="仿宋_GB2312" w:eastAsia="仿宋_GB2312"/>
              </w:rPr>
              <w:t>开标一览表 报价一览表包2.docx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供应商是否交纳投标保证金</w:t>
            </w:r>
          </w:p>
        </w:tc>
        <w:tc>
          <w:tcPr>
            <w:tcW w:type="dxa" w:w="3322"/>
          </w:tcPr>
          <w:p>
            <w:pPr>
              <w:pStyle w:val="null3"/>
            </w:pPr>
            <w:r>
              <w:rPr>
                <w:rFonts w:ascii="仿宋_GB2312" w:hAnsi="仿宋_GB2312" w:cs="仿宋_GB2312" w:eastAsia="仿宋_GB2312"/>
              </w:rPr>
              <w:t>供应商应按照招标文件的规定交纳投标保证金。</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报价一览表包2.docx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自合同签订之日起1年，在供货期内，可保证在接到采购人需求通知后，按照采购人要求的时间将所需货品送达指定地点。</w:t>
            </w:r>
          </w:p>
        </w:tc>
        <w:tc>
          <w:tcPr>
            <w:tcW w:type="dxa" w:w="1661"/>
          </w:tcPr>
          <w:p>
            <w:pPr>
              <w:pStyle w:val="null3"/>
            </w:pPr>
            <w:r>
              <w:rPr>
                <w:rFonts w:ascii="仿宋_GB2312" w:hAnsi="仿宋_GB2312" w:cs="仿宋_GB2312" w:eastAsia="仿宋_GB2312"/>
              </w:rPr>
              <w:t>报价一览表包2.docx 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满足国家产品质保要求。</w:t>
            </w:r>
          </w:p>
        </w:tc>
        <w:tc>
          <w:tcPr>
            <w:tcW w:type="dxa" w:w="1661"/>
          </w:tcPr>
          <w:p>
            <w:pPr>
              <w:pStyle w:val="null3"/>
            </w:pPr>
            <w:r>
              <w:rPr>
                <w:rFonts w:ascii="仿宋_GB2312" w:hAnsi="仿宋_GB2312" w:cs="仿宋_GB2312" w:eastAsia="仿宋_GB2312"/>
              </w:rPr>
              <w:t>报价一览表包2.docx 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满足国家产品质量标准和采购人的要求。</w:t>
            </w:r>
          </w:p>
        </w:tc>
        <w:tc>
          <w:tcPr>
            <w:tcW w:type="dxa" w:w="1661"/>
          </w:tcPr>
          <w:p>
            <w:pPr>
              <w:pStyle w:val="null3"/>
            </w:pPr>
            <w:r>
              <w:rPr>
                <w:rFonts w:ascii="仿宋_GB2312" w:hAnsi="仿宋_GB2312" w:cs="仿宋_GB2312" w:eastAsia="仿宋_GB2312"/>
              </w:rPr>
              <w:t>报价一览表包2.docx 商务偏离表.docx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投标文件中是否含有采购人不能接受的附加条件的或其他情形</w:t>
            </w:r>
          </w:p>
        </w:tc>
        <w:tc>
          <w:tcPr>
            <w:tcW w:type="dxa" w:w="3322"/>
          </w:tcPr>
          <w:p>
            <w:pPr>
              <w:pStyle w:val="null3"/>
            </w:pPr>
            <w:r>
              <w:rPr>
                <w:rFonts w:ascii="仿宋_GB2312" w:hAnsi="仿宋_GB2312" w:cs="仿宋_GB2312" w:eastAsia="仿宋_GB2312"/>
              </w:rPr>
              <w:t>投标文件中未含有采购人不能接受的附加条件的或其他情形。</w:t>
            </w:r>
          </w:p>
        </w:tc>
        <w:tc>
          <w:tcPr>
            <w:tcW w:type="dxa" w:w="1661"/>
          </w:tcPr>
          <w:p>
            <w:pPr>
              <w:pStyle w:val="null3"/>
            </w:pPr>
            <w:r>
              <w:rPr>
                <w:rFonts w:ascii="仿宋_GB2312" w:hAnsi="仿宋_GB2312" w:cs="仿宋_GB2312" w:eastAsia="仿宋_GB2312"/>
              </w:rPr>
              <w:t>供应商认为有必要提供的其他资料.docx 供应商承诺书.docx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具有2023年1月（以合同签订落款时间为准）至响应文件递交截止时间前类似项目业绩的，业绩证明资料需提供合同协议书，有一个类似业绩得5分，本项最高得20分。响应文件中需附业绩证明关键页资料复印件或扫描件加盖公章。业绩证明资料弄虚作假者，取消其投标或者中标资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供应商业绩汇总表.docx</w:t>
            </w:r>
          </w:p>
        </w:tc>
      </w:tr>
      <w:tr>
        <w:tc>
          <w:tcPr>
            <w:tcW w:type="dxa" w:w="831"/>
            <w:vMerge/>
          </w:tcP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供应商需逐条响应招标文件中的技术参数要求，完全响应得5分，如存在负偏离项，每有一项负偏离扣0.5分，扣完为止。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供应商针对所响应的技术参数均提供证明资料的（不限于检测报告、产品彩页、技术说明等），得10分，如存在缺项，每缺一项扣1分，扣完为止。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特点及采购人实际需求，供应商投标文件中有专门针对本项目的实施方案，包括货品的①包装；②备货；③运输；④交付及验收内容。方案各项内容全面详细、阐述条例清晰详尽，得8分；评审内容每缺一项扣2分；各项中如有缺陷，每有1处扣0.5分，各项扣完为止。 （注：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进度保证（1）</w:t>
            </w:r>
          </w:p>
        </w:tc>
        <w:tc>
          <w:tcPr>
            <w:tcW w:type="dxa" w:w="2492"/>
          </w:tcPr>
          <w:p>
            <w:pPr>
              <w:pStyle w:val="null3"/>
            </w:pPr>
            <w:r>
              <w:rPr>
                <w:rFonts w:ascii="仿宋_GB2312" w:hAnsi="仿宋_GB2312" w:cs="仿宋_GB2312" w:eastAsia="仿宋_GB2312"/>
              </w:rPr>
              <w:t>根据本项目特点及采购人实际需求，投标文件中有明确的①进度计划；②进度保证措施；确保在采购人每次要求供货时，能及时完成货物的供应和安装。以上2项内容均内容完整、合理、不存在缺陷，得4分；评审内容每缺一项扣2分；各项中如有缺陷，每有1处扣0.5分，各项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进度保证（2）</w:t>
            </w:r>
          </w:p>
        </w:tc>
        <w:tc>
          <w:tcPr>
            <w:tcW w:type="dxa" w:w="2492"/>
          </w:tcPr>
          <w:p>
            <w:pPr>
              <w:pStyle w:val="null3"/>
            </w:pPr>
            <w:r>
              <w:rPr>
                <w:rFonts w:ascii="仿宋_GB2312" w:hAnsi="仿宋_GB2312" w:cs="仿宋_GB2312" w:eastAsia="仿宋_GB2312"/>
              </w:rPr>
              <w:t>拟投入本项目的运输设备情况：投入运输设备数量在3辆及以上的，得5分，投入运输设备数量为2辆的，得3分，投入运输设备数量为1辆的，得1分，拟投入运输设备若是自有设备，需提供车辆照片和行驶证，拟投入运输设备若是租赁设备，需提供车辆照片、租赁合同、行驶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进度保证（3）</w:t>
            </w:r>
          </w:p>
        </w:tc>
        <w:tc>
          <w:tcPr>
            <w:tcW w:type="dxa" w:w="2492"/>
          </w:tcPr>
          <w:p>
            <w:pPr>
              <w:pStyle w:val="null3"/>
            </w:pPr>
            <w:r>
              <w:rPr>
                <w:rFonts w:ascii="仿宋_GB2312" w:hAnsi="仿宋_GB2312" w:cs="仿宋_GB2312" w:eastAsia="仿宋_GB2312"/>
              </w:rPr>
              <w:t>拟投入本项目的人员配备情况：投入人员数量在8人及以上的，得10分，投入人员数量在4～7人的，得6分，投入人员数量在3人及以下的，得2分；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进度保证.docx</w:t>
            </w:r>
          </w:p>
          <w:p>
            <w:pPr>
              <w:pStyle w:val="null3"/>
            </w:pPr>
            <w:r>
              <w:rPr>
                <w:rFonts w:ascii="仿宋_GB2312" w:hAnsi="仿宋_GB2312" w:cs="仿宋_GB2312" w:eastAsia="仿宋_GB2312"/>
              </w:rPr>
              <w:t>拟投入本项目人员组成.docx</w:t>
            </w:r>
          </w:p>
        </w:tc>
      </w:tr>
      <w:tr>
        <w:tc>
          <w:tcPr>
            <w:tcW w:type="dxa" w:w="831"/>
            <w:vMerge/>
          </w:tcPr>
          <w:p/>
        </w:tc>
        <w:tc>
          <w:tcPr>
            <w:tcW w:type="dxa" w:w="1661"/>
          </w:tcPr>
          <w:p>
            <w:pPr>
              <w:pStyle w:val="null3"/>
            </w:pPr>
            <w:r>
              <w:rPr>
                <w:rFonts w:ascii="仿宋_GB2312" w:hAnsi="仿宋_GB2312" w:cs="仿宋_GB2312" w:eastAsia="仿宋_GB2312"/>
              </w:rPr>
              <w:t>进度保证（4）</w:t>
            </w:r>
          </w:p>
        </w:tc>
        <w:tc>
          <w:tcPr>
            <w:tcW w:type="dxa" w:w="2492"/>
          </w:tcPr>
          <w:p>
            <w:pPr>
              <w:pStyle w:val="null3"/>
            </w:pPr>
            <w:r>
              <w:rPr>
                <w:rFonts w:ascii="仿宋_GB2312" w:hAnsi="仿宋_GB2312" w:cs="仿宋_GB2312" w:eastAsia="仿宋_GB2312"/>
              </w:rPr>
              <w:t>根据拟投入本项目人员的分工情况：岗位分工明确合理，岗位职责描述详细，得2分；评审内容中如有缺陷，每有1处扣0.5分，扣完为止。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为保证供应商提供的货物质量能达到招标文件中的技术要求，提供①质量管理制度；②产品质量承诺；③产品质量证明资料（不限于厂家授权、销售协议、代理协议、产品合格证等）。以上3项内容均内容完整、合理、不存在缺陷，得3分；评审内容每缺一项扣1分；各项中如有缺陷，每有1处扣0.5分，各项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具有科学完善的售后服务，服务内容包含：①售后服务范围；②售后处理响应时间及方式；③售后服务人员配备。以上3项内容均内容完整、合理、不存在缺陷，得3分；评审内容每缺一项扣1分；各项中如有缺陷，每有1处扣0.5分，各项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报价一览表包1.docx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价格分统一采用低价优先法计算，即满足招标文件要求且投标报价最低的投标报价为评标基准价，其价格分为满分。其他供应商的价格分统一按照下列公式计算：投标报价得分=(评标基准价／投标报价)×30 注： 1.计算分数时四舍五入取小数点后两位； 2.落实政府采购政策参见政府采购政策评分标准。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具有2023年1月（以合同签订落款时间为准）至响应文件递交截止时间前类似项目业绩的，业绩证明资料需提供合同协议书，有一个类似业绩得5分，本项最高得20分。响应文件中需附业绩证明关键页资料复印件或扫描件加盖公章。业绩证明资料弄虚作假者，取消其投标或者中标资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供应商业绩汇总表.docx</w:t>
            </w:r>
          </w:p>
        </w:tc>
      </w:tr>
      <w:tr>
        <w:tc>
          <w:tcPr>
            <w:tcW w:type="dxa" w:w="831"/>
            <w:vMerge/>
          </w:tcP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供应商需逐条响应招标文件中的技术参数要求，完全响应得5分，如存在负偏离项，每有一项负偏离扣0.5分，扣完为止。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供应商针对所响应的技术参数均提供证明资料的（不限于检测报告、产品彩页、技术说明等），得10分，如存在缺项，每缺一项扣1分，扣完为止。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特点及采购人实际需求，供应商投标文件中有专门针对本项目的实施方案，包括货品的①包装；②备货；③运输；④交付及验收内容。方案各项内容全面详细、阐述条例清晰详尽，得8分；评审内容每缺一项扣2分；各项中如有缺陷，每有1处扣0.5分，各项扣完为止。 （注：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进度保证（1）</w:t>
            </w:r>
          </w:p>
        </w:tc>
        <w:tc>
          <w:tcPr>
            <w:tcW w:type="dxa" w:w="2492"/>
          </w:tcPr>
          <w:p>
            <w:pPr>
              <w:pStyle w:val="null3"/>
            </w:pPr>
            <w:r>
              <w:rPr>
                <w:rFonts w:ascii="仿宋_GB2312" w:hAnsi="仿宋_GB2312" w:cs="仿宋_GB2312" w:eastAsia="仿宋_GB2312"/>
              </w:rPr>
              <w:t>根据本项目特点及采购人实际需求，投标文件中有明确的①进度计划；②进度保证措施；确保在采购人每次要求供货时，能及时完成货物的供应和安装。以上2项内容均内容完整、合理、不存在缺陷，得4分；评审内容每缺一项扣2分；各项中如有缺陷，每有1处扣0.5分，各项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进度保证（2）</w:t>
            </w:r>
          </w:p>
        </w:tc>
        <w:tc>
          <w:tcPr>
            <w:tcW w:type="dxa" w:w="2492"/>
          </w:tcPr>
          <w:p>
            <w:pPr>
              <w:pStyle w:val="null3"/>
            </w:pPr>
            <w:r>
              <w:rPr>
                <w:rFonts w:ascii="仿宋_GB2312" w:hAnsi="仿宋_GB2312" w:cs="仿宋_GB2312" w:eastAsia="仿宋_GB2312"/>
              </w:rPr>
              <w:t>拟投入本项目的运输设备情况：投入运输设备数量在3辆及以上的，得5分，投入运输设备数量为2辆的，得3分，投入运输设备数量为1辆的，得1分，拟投入运输设备若是自有设备，需提供车辆照片和行驶证，拟投入运输设备若是租赁设备，需提供车辆照片、租赁合同、行驶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进度保证（3）</w:t>
            </w:r>
          </w:p>
        </w:tc>
        <w:tc>
          <w:tcPr>
            <w:tcW w:type="dxa" w:w="2492"/>
          </w:tcPr>
          <w:p>
            <w:pPr>
              <w:pStyle w:val="null3"/>
            </w:pPr>
            <w:r>
              <w:rPr>
                <w:rFonts w:ascii="仿宋_GB2312" w:hAnsi="仿宋_GB2312" w:cs="仿宋_GB2312" w:eastAsia="仿宋_GB2312"/>
              </w:rPr>
              <w:t>拟投入本项目的人员配备情况：投入人员数量在8人及以上的，得10分，投入人员数量在4～7人的，得6分，投入人员数量在3人及以下的，得2分；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进度保证.docx</w:t>
            </w:r>
          </w:p>
          <w:p>
            <w:pPr>
              <w:pStyle w:val="null3"/>
            </w:pPr>
            <w:r>
              <w:rPr>
                <w:rFonts w:ascii="仿宋_GB2312" w:hAnsi="仿宋_GB2312" w:cs="仿宋_GB2312" w:eastAsia="仿宋_GB2312"/>
              </w:rPr>
              <w:t>拟投入本项目人员组成.docx</w:t>
            </w:r>
          </w:p>
        </w:tc>
      </w:tr>
      <w:tr>
        <w:tc>
          <w:tcPr>
            <w:tcW w:type="dxa" w:w="831"/>
            <w:vMerge/>
          </w:tcPr>
          <w:p/>
        </w:tc>
        <w:tc>
          <w:tcPr>
            <w:tcW w:type="dxa" w:w="1661"/>
          </w:tcPr>
          <w:p>
            <w:pPr>
              <w:pStyle w:val="null3"/>
            </w:pPr>
            <w:r>
              <w:rPr>
                <w:rFonts w:ascii="仿宋_GB2312" w:hAnsi="仿宋_GB2312" w:cs="仿宋_GB2312" w:eastAsia="仿宋_GB2312"/>
              </w:rPr>
              <w:t>进度保证（4）</w:t>
            </w:r>
          </w:p>
        </w:tc>
        <w:tc>
          <w:tcPr>
            <w:tcW w:type="dxa" w:w="2492"/>
          </w:tcPr>
          <w:p>
            <w:pPr>
              <w:pStyle w:val="null3"/>
            </w:pPr>
            <w:r>
              <w:rPr>
                <w:rFonts w:ascii="仿宋_GB2312" w:hAnsi="仿宋_GB2312" w:cs="仿宋_GB2312" w:eastAsia="仿宋_GB2312"/>
              </w:rPr>
              <w:t>根据拟投入本项目人员的分工情况：岗位分工明确合理，岗位职责描述详细，得2分；评审内容中如有缺陷，每有1处扣0.5分，扣完为止。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为保证供应商提供的货物质量能达到招标文件中的技术要求，提供①质量管理制度；②产品质量承诺；③产品质量证明资料（不限于厂家授权、销售协议、代理协议、产品合格证等）。以上3项内容均内容完整、合理、不存在缺陷，得3分；评审内容每缺一项扣1分；各项中如有缺陷，每有1处扣0.5分，各项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具有科学完善的售后服务，服务内容包含：①售后服务范围；②售后处理响应时间及方式；③售后服务人员配备。以上3项内容均内容完整、合理、不存在缺陷，得3分；评审内容每缺一项扣1分；各项中如有缺陷，每有1处扣0.5分，各项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报价一览表包2.docx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价格分统一采用低价优先法计算，即满足招标文件要求且投标报价最低的投标报价为评标基准价，其价格分为满分。其他供应商的价格分统一按照下列公式计算：投标报价得分=(评标基准价／投标报价)×30 注： 1.计算分数时四舍五入取小数点后两位； 2.落实政府采购政策参见政府采购政策评分标准。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详见附件：报价一览表包1.docx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详见附件：供应商业绩汇总表.docx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详见附件：进度保证.docx</w:t>
      </w:r>
    </w:p>
    <w:p>
      <w:pPr>
        <w:pStyle w:val="null3"/>
        <w:ind w:firstLine="960"/>
      </w:pPr>
      <w:r>
        <w:rPr>
          <w:rFonts w:ascii="仿宋_GB2312" w:hAnsi="仿宋_GB2312" w:cs="仿宋_GB2312" w:eastAsia="仿宋_GB2312"/>
        </w:rPr>
        <w:t>详见附件：拟投入本项目人员组成.docx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详见附件：报价一览表包2.docx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详见附件：供应商业绩汇总表.docx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详见附件：进度保证.docx</w:t>
      </w:r>
    </w:p>
    <w:p>
      <w:pPr>
        <w:pStyle w:val="null3"/>
        <w:ind w:firstLine="960"/>
      </w:pPr>
      <w:r>
        <w:rPr>
          <w:rFonts w:ascii="仿宋_GB2312" w:hAnsi="仿宋_GB2312" w:cs="仿宋_GB2312" w:eastAsia="仿宋_GB2312"/>
        </w:rPr>
        <w:t>详见附件：拟投入本项目人员组成.docx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