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E52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</w:pPr>
      <w:bookmarkStart w:id="0" w:name="_Toc35615664"/>
      <w:bookmarkStart w:id="1" w:name="_Toc9619"/>
      <w:bookmarkStart w:id="2" w:name="_Toc27918"/>
      <w:bookmarkStart w:id="3" w:name="_Toc26687"/>
      <w:bookmarkStart w:id="4" w:name="_Toc1084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技术偏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离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/>
        </w:rPr>
        <w:t>表</w:t>
      </w:r>
      <w:bookmarkEnd w:id="0"/>
      <w:bookmarkEnd w:id="1"/>
      <w:bookmarkEnd w:id="2"/>
      <w:bookmarkEnd w:id="3"/>
      <w:bookmarkEnd w:id="4"/>
    </w:p>
    <w:p w14:paraId="5D1533C1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 xml:space="preserve">采购项目名称：                              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/>
        </w:rPr>
        <w:t>采购包名称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  <w:t xml:space="preserve">：    </w:t>
      </w:r>
    </w:p>
    <w:tbl>
      <w:tblPr>
        <w:tblStyle w:val="3"/>
        <w:tblW w:w="94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889"/>
        <w:gridCol w:w="2004"/>
        <w:gridCol w:w="2169"/>
        <w:gridCol w:w="1320"/>
        <w:gridCol w:w="1275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87A4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D2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AD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F1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C4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37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2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响应列应逐项填写所投产品的技术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2、偏离列填写：正偏离、负偏离、无偏离。</w:t>
      </w:r>
    </w:p>
    <w:p w14:paraId="5022956B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产品技术参数响应情况投标人必须据实填写，此表后需提供充足的佐证材料予以证明响应情况，如若虚假响应，将取消其投标或中标资格，并按有关规定进行处罚。</w:t>
      </w:r>
    </w:p>
    <w:p w14:paraId="49F931F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C077B24">
      <w:pPr>
        <w:tabs>
          <w:tab w:val="center" w:pos="4153"/>
          <w:tab w:val="right" w:pos="830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F2585F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A5D51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FF98F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E09C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56F689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</w:p>
    <w:p w14:paraId="7864F449">
      <w:p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bookmarkStart w:id="5" w:name="_GoBack"/>
      <w:bookmarkEnd w:id="5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A49F0"/>
    <w:rsid w:val="09B71227"/>
    <w:rsid w:val="73AA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2026-07-16T09:41:00Z</dcterms:created>
  <dc:creator>妙不可言</dc:creator>
  <cp:lastModifiedBy>妙不可言</cp:lastModifiedBy>
  <dcterms:modified xsi:type="dcterms:W3CDTF">2026-07-16T09:42:46Z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FDDA2FA3BECE4C4EA0E35DA2FC4D5B4D_11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