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版本号：ZJZC2026060401-0220260611001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西安会展博览平面媒体宣传信息发布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ZJZC2026060401-02</w:t>
      </w:r>
      <w:r>
        <w:br/>
      </w:r>
      <w:r>
        <w:br/>
      </w:r>
      <w:r>
        <w:br/>
      </w:r>
    </w:p>
    <w:p>
      <w:pPr>
        <w:pStyle w:val="null3"/>
        <w:jc w:val="center"/>
        <w:outlineLvl w:val="2"/>
      </w:pPr>
      <w:r>
        <w:rPr>
          <w:rFonts w:ascii="仿宋_GB2312" w:hAnsi="仿宋_GB2312" w:cs="仿宋_GB2312" w:eastAsia="仿宋_GB2312"/>
          <w:sz w:val="28"/>
          <w:b/>
        </w:rPr>
        <w:t>西安市博览事务中心</w:t>
      </w:r>
    </w:p>
    <w:p>
      <w:pPr>
        <w:pStyle w:val="null3"/>
        <w:jc w:val="center"/>
        <w:outlineLvl w:val="2"/>
      </w:pPr>
      <w:r>
        <w:rPr>
          <w:rFonts w:ascii="仿宋_GB2312" w:hAnsi="仿宋_GB2312" w:cs="仿宋_GB2312" w:eastAsia="仿宋_GB2312"/>
          <w:sz w:val="28"/>
          <w:b/>
        </w:rPr>
        <w:t>中坚华阳建设项目管理有限公司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中坚华阳建设项目管理有限公司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西安市博览事务中心</w:t>
      </w:r>
      <w:r>
        <w:rPr>
          <w:rFonts w:ascii="仿宋_GB2312" w:hAnsi="仿宋_GB2312" w:cs="仿宋_GB2312" w:eastAsia="仿宋_GB2312"/>
        </w:rPr>
        <w:t>委托，拟对</w:t>
      </w:r>
      <w:r>
        <w:rPr>
          <w:rFonts w:ascii="仿宋_GB2312" w:hAnsi="仿宋_GB2312" w:cs="仿宋_GB2312" w:eastAsia="仿宋_GB2312"/>
        </w:rPr>
        <w:t>西安会展博览平面媒体宣传信息发布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ZJZC2026060401-02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西安会展博览平面媒体宣传信息发布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2026年度会展博览宣传专项工作，旨在深化省市主流媒体合作，紧扣全市宣传工作部署，围绕欧亚经济论坛、中心重点工作及重大会展活动开展全媒体、多渠道宣传推广。通过精准传播、融合传播，全方位展示西安会展产业优势、营商环境及发展成效，持续提升欧亚经济论坛及西安会展品牌影响力。同时严格落实意识形态管理及“三审三校”制度，保障年度重点宣传工作规范、高效、高质量完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采购包1（西安会展博览平面媒体宣传信息发布）：属于专门面向中小企业采购。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1、供应商主体：供应商为具有独立承担民事责任能力的法人、其他组织或自然人（提供合格有效的法人或者其他组织的营业执照、事业单位法人证等证明文件或自然人的身份证明）。</w:t>
      </w:r>
    </w:p>
    <w:p>
      <w:pPr>
        <w:pStyle w:val="null3"/>
      </w:pPr>
      <w:r>
        <w:rPr>
          <w:rFonts w:ascii="仿宋_GB2312" w:hAnsi="仿宋_GB2312" w:cs="仿宋_GB2312" w:eastAsia="仿宋_GB2312"/>
        </w:rPr>
        <w:t>2、财务状况报告：提供2024年度或2025年度经审计的财务会计报告（成立时间至提交响应文件截止时间不足一年的可提供成立后任意时段的资产负债表）；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w:t>
      </w:r>
    </w:p>
    <w:p>
      <w:pPr>
        <w:pStyle w:val="null3"/>
      </w:pPr>
      <w:r>
        <w:rPr>
          <w:rFonts w:ascii="仿宋_GB2312" w:hAnsi="仿宋_GB2312" w:cs="仿宋_GB2312" w:eastAsia="仿宋_GB2312"/>
        </w:rPr>
        <w:t>3、税收缴纳证明：提供磋商截止时间前半年内任意一个月的纳税证明或完税证明，依法免税的单位应提供相关证明材料。</w:t>
      </w:r>
    </w:p>
    <w:p>
      <w:pPr>
        <w:pStyle w:val="null3"/>
      </w:pPr>
      <w:r>
        <w:rPr>
          <w:rFonts w:ascii="仿宋_GB2312" w:hAnsi="仿宋_GB2312" w:cs="仿宋_GB2312" w:eastAsia="仿宋_GB2312"/>
        </w:rPr>
        <w:t>4、社会保障资金缴纳证明：提供磋商截止时间前半年内任意一个月的社会保障资金缴存单据或社保机构开具的社会保险参保缴费情况证明，依法不需要缴纳社会保障资金的单位应提供相关证明材料。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5、书面声明：提供参加本次政府采购活动前三年内在经营活动中没有重大违法记录的书面声明。</w:t>
      </w:r>
    </w:p>
    <w:p>
      <w:pPr>
        <w:pStyle w:val="null3"/>
      </w:pPr>
      <w:r>
        <w:rPr>
          <w:rFonts w:ascii="仿宋_GB2312" w:hAnsi="仿宋_GB2312" w:cs="仿宋_GB2312" w:eastAsia="仿宋_GB2312"/>
        </w:rPr>
        <w:t>6、承诺函：提供具有履行合同所必须的设备和专业技术能力的承诺函。</w:t>
      </w:r>
    </w:p>
    <w:p>
      <w:pPr>
        <w:pStyle w:val="null3"/>
      </w:pPr>
      <w:r>
        <w:rPr>
          <w:rFonts w:ascii="仿宋_GB2312" w:hAnsi="仿宋_GB2312" w:cs="仿宋_GB2312" w:eastAsia="仿宋_GB2312"/>
        </w:rPr>
        <w:t>7、法定代表人授权书（或法定代表人证明书）：法定代表人授权委托书（附法定代表人身份证复印件及被授权人身份证复印件）；法定代表人直接参加磋商只须提供法定代表人身份证明书（附法定代表人身份证复印件）。</w:t>
      </w:r>
    </w:p>
    <w:p>
      <w:pPr>
        <w:pStyle w:val="null3"/>
      </w:pPr>
      <w:r>
        <w:rPr>
          <w:rFonts w:ascii="仿宋_GB2312" w:hAnsi="仿宋_GB2312" w:cs="仿宋_GB2312" w:eastAsia="仿宋_GB2312"/>
        </w:rPr>
        <w:t>8、非联合体磋商：本项目不接受联合体磋商。</w:t>
      </w:r>
    </w:p>
    <w:p>
      <w:pPr>
        <w:pStyle w:val="null3"/>
      </w:pPr>
      <w:r>
        <w:rPr>
          <w:rFonts w:ascii="仿宋_GB2312" w:hAnsi="仿宋_GB2312" w:cs="仿宋_GB2312" w:eastAsia="仿宋_GB2312"/>
        </w:rPr>
        <w:t>9、信誉要求：供应商未被“信用中国”网站列入失信被执行人、重大税收违法失信主体名单，未被“中国政府采购网”网站列入政府采购严重违法失信行为记录名单。（以采购人或采购代理机构开标当天查询结果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西安市博览事务中心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西安市未央区凤城八路109号市政府1号楼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029-67097140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中坚华阳建设项目管理有限公司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西安市雁塔区高新路2号西部国际广场B座28楼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于晓风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15787880042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代理服务费收费标准：1、成交代理服务费金额：由成交供应商一次性支付人民币陆仟元整（¥6000.00元）。 2、代理服务费缴纳账户信息： 开户名称：中坚华阳建设项目管理有限公司 银行：陕西秦农农村商业银行股份有限公司新城支行 账 号：2701131601201000034855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西安市博览事务中心</w:t>
      </w:r>
      <w:r>
        <w:rPr>
          <w:rFonts w:ascii="仿宋_GB2312" w:hAnsi="仿宋_GB2312" w:cs="仿宋_GB2312" w:eastAsia="仿宋_GB2312"/>
        </w:rPr>
        <w:t>和</w:t>
      </w:r>
      <w:r>
        <w:rPr>
          <w:rFonts w:ascii="仿宋_GB2312" w:hAnsi="仿宋_GB2312" w:cs="仿宋_GB2312" w:eastAsia="仿宋_GB2312"/>
        </w:rPr>
        <w:t>中坚华阳建设项目管理有限公司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西安市博览事务中心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中坚华阳建设项目管理有限公司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西安市博览事务中心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中坚华阳建设项目管理有限公司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各项指标均应符合验收标准及要求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中坚华阳建设项目管理有限公司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联系人：于晓风</w:t>
      </w:r>
    </w:p>
    <w:p>
      <w:pPr>
        <w:pStyle w:val="null3"/>
      </w:pPr>
      <w:r>
        <w:rPr>
          <w:rFonts w:ascii="仿宋_GB2312" w:hAnsi="仿宋_GB2312" w:cs="仿宋_GB2312" w:eastAsia="仿宋_GB2312"/>
        </w:rPr>
        <w:t>联系电话：15787880042</w:t>
      </w:r>
    </w:p>
    <w:p>
      <w:pPr>
        <w:pStyle w:val="null3"/>
      </w:pPr>
      <w:r>
        <w:rPr>
          <w:rFonts w:ascii="仿宋_GB2312" w:hAnsi="仿宋_GB2312" w:cs="仿宋_GB2312" w:eastAsia="仿宋_GB2312"/>
        </w:rPr>
        <w:t>地址：西安市雁塔区高新路2号西部国际广场B座28楼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2026年度会展博览宣传专项工作，旨在深化省市主流媒体合作，紧扣全市宣传工作部署，围绕欧亚经济论坛、中心重点工作及重大会展活动开展全媒体、多渠道宣传推广。通过精准传播、融合传播，全方位展示西安会展产业优势、营商环境及发展成效，持续提升欧亚经济论坛及西安会展品牌影响力。同时严格落实意识形态管理及“三审三校”制度，保障年度重点宣传工作规范、高效、高质量完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西安会展博览平面媒体宣传信息发布</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标的名称：西安会展博览平面媒体宣传信息发布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w:t>
            </w:r>
            <w:r>
              <w:rPr>
                <w:rFonts w:ascii="仿宋_GB2312" w:hAnsi="仿宋_GB2312" w:cs="仿宋_GB2312" w:eastAsia="仿宋_GB2312"/>
                <w:sz w:val="21"/>
                <w:b/>
              </w:rPr>
              <w:t>、服务内容</w:t>
            </w:r>
          </w:p>
          <w:p>
            <w:pPr>
              <w:pStyle w:val="null3"/>
            </w:pPr>
            <w:r>
              <w:rPr>
                <w:rFonts w:ascii="仿宋_GB2312" w:hAnsi="仿宋_GB2312" w:cs="仿宋_GB2312" w:eastAsia="仿宋_GB2312"/>
                <w:sz w:val="21"/>
              </w:rPr>
              <w:t>省市主流平面媒体宣传服务采购。以本地权威政务类微信公众号</w:t>
            </w:r>
            <w:r>
              <w:rPr>
                <w:rFonts w:ascii="仿宋_GB2312" w:hAnsi="仿宋_GB2312" w:cs="仿宋_GB2312" w:eastAsia="仿宋_GB2312"/>
                <w:sz w:val="21"/>
              </w:rPr>
              <w:t>+本地主流媒体全媒体矩阵+微信视频号等为载体，做好欧亚经济论坛、中心重点工作、年度重点会展活动宣发工作。</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服务要求</w:t>
            </w:r>
          </w:p>
          <w:tbl>
            <w:tblPr>
              <w:tblInd w:type="dxa" w:w="30"/>
              <w:tblBorders>
                <w:top w:val="none" w:color="000000" w:sz="4"/>
                <w:left w:val="none" w:color="000000" w:sz="4"/>
                <w:bottom w:val="none" w:color="000000" w:sz="4"/>
                <w:right w:val="none" w:color="000000" w:sz="4"/>
                <w:insideH w:val="none"/>
                <w:insideV w:val="none"/>
              </w:tblBorders>
            </w:tblPr>
            <w:tblGrid>
              <w:gridCol w:w="253"/>
              <w:gridCol w:w="953"/>
              <w:gridCol w:w="907"/>
              <w:gridCol w:w="440"/>
            </w:tblGrid>
            <w:tr>
              <w:tc>
                <w:tcPr>
                  <w:tcW w:type="dxa" w:w="2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序号</w:t>
                  </w:r>
                </w:p>
              </w:tc>
              <w:tc>
                <w:tcPr>
                  <w:tcW w:type="dxa" w:w="9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服务内容</w:t>
                  </w:r>
                </w:p>
              </w:tc>
              <w:tc>
                <w:tcPr>
                  <w:tcW w:type="dxa" w:w="9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发布平台</w:t>
                  </w:r>
                </w:p>
              </w:tc>
              <w:tc>
                <w:tcPr>
                  <w:tcW w:type="dxa" w:w="4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备注</w:t>
                  </w: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深度</w:t>
                  </w:r>
                  <w:r>
                    <w:rPr>
                      <w:rFonts w:ascii="仿宋_GB2312" w:hAnsi="仿宋_GB2312" w:cs="仿宋_GB2312" w:eastAsia="仿宋_GB2312"/>
                      <w:sz w:val="18"/>
                      <w:b/>
                    </w:rPr>
                    <w:t>稿件</w:t>
                  </w:r>
                  <w:r>
                    <w:rPr>
                      <w:rFonts w:ascii="仿宋_GB2312" w:hAnsi="仿宋_GB2312" w:cs="仿宋_GB2312" w:eastAsia="仿宋_GB2312"/>
                      <w:sz w:val="18"/>
                      <w:b/>
                    </w:rPr>
                    <w:t>：</w:t>
                  </w:r>
                  <w:r>
                    <w:rPr>
                      <w:rFonts w:ascii="仿宋_GB2312" w:hAnsi="仿宋_GB2312" w:cs="仿宋_GB2312" w:eastAsia="仿宋_GB2312"/>
                      <w:sz w:val="18"/>
                    </w:rPr>
                    <w:t>围绕欧亚经济论坛智库会议、西安设计周、论坛及西安会展环境招商招展推介活动、全市重大会展及中心重点工作任务、重要成果，策划宣发重点深度稿件，在各权威媒体平台共刊发推送</w:t>
                  </w:r>
                  <w:r>
                    <w:rPr>
                      <w:rFonts w:ascii="仿宋_GB2312" w:hAnsi="仿宋_GB2312" w:cs="仿宋_GB2312" w:eastAsia="仿宋_GB2312"/>
                      <w:sz w:val="18"/>
                    </w:rPr>
                    <w:t>3篇（次）。</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本地市级权威政务类微信公众号平台二条位</w:t>
                  </w:r>
                  <w:r>
                    <w:rPr>
                      <w:rFonts w:ascii="仿宋_GB2312" w:hAnsi="仿宋_GB2312" w:cs="仿宋_GB2312" w:eastAsia="仿宋_GB2312"/>
                      <w:sz w:val="18"/>
                    </w:rPr>
                    <w:t>1篇；同步在本地市级主要权威媒体客户端（APP）推送1篇（次）；</w:t>
                  </w:r>
                  <w:r>
                    <w:rPr>
                      <w:rFonts w:ascii="仿宋_GB2312" w:hAnsi="仿宋_GB2312" w:cs="仿宋_GB2312" w:eastAsia="仿宋_GB2312"/>
                      <w:sz w:val="18"/>
                    </w:rPr>
                    <w:t>同步在本地官方权威门户网站平台推送</w:t>
                  </w:r>
                  <w:r>
                    <w:rPr>
                      <w:rFonts w:ascii="仿宋_GB2312" w:hAnsi="仿宋_GB2312" w:cs="仿宋_GB2312" w:eastAsia="仿宋_GB2312"/>
                      <w:sz w:val="18"/>
                    </w:rPr>
                    <w:t>1篇（次）。</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年度重点工作宣传：</w:t>
                  </w:r>
                  <w:r>
                    <w:rPr>
                      <w:rFonts w:ascii="仿宋_GB2312" w:hAnsi="仿宋_GB2312" w:cs="仿宋_GB2312" w:eastAsia="仿宋_GB2312"/>
                      <w:sz w:val="18"/>
                    </w:rPr>
                    <w:t>围绕中心本年度重点工作，策划采写宣发稿件</w:t>
                  </w:r>
                  <w:r>
                    <w:rPr>
                      <w:rFonts w:ascii="仿宋_GB2312" w:hAnsi="仿宋_GB2312" w:cs="仿宋_GB2312" w:eastAsia="仿宋_GB2312"/>
                      <w:sz w:val="18"/>
                    </w:rPr>
                    <w:t>4篇。</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本地党报</w:t>
                  </w:r>
                  <w:r>
                    <w:rPr>
                      <w:rFonts w:ascii="仿宋_GB2312" w:hAnsi="仿宋_GB2312" w:cs="仿宋_GB2312" w:eastAsia="仿宋_GB2312"/>
                      <w:sz w:val="18"/>
                    </w:rPr>
                    <w:t>+全媒体矩阵平台。</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政务视频号传播：</w:t>
                  </w:r>
                  <w:r>
                    <w:rPr>
                      <w:rFonts w:ascii="仿宋_GB2312" w:hAnsi="仿宋_GB2312" w:cs="仿宋_GB2312" w:eastAsia="仿宋_GB2312"/>
                      <w:sz w:val="18"/>
                    </w:rPr>
                    <w:t>围绕中心年度重点工作的宣传需求，实施</w:t>
                  </w:r>
                  <w:r>
                    <w:rPr>
                      <w:rFonts w:ascii="仿宋_GB2312" w:hAnsi="仿宋_GB2312" w:cs="仿宋_GB2312" w:eastAsia="仿宋_GB2312"/>
                      <w:sz w:val="18"/>
                    </w:rPr>
                    <w:t>1次市级权威政务微信视频号推送；同步在本地政务类媒体全媒体平台矩阵进行1篇稿件宣送。</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本地市级权威政务微信视频号；</w:t>
                  </w:r>
                </w:p>
                <w:p>
                  <w:pPr>
                    <w:pStyle w:val="null3"/>
                    <w:jc w:val="both"/>
                  </w:pPr>
                  <w:r>
                    <w:rPr>
                      <w:rFonts w:ascii="仿宋_GB2312" w:hAnsi="仿宋_GB2312" w:cs="仿宋_GB2312" w:eastAsia="仿宋_GB2312"/>
                      <w:sz w:val="18"/>
                    </w:rPr>
                    <w:t>市级主要权威媒体＋全媒体矩阵同步稿件宣发。</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rPr>
                    <w:t>中央及省市权威媒体平台传播：</w:t>
                  </w:r>
                  <w:r>
                    <w:rPr>
                      <w:rFonts w:ascii="仿宋_GB2312" w:hAnsi="仿宋_GB2312" w:cs="仿宋_GB2312" w:eastAsia="仿宋_GB2312"/>
                      <w:sz w:val="18"/>
                    </w:rPr>
                    <w:t>针对第</w:t>
                  </w:r>
                  <w:r>
                    <w:rPr>
                      <w:rFonts w:ascii="仿宋_GB2312" w:hAnsi="仿宋_GB2312" w:cs="仿宋_GB2312" w:eastAsia="仿宋_GB2312"/>
                      <w:sz w:val="18"/>
                    </w:rPr>
                    <w:t>1、2、3项之重点稿件，择优向省级及中央级媒体全媒体平台等推送宣发，完成宣传推送4篇（条）。</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中央级媒体</w:t>
                  </w:r>
                  <w:r>
                    <w:rPr>
                      <w:rFonts w:ascii="仿宋_GB2312" w:hAnsi="仿宋_GB2312" w:cs="仿宋_GB2312" w:eastAsia="仿宋_GB2312"/>
                      <w:sz w:val="18"/>
                    </w:rPr>
                    <w:t>1次（条）；全国性权威门户网站1次（条）；省级主流权威媒体2次（条）。</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9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年度宣传工作</w:t>
                  </w:r>
                  <w:r>
                    <w:rPr>
                      <w:rFonts w:ascii="仿宋_GB2312" w:hAnsi="仿宋_GB2312" w:cs="仿宋_GB2312" w:eastAsia="仿宋_GB2312"/>
                      <w:sz w:val="18"/>
                    </w:rPr>
                    <w:t>总结</w:t>
                  </w:r>
                  <w:r>
                    <w:rPr>
                      <w:rFonts w:ascii="仿宋_GB2312" w:hAnsi="仿宋_GB2312" w:cs="仿宋_GB2312" w:eastAsia="仿宋_GB2312"/>
                      <w:sz w:val="18"/>
                    </w:rPr>
                    <w:t>汇总</w:t>
                  </w:r>
                  <w:r>
                    <w:rPr>
                      <w:rFonts w:ascii="仿宋_GB2312" w:hAnsi="仿宋_GB2312" w:cs="仿宋_GB2312" w:eastAsia="仿宋_GB2312"/>
                      <w:sz w:val="18"/>
                    </w:rPr>
                    <w:t>编辑成册</w:t>
                  </w:r>
                </w:p>
              </w:tc>
              <w:tc>
                <w:tcPr>
                  <w:tcW w:type="dxa" w:w="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收集整理</w:t>
                  </w:r>
                  <w:r>
                    <w:rPr>
                      <w:rFonts w:ascii="仿宋_GB2312" w:hAnsi="仿宋_GB2312" w:cs="仿宋_GB2312" w:eastAsia="仿宋_GB2312"/>
                      <w:sz w:val="18"/>
                    </w:rPr>
                    <w:t>全年宣传工作的宣传发布版面、推送页面、短视频画面、相关链接、宣传稿件内容文字等素材；汇总图册之目录、内容文字及版面、页面配图的制作和排版设计；定稿后的印刷及运送至指定地点。</w:t>
                  </w:r>
                </w:p>
              </w:tc>
              <w:tc>
                <w:tcPr>
                  <w:tcW w:type="dxa" w:w="4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9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围绕中心主线工作，刊发推送宣发日常工作稿件不少于</w:t>
                  </w:r>
                  <w:r>
                    <w:rPr>
                      <w:rFonts w:ascii="仿宋_GB2312" w:hAnsi="仿宋_GB2312" w:cs="仿宋_GB2312" w:eastAsia="仿宋_GB2312"/>
                      <w:sz w:val="18"/>
                    </w:rPr>
                    <w:t>15篇（次）。</w:t>
                  </w:r>
                </w:p>
              </w:tc>
              <w:tc>
                <w:tcPr>
                  <w:tcW w:type="dxa" w:w="9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本地权威媒体</w:t>
                  </w:r>
                </w:p>
                <w:p>
                  <w:pPr>
                    <w:pStyle w:val="null3"/>
                    <w:jc w:val="both"/>
                  </w:pPr>
                  <w:r>
                    <w:rPr>
                      <w:rFonts w:ascii="仿宋_GB2312" w:hAnsi="仿宋_GB2312" w:cs="仿宋_GB2312" w:eastAsia="仿宋_GB2312"/>
                      <w:sz w:val="18"/>
                    </w:rPr>
                    <w:t>及其全媒体矩阵。</w:t>
                  </w:r>
                </w:p>
              </w:tc>
              <w:tc>
                <w:tcPr>
                  <w:tcW w:type="dxa" w:w="4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宣传合作</w:t>
                  </w:r>
                </w:p>
                <w:p>
                  <w:pPr>
                    <w:pStyle w:val="null3"/>
                    <w:jc w:val="both"/>
                  </w:pPr>
                  <w:r>
                    <w:rPr>
                      <w:rFonts w:ascii="仿宋_GB2312" w:hAnsi="仿宋_GB2312" w:cs="仿宋_GB2312" w:eastAsia="仿宋_GB2312"/>
                      <w:sz w:val="18"/>
                    </w:rPr>
                    <w:t>配套服务</w:t>
                  </w:r>
                </w:p>
              </w:tc>
            </w:tr>
            <w:tr>
              <w:tc>
                <w:tcPr>
                  <w:tcW w:type="dxa" w:w="2553"/>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rPr>
                    <w:t>注：本方案宣传发布最低不少于</w:t>
                  </w:r>
                  <w:r>
                    <w:rPr>
                      <w:rFonts w:ascii="仿宋_GB2312" w:hAnsi="仿宋_GB2312" w:cs="仿宋_GB2312" w:eastAsia="仿宋_GB2312"/>
                      <w:sz w:val="18"/>
                    </w:rPr>
                    <w:t>2</w:t>
                  </w:r>
                  <w:r>
                    <w:rPr>
                      <w:rFonts w:ascii="仿宋_GB2312" w:hAnsi="仿宋_GB2312" w:cs="仿宋_GB2312" w:eastAsia="仿宋_GB2312"/>
                      <w:sz w:val="18"/>
                    </w:rPr>
                    <w:t>8</w:t>
                  </w:r>
                  <w:r>
                    <w:rPr>
                      <w:rFonts w:ascii="仿宋_GB2312" w:hAnsi="仿宋_GB2312" w:cs="仿宋_GB2312" w:eastAsia="仿宋_GB2312"/>
                      <w:sz w:val="18"/>
                    </w:rPr>
                    <w:t>篇（条</w:t>
                  </w:r>
                  <w:r>
                    <w:rPr>
                      <w:rFonts w:ascii="仿宋_GB2312" w:hAnsi="仿宋_GB2312" w:cs="仿宋_GB2312" w:eastAsia="仿宋_GB2312"/>
                      <w:sz w:val="18"/>
                    </w:rPr>
                    <w:t>/次）</w:t>
                  </w:r>
                  <w:r>
                    <w:rPr>
                      <w:rFonts w:ascii="仿宋_GB2312" w:hAnsi="仿宋_GB2312" w:cs="仿宋_GB2312" w:eastAsia="仿宋_GB2312"/>
                      <w:sz w:val="18"/>
                    </w:rPr>
                    <w:t>；</w:t>
                  </w:r>
                  <w:r>
                    <w:rPr>
                      <w:rFonts w:ascii="仿宋_GB2312" w:hAnsi="仿宋_GB2312" w:cs="仿宋_GB2312" w:eastAsia="仿宋_GB2312"/>
                      <w:sz w:val="18"/>
                    </w:rPr>
                    <w:t>具体执行中，可根据中心宣传工作实际需要，按照各媒体平台价格体系刊例中的全部规格进行拆分搭配</w:t>
                  </w:r>
                  <w:r>
                    <w:rPr>
                      <w:rFonts w:ascii="仿宋_GB2312" w:hAnsi="仿宋_GB2312" w:cs="仿宋_GB2312" w:eastAsia="仿宋_GB2312"/>
                      <w:sz w:val="18"/>
                    </w:rPr>
                    <w:t>优化调整</w:t>
                  </w:r>
                  <w:r>
                    <w:rPr>
                      <w:rFonts w:ascii="仿宋_GB2312" w:hAnsi="仿宋_GB2312" w:cs="仿宋_GB2312" w:eastAsia="仿宋_GB2312"/>
                      <w:sz w:val="18"/>
                    </w:rPr>
                    <w:t>。</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按项目服务要求配置人员，确保项目顺利实施。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按项目服务要求配置，确保项目顺利实施。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成果交付要求，需要提供项目结案报告，说明报道情况书面总结，回顾宣传服务工作成果。</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采购服务内容全部完成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其他，项目完成后采购人验收合格，达到付款条件起10个工作日内，支付合同总金额的40.0%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管理平台的项目电子化交易系统中递交的电子响应文件内容一致，纸质版响应文件必须装订成册签字盖章。2、如磋商文件中融资相关内容与新政策要求有出入，按照最新要求执行。3、分公司（分支机构）参与磋商：须提供总公司正式授权文件，未经授权的分公司不得参与磋商，不得使用总公司资质、业绩；已获授权的分公司，可使用总公司的资质、业绩。4. 总公司参与磋商：可使用其分公司（分支机构）的业绩；在法律法规及资质证书允许范围内，可使用分公司资质。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w:t>
            </w:r>
          </w:p>
        </w:tc>
        <w:tc>
          <w:tcPr>
            <w:tcW w:type="dxa" w:w="3322"/>
          </w:tcPr>
          <w:p>
            <w:pPr>
              <w:pStyle w:val="null3"/>
            </w:pPr>
            <w:r>
              <w:rPr>
                <w:rFonts w:ascii="仿宋_GB2312" w:hAnsi="仿宋_GB2312" w:cs="仿宋_GB2312" w:eastAsia="仿宋_GB2312"/>
              </w:rPr>
              <w:t>供应商为具有独立承担民事责任能力的法人、其他组织或自然人（提供合格有效的法人或者其他组织的营业执照、事业单位法人证等证明文件或自然人的身份证明）。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提供2024年度或2025年度经审计的财务会计报告（成立时间至提交响应文件截止时间不足一年的可提供成立后任意时段的资产负债表）； 或其递交响应文件截止之日前三个月内基本开户银行出具的资信证明（附《基本存款账户信息》或《银行开户许可证》复印件）； （以上两种形式的资料提供任何一种即可）。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提供磋商截止时间前半年内任意一个月的纳税证明或完税证明，依法免税的单位应提供相关证明材料。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提供磋商截止时间前半年内任意一个月的社会保障资金缴存单据或社保机构开具的社会保险参保缴费情况证明，依法不需要缴纳社会保障资金的单位应提供相关证明材料。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提供具有履行合同所必须的设备和专业技术能力的承诺函。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法定代表人授权书（或法定代表人证明书）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法定代表人授权委托书（附法定代表人身份证复印件及被授权人身份证复印件）；法定代表人直接参加磋商只须提供法定代表人身份证明书（附法定代表人身份证复印件）。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供应商未被“信用中国”网站列入失信被执行人、重大税收违法失信主体名单，未被“中国政府采购网”网站列入政府采购严重违法失信行为记录名单。（以采购人或采购代理机构开标当天查询结果为准）。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中小企业声明函 报价表 服务内容偏离表.docx 响应文件封面 分项报价表.docx 供应商应提交的相关资格证明材料.docx 残疾人福利性单位声明函 拒绝政府采购领域商业贿赂承诺书.docx 标的清单 商务要求响应偏离表.docx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磋商响应文件签字盖章符合磋商文件要求</w:t>
            </w:r>
          </w:p>
        </w:tc>
        <w:tc>
          <w:tcPr>
            <w:tcW w:type="dxa" w:w="1661"/>
          </w:tcPr>
          <w:p>
            <w:pPr>
              <w:pStyle w:val="null3"/>
            </w:pPr>
            <w:r>
              <w:rPr>
                <w:rFonts w:ascii="仿宋_GB2312" w:hAnsi="仿宋_GB2312" w:cs="仿宋_GB2312" w:eastAsia="仿宋_GB2312"/>
              </w:rPr>
              <w:t>中小企业声明函 报价表 服务内容偏离表.docx 响应文件封面 分项报价表.docx 供应商应提交的相关资格证明材料.docx 残疾人福利性单位声明函 拒绝政府采购领域商业贿赂承诺书.docx 标的清单 商务要求响应偏离表.docx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符合磋商文件中要求的磋商有效期</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商务要求响应偏离表.docx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对项目理解程度</w:t>
            </w:r>
          </w:p>
        </w:tc>
        <w:tc>
          <w:tcPr>
            <w:tcW w:type="dxa" w:w="2492"/>
          </w:tcPr>
          <w:p>
            <w:pPr>
              <w:pStyle w:val="null3"/>
            </w:pPr>
            <w:r>
              <w:rPr>
                <w:rFonts w:ascii="仿宋_GB2312" w:hAnsi="仿宋_GB2312" w:cs="仿宋_GB2312" w:eastAsia="仿宋_GB2312"/>
              </w:rPr>
              <w:t>一、评审内容:供应商针对本项目得理解程度①项目需求理解②总体框架及工作计划③工作原则 二、评审标准 ①完整性:内容全面，有详细描述。 ②可行性:从项目实际情况出发，提出步骤清晰的方案。 ③针对性:紧扣项目需求，内容切实合理。 三、赋分标准:每项评审内容满分6分，共18分。每完全满足一个评审标准得2分，如不完整或不符合实际要求或基本满足评审标准得1分；方案内容与本项目无关或不满足评审标准或未提供得0分。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一、评审内容:供应商针对本项目实施方案①内容策划与创作方案②宣传推广方案③推送发布平台方案。 二、评审标准 ①完整性:内容全面，有详细描述。 ②可行性:从项目实际情况出发，提出步骤清晰的方案。 ③针对性:紧扣项目需求，内容切实合理。 三、赋分标准:每项评审内容满分6分，共18分。每完全满足一个评审标准得2分，如不完整或不符合实际要求或基本满足评审标准得1分；方案内容与本项目无关或不满足评审标准或未提供得0分。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一、评审内容:供应商针对本项目质量保证方案①质量保障措施②质量承诺方案③团队内部管控流程④素材储备。 二、评审标准 ①完整性:内容全面，有详细描述。 ②可行性:从项目实际情况出发，提出步骤清晰的方案。 ③针对性:紧扣项目需求，内容切实合理。 三、赋分标准:每项评审内容满分3分，共12分。每完全满足一个评审标准得1分，如不完整或不符合实际要求或基本满足评审标准得0.5分；方案内容与本项目无关或不满足评审标准或未提供得0分。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时间进度安排</w:t>
            </w:r>
          </w:p>
        </w:tc>
        <w:tc>
          <w:tcPr>
            <w:tcW w:type="dxa" w:w="2492"/>
          </w:tcPr>
          <w:p>
            <w:pPr>
              <w:pStyle w:val="null3"/>
            </w:pPr>
            <w:r>
              <w:rPr>
                <w:rFonts w:ascii="仿宋_GB2312" w:hAnsi="仿宋_GB2312" w:cs="仿宋_GB2312" w:eastAsia="仿宋_GB2312"/>
              </w:rPr>
              <w:t>一、评审内容 供应商及时或提前满足采购人时间进度要求并且为采购人预留充分的内部审核时间。 二、赋分标准 时间安排科学合理，利用率高。时效性强得5分； 时间安排较合理，利用率较高。时效性较强得3分； 时间安排一般，利用率极低。时效性滞后得1分。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一、评审内容 供应商针对本项目提供的项目团队组织架构。 二、赋分标准 组织架构完整，岗位设置合理、明确，提供拟派团队的岗位分工说明及具体的项目组成员名单的，得5分。 组织架构较为完整，岗位设置较为合理提供拟派团队的岗位分工说明及具体的项目组成员名单的，得4分。 组织架构、岗位设置能够基本满足本项目采购要求，提供具体的项目组成员名单的，得2分。 组织架构、岗位设置不够合理的，得1分。 无组织架构的，得0分。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1.项目负责人：具有相关专业（包含但不限于影视制作、新闻传播、视觉传达、艺术设计、汉语言文学、新闻传播等）本科及以上学历，且具有3年及以上类似项目管理经验的计2分。 注：学历须提供毕业证书或学信网证明资料；管理经验需提供有效证明材料，包括但不限于劳动合同或成果文件或公示公告等证明材料（不提供或提供不全，本项不得分） 2.视频拍摄制作类人员：具有相关专业（包含但不限于影视制作、新闻传播、视觉传达、艺术设计等）专科及以上学历，每符合1个得1分；本项满分2分。 注：提供毕业证书或学信网证明资料。 3.文案、策划、校审人员：具有相关专业（包含但不限于汉语言文学、新闻传播等）专科及以上学历，每符合1个得1分，本项满分3分。 注：提供毕业证书或学信网证明资料。</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一、评审内容：供应商针对本项目应急方案①突发事件情况分析②应急响应时间③应对措施。 二、评审标准: ①完整性:内容全面，有详细描述。 ②可行性:从项目实际情况出发，提出步骤清晰的方案。 ③针对性:紧扣项目需求，内容切实合理。 三、赋分标准：每项评审内容满分3分，共9分。每完全满足一个评审标准得1分，如不完整或不符合实际要求或基本满足评审标准得0.5分；方案内容与本项目无关或不满足评审标准或未提供得0分。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一、评审内容:供应商针对本项目服务承诺及合理化建议①承诺除专业范畴冲突外，服从并落实采购人随时提出的修改要求且不得增加相应费用②合理化建议。 二、评审标准: ①完整性:内容全面，有详细描述。 ②可行性:从项目实际情况出发，提出步骤清晰的方案。 ③针对性:紧扣项目需求，内容切实合理。 三、赋分标准:每项评审内容满分3分，共6分。每完全满足一个评审标准得1分，如不完整或不符合实际要求或基本满足评审标准得0.5分；方案内容与本项目无关或不满足评审标准或未提供得0分。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供应商提供2023年1月至今类似项目业绩合同（以合同签订时间为准）；一个业绩得2分，最高得10分； 评审依据：提供合同复印件并加盖公章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详见附件：商务要求响应偏离表.docx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