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2A811D">
      <w:pPr>
        <w:spacing w:line="408" w:lineRule="auto"/>
        <w:ind w:firstLine="0"/>
        <w:rPr>
          <w:rFonts w:hint="eastAsia" w:ascii="仿宋" w:hAnsi="仿宋" w:eastAsia="仿宋" w:cs="仿宋"/>
          <w:color w:val="auto"/>
          <w:lang w:eastAsia="zh-CN"/>
        </w:rPr>
      </w:pPr>
      <w:bookmarkStart w:id="25" w:name="_GoBack"/>
      <w:bookmarkEnd w:id="25"/>
      <w:r>
        <w:rPr>
          <w:rFonts w:hint="eastAsia" w:ascii="仿宋" w:hAnsi="仿宋" w:eastAsia="仿宋" w:cs="仿宋"/>
          <w:color w:val="auto"/>
          <w:lang w:eastAsia="zh-CN"/>
        </w:rPr>
        <w:t>项目编号：</w:t>
      </w:r>
      <w:r>
        <w:rPr>
          <w:rFonts w:hint="eastAsia" w:ascii="仿宋" w:hAnsi="仿宋" w:eastAsia="仿宋" w:cs="仿宋"/>
          <w:color w:val="auto"/>
        </w:rPr>
        <w:t>SXZY-</w:t>
      </w:r>
      <w:r>
        <w:rPr>
          <w:rFonts w:hint="eastAsia" w:ascii="仿宋" w:hAnsi="仿宋" w:eastAsia="仿宋" w:cs="仿宋"/>
          <w:color w:val="auto"/>
          <w:lang w:eastAsia="zh-CN"/>
        </w:rPr>
        <w:t>AK2026064</w:t>
      </w:r>
    </w:p>
    <w:p w14:paraId="5AD1CEF1">
      <w:pPr>
        <w:spacing w:before="1600" w:line="408" w:lineRule="auto"/>
        <w:ind w:firstLine="0"/>
        <w:jc w:val="center"/>
        <w:rPr>
          <w:rFonts w:hint="eastAsia" w:ascii="仿宋" w:hAnsi="仿宋" w:eastAsia="仿宋" w:cs="仿宋"/>
          <w:b/>
          <w:bCs/>
          <w:color w:val="auto"/>
          <w:sz w:val="36"/>
          <w:szCs w:val="36"/>
        </w:rPr>
      </w:pPr>
      <w:r>
        <w:rPr>
          <w:rFonts w:hint="eastAsia" w:ascii="仿宋" w:hAnsi="仿宋" w:eastAsia="仿宋" w:cs="仿宋"/>
          <w:b/>
          <w:bCs/>
          <w:color w:val="auto"/>
          <w:sz w:val="40"/>
          <w:szCs w:val="40"/>
          <w:lang w:eastAsia="zh-CN"/>
        </w:rPr>
        <w:t>安康中心城区易涝点整治工程（四期）监理服务项目</w:t>
      </w:r>
      <w:r>
        <w:rPr>
          <w:rFonts w:hint="eastAsia" w:ascii="仿宋" w:hAnsi="仿宋" w:eastAsia="仿宋" w:cs="仿宋"/>
          <w:b/>
          <w:bCs/>
          <w:color w:val="auto"/>
          <w:sz w:val="36"/>
          <w:szCs w:val="36"/>
          <w:lang w:eastAsia="zh-CN"/>
        </w:rPr>
        <w:br w:type="textWrapping"/>
      </w:r>
    </w:p>
    <w:p w14:paraId="51EC939F">
      <w:pPr>
        <w:spacing w:before="1600" w:line="408" w:lineRule="auto"/>
        <w:ind w:firstLine="0"/>
        <w:jc w:val="center"/>
        <w:rPr>
          <w:rFonts w:hint="eastAsia" w:ascii="仿宋" w:hAnsi="仿宋" w:eastAsia="仿宋" w:cs="仿宋"/>
          <w:color w:val="auto"/>
          <w:sz w:val="28"/>
          <w:szCs w:val="24"/>
        </w:rPr>
      </w:pPr>
      <w:r>
        <w:rPr>
          <w:rFonts w:hint="eastAsia" w:ascii="仿宋" w:hAnsi="仿宋" w:eastAsia="仿宋" w:cs="仿宋"/>
          <w:color w:val="auto"/>
          <w:sz w:val="44"/>
          <w:szCs w:val="24"/>
          <w:lang w:eastAsia="zh-CN"/>
        </w:rPr>
        <w:t>竞 争 性 磋 商 文 件</w:t>
      </w:r>
    </w:p>
    <w:p w14:paraId="45490402">
      <w:pPr>
        <w:spacing w:before="1800" w:line="408" w:lineRule="auto"/>
        <w:ind w:firstLine="0"/>
        <w:jc w:val="center"/>
        <w:rPr>
          <w:rFonts w:hint="eastAsia" w:ascii="仿宋" w:hAnsi="仿宋" w:eastAsia="仿宋" w:cs="仿宋"/>
          <w:color w:val="auto"/>
          <w:lang w:eastAsia="zh-CN"/>
        </w:rPr>
      </w:pPr>
    </w:p>
    <w:p w14:paraId="566791B4">
      <w:pPr>
        <w:spacing w:before="1800" w:line="408" w:lineRule="auto"/>
        <w:ind w:firstLine="0"/>
        <w:jc w:val="center"/>
        <w:rPr>
          <w:rFonts w:hint="eastAsia" w:ascii="仿宋" w:hAnsi="仿宋" w:eastAsia="仿宋" w:cs="仿宋"/>
          <w:color w:val="auto"/>
          <w:sz w:val="28"/>
          <w:szCs w:val="24"/>
        </w:rPr>
      </w:pPr>
      <w:r>
        <w:rPr>
          <w:rFonts w:hint="eastAsia" w:ascii="仿宋" w:hAnsi="仿宋" w:eastAsia="仿宋" w:cs="仿宋"/>
          <w:color w:val="auto"/>
          <w:sz w:val="28"/>
          <w:szCs w:val="24"/>
          <w:lang w:eastAsia="zh-CN"/>
        </w:rPr>
        <w:t>采 购 人：安康市住房和城乡建设局</w:t>
      </w:r>
    </w:p>
    <w:p w14:paraId="7DF93591">
      <w:pPr>
        <w:spacing w:line="408" w:lineRule="auto"/>
        <w:ind w:firstLine="0"/>
        <w:jc w:val="center"/>
        <w:rPr>
          <w:rFonts w:hint="eastAsia" w:ascii="仿宋" w:hAnsi="仿宋" w:eastAsia="仿宋" w:cs="仿宋"/>
          <w:color w:val="auto"/>
          <w:sz w:val="28"/>
          <w:szCs w:val="24"/>
        </w:rPr>
      </w:pPr>
      <w:r>
        <w:rPr>
          <w:rFonts w:hint="eastAsia" w:ascii="仿宋" w:hAnsi="仿宋" w:eastAsia="仿宋" w:cs="仿宋"/>
          <w:color w:val="auto"/>
          <w:sz w:val="28"/>
          <w:szCs w:val="24"/>
          <w:lang w:eastAsia="zh-CN"/>
        </w:rPr>
        <w:t>代理机构：陕西中源项目管理有限公司</w:t>
      </w:r>
    </w:p>
    <w:p w14:paraId="52C0CDEE">
      <w:pPr>
        <w:spacing w:line="408" w:lineRule="auto"/>
        <w:ind w:firstLine="0"/>
        <w:jc w:val="center"/>
        <w:rPr>
          <w:rFonts w:hint="eastAsia" w:ascii="仿宋" w:hAnsi="仿宋" w:eastAsia="仿宋" w:cs="仿宋"/>
          <w:color w:val="auto"/>
          <w:sz w:val="28"/>
          <w:szCs w:val="24"/>
        </w:rPr>
        <w:sectPr>
          <w:pgSz w:w="11906" w:h="16838"/>
          <w:pgMar w:top="1440" w:right="1797" w:bottom="1440" w:left="1797" w:header="720" w:footer="720" w:gutter="0"/>
          <w:pgNumType w:fmt="decimal"/>
          <w:cols w:space="720" w:num="1"/>
        </w:sectPr>
      </w:pPr>
      <w:r>
        <w:rPr>
          <w:rFonts w:hint="eastAsia" w:ascii="仿宋" w:hAnsi="仿宋" w:eastAsia="仿宋" w:cs="仿宋"/>
          <w:color w:val="auto"/>
          <w:sz w:val="28"/>
          <w:szCs w:val="24"/>
          <w:lang w:eastAsia="zh-CN"/>
        </w:rPr>
        <w:t>日期：二〇二六年九月</w:t>
      </w:r>
    </w:p>
    <w:p w14:paraId="3138B360">
      <w:pPr>
        <w:ind w:left="0" w:leftChars="0" w:firstLine="0" w:firstLineChars="0"/>
        <w:rPr>
          <w:rFonts w:hint="eastAsia" w:ascii="仿宋" w:hAnsi="仿宋" w:eastAsia="仿宋" w:cs="仿宋"/>
          <w:color w:val="auto"/>
        </w:rPr>
      </w:pPr>
      <w:r>
        <w:rPr>
          <w:rFonts w:hint="eastAsia" w:ascii="仿宋" w:hAnsi="仿宋" w:eastAsia="仿宋" w:cs="仿宋"/>
          <w:color w:val="auto"/>
        </w:rPr>
        <w:br w:type="page"/>
      </w:r>
    </w:p>
    <w:p w14:paraId="1F60AE32">
      <w:pPr>
        <w:spacing w:line="408" w:lineRule="auto"/>
        <w:rPr>
          <w:rFonts w:hint="eastAsia" w:ascii="仿宋" w:hAnsi="仿宋" w:eastAsia="仿宋" w:cs="仿宋"/>
          <w:color w:val="auto"/>
        </w:rPr>
      </w:pPr>
    </w:p>
    <w:p w14:paraId="6AAA5E58">
      <w:pPr>
        <w:pStyle w:val="7"/>
        <w:jc w:val="center"/>
        <w:rPr>
          <w:rFonts w:hint="eastAsia" w:ascii="仿宋" w:hAnsi="仿宋" w:eastAsia="仿宋" w:cs="仿宋"/>
          <w:color w:val="auto"/>
          <w:sz w:val="36"/>
          <w:szCs w:val="32"/>
          <w:lang w:eastAsia="zh-CN"/>
        </w:rPr>
      </w:pPr>
      <w:r>
        <w:rPr>
          <w:rFonts w:hint="eastAsia" w:ascii="仿宋" w:hAnsi="仿宋" w:eastAsia="仿宋" w:cs="仿宋"/>
          <w:color w:val="auto"/>
          <w:sz w:val="36"/>
          <w:szCs w:val="32"/>
          <w:lang w:eastAsia="zh-CN"/>
        </w:rPr>
        <w:t>目</w:t>
      </w:r>
      <w:r>
        <w:rPr>
          <w:rFonts w:hint="eastAsia" w:ascii="仿宋" w:hAnsi="仿宋" w:eastAsia="仿宋" w:cs="仿宋"/>
          <w:color w:val="auto"/>
          <w:sz w:val="36"/>
          <w:szCs w:val="32"/>
          <w:lang w:val="en-US" w:eastAsia="zh-CN"/>
        </w:rPr>
        <w:t xml:space="preserve">   </w:t>
      </w:r>
      <w:r>
        <w:rPr>
          <w:rFonts w:hint="eastAsia" w:ascii="仿宋" w:hAnsi="仿宋" w:eastAsia="仿宋" w:cs="仿宋"/>
          <w:color w:val="auto"/>
          <w:sz w:val="36"/>
          <w:szCs w:val="32"/>
          <w:lang w:eastAsia="zh-CN"/>
        </w:rPr>
        <w:t>录</w:t>
      </w:r>
    </w:p>
    <w:p w14:paraId="4E26ECBF">
      <w:pPr>
        <w:rPr>
          <w:rFonts w:hint="eastAsia"/>
        </w:rPr>
      </w:pPr>
    </w:p>
    <w:p w14:paraId="0778D4D8">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第一章</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竞争性磋商公告</w:t>
      </w:r>
    </w:p>
    <w:p w14:paraId="6AFE8C30">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第二章</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磋商须知</w:t>
      </w:r>
    </w:p>
    <w:p w14:paraId="19AD6DC7">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第三章</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采购需求</w:t>
      </w:r>
    </w:p>
    <w:p w14:paraId="1761287F">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第四章</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拟签订合同主要条款</w:t>
      </w:r>
    </w:p>
    <w:p w14:paraId="41A2645E">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第五章</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磋商响应文件基本格式</w:t>
      </w:r>
    </w:p>
    <w:p w14:paraId="5D6C9637">
      <w:pPr>
        <w:rPr>
          <w:rFonts w:hint="eastAsia" w:ascii="仿宋" w:hAnsi="仿宋" w:eastAsia="仿宋" w:cs="仿宋"/>
          <w:color w:val="auto"/>
          <w:lang w:eastAsia="zh-CN"/>
        </w:rPr>
      </w:pPr>
      <w:r>
        <w:rPr>
          <w:rFonts w:hint="eastAsia" w:ascii="仿宋" w:hAnsi="仿宋" w:eastAsia="仿宋" w:cs="仿宋"/>
          <w:color w:val="auto"/>
          <w:sz w:val="32"/>
          <w:lang w:eastAsia="zh-CN"/>
        </w:rPr>
        <w:br w:type="page"/>
      </w:r>
    </w:p>
    <w:p w14:paraId="6FA9C9EE">
      <w:pPr>
        <w:pStyle w:val="7"/>
        <w:jc w:val="center"/>
        <w:rPr>
          <w:rFonts w:hint="eastAsia" w:ascii="仿宋" w:hAnsi="仿宋" w:eastAsia="仿宋" w:cs="仿宋"/>
          <w:color w:val="auto"/>
        </w:rPr>
      </w:pPr>
      <w:r>
        <w:rPr>
          <w:rFonts w:hint="eastAsia" w:ascii="仿宋" w:hAnsi="仿宋" w:eastAsia="仿宋" w:cs="仿宋"/>
          <w:color w:val="auto"/>
          <w:sz w:val="32"/>
          <w:lang w:eastAsia="zh-CN"/>
        </w:rPr>
        <w:t>第一章</w:t>
      </w: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lang w:eastAsia="zh-CN"/>
        </w:rPr>
        <w:t>竞争性磋商公告</w:t>
      </w:r>
    </w:p>
    <w:p w14:paraId="65A5C387">
      <w:pPr>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lang w:eastAsia="zh-CN"/>
        </w:rPr>
      </w:pPr>
    </w:p>
    <w:p w14:paraId="4B2E9FB6">
      <w:pPr>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lang w:eastAsia="zh-CN"/>
        </w:rPr>
        <w:t>陕西中源项目管理有限公司受安康市住房和城乡建设局的委托，按照政府采购程序，对</w:t>
      </w:r>
      <w:r>
        <w:rPr>
          <w:rFonts w:hint="eastAsia" w:ascii="仿宋" w:hAnsi="仿宋" w:eastAsia="仿宋" w:cs="仿宋"/>
          <w:color w:val="auto"/>
        </w:rPr>
        <w:t>"</w:t>
      </w:r>
      <w:r>
        <w:rPr>
          <w:rFonts w:hint="eastAsia" w:ascii="仿宋" w:hAnsi="仿宋" w:eastAsia="仿宋" w:cs="仿宋"/>
          <w:color w:val="auto"/>
          <w:lang w:eastAsia="zh-CN"/>
        </w:rPr>
        <w:t>安康中心城区易涝点整治工程（四期）监理服务项目</w:t>
      </w:r>
      <w:r>
        <w:rPr>
          <w:rFonts w:hint="eastAsia" w:ascii="仿宋" w:hAnsi="仿宋" w:eastAsia="仿宋" w:cs="仿宋"/>
          <w:color w:val="auto"/>
        </w:rPr>
        <w:t>"</w:t>
      </w:r>
      <w:r>
        <w:rPr>
          <w:rFonts w:hint="eastAsia" w:ascii="仿宋" w:hAnsi="仿宋" w:eastAsia="仿宋" w:cs="仿宋"/>
          <w:color w:val="auto"/>
          <w:lang w:eastAsia="zh-CN"/>
        </w:rPr>
        <w:t>组织竞争性磋商采购，欢迎符合资格条件的、有能力承担本项目的供应商参加竞争性磋商。</w:t>
      </w:r>
    </w:p>
    <w:p w14:paraId="76D59F1C">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一、项目基本情况</w:t>
      </w:r>
    </w:p>
    <w:p w14:paraId="3F0BE6C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（一）项目编号：</w:t>
      </w:r>
      <w:r>
        <w:rPr>
          <w:rFonts w:hint="eastAsia" w:ascii="仿宋" w:hAnsi="仿宋" w:eastAsia="仿宋" w:cs="仿宋"/>
          <w:color w:val="auto"/>
        </w:rPr>
        <w:t>SXZY-</w:t>
      </w:r>
      <w:r>
        <w:rPr>
          <w:rFonts w:hint="eastAsia" w:ascii="仿宋" w:hAnsi="仿宋" w:eastAsia="仿宋" w:cs="仿宋"/>
          <w:color w:val="auto"/>
          <w:lang w:eastAsia="zh-CN"/>
        </w:rPr>
        <w:t>AK2026064</w:t>
      </w:r>
    </w:p>
    <w:p w14:paraId="664DE5C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（二）项目名称：安康中心城区易涝点整治工程（四期）监理服务项目</w:t>
      </w:r>
    </w:p>
    <w:p w14:paraId="70AA232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（三）预算金额：</w:t>
      </w:r>
      <w:r>
        <w:rPr>
          <w:rFonts w:hint="eastAsia" w:ascii="仿宋" w:hAnsi="仿宋" w:eastAsia="仿宋" w:cs="仿宋"/>
          <w:color w:val="auto"/>
          <w:lang w:val="en-US" w:eastAsia="zh-CN"/>
        </w:rPr>
        <w:t>工程建安费用约2000万，费率上限2%，费用上限</w:t>
      </w:r>
      <w:r>
        <w:rPr>
          <w:rFonts w:hint="eastAsia" w:ascii="仿宋" w:hAnsi="仿宋" w:eastAsia="仿宋" w:cs="仿宋"/>
          <w:color w:val="auto"/>
        </w:rPr>
        <w:t>400000.00</w:t>
      </w:r>
      <w:r>
        <w:rPr>
          <w:rFonts w:hint="eastAsia" w:ascii="仿宋" w:hAnsi="仿宋" w:eastAsia="仿宋" w:cs="仿宋"/>
          <w:color w:val="auto"/>
          <w:lang w:eastAsia="zh-CN"/>
        </w:rPr>
        <w:t>元。</w:t>
      </w:r>
    </w:p>
    <w:p w14:paraId="057E2B3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（四）采购需求：安康中心城区易涝点整治工程（四期）监理服务项目</w:t>
      </w:r>
    </w:p>
    <w:p w14:paraId="6301175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合同包预算金额：</w:t>
      </w:r>
      <w:r>
        <w:rPr>
          <w:rFonts w:hint="eastAsia" w:ascii="仿宋" w:hAnsi="仿宋" w:eastAsia="仿宋" w:cs="仿宋"/>
          <w:color w:val="auto"/>
        </w:rPr>
        <w:t>400000.00</w:t>
      </w:r>
      <w:r>
        <w:rPr>
          <w:rFonts w:hint="eastAsia" w:ascii="仿宋" w:hAnsi="仿宋" w:eastAsia="仿宋" w:cs="仿宋"/>
          <w:color w:val="auto"/>
          <w:lang w:eastAsia="zh-CN"/>
        </w:rPr>
        <w:t>元；合同包最高限价：</w:t>
      </w:r>
      <w:r>
        <w:rPr>
          <w:rFonts w:hint="eastAsia" w:ascii="仿宋" w:hAnsi="仿宋" w:eastAsia="仿宋" w:cs="仿宋"/>
          <w:color w:val="auto"/>
        </w:rPr>
        <w:t>400000.00</w:t>
      </w:r>
      <w:r>
        <w:rPr>
          <w:rFonts w:hint="eastAsia" w:ascii="仿宋" w:hAnsi="仿宋" w:eastAsia="仿宋" w:cs="仿宋"/>
          <w:color w:val="auto"/>
          <w:lang w:eastAsia="zh-CN"/>
        </w:rPr>
        <w:t>元。</w:t>
      </w:r>
    </w:p>
    <w:tbl>
      <w:tblPr>
        <w:tblStyle w:val="36"/>
        <w:tblW w:w="10046" w:type="dxa"/>
        <w:jc w:val="center"/>
        <w:tblLayout w:type="autofit"/>
        <w:tblCellMar>
          <w:top w:w="0" w:type="dxa"/>
          <w:left w:w="108" w:type="dxa"/>
          <w:bottom w:w="0" w:type="dxa"/>
          <w:right w:w="108" w:type="dxa"/>
        </w:tblCellMar>
      </w:tblPr>
      <w:tblGrid>
        <w:gridCol w:w="816"/>
        <w:gridCol w:w="2016"/>
        <w:gridCol w:w="1416"/>
        <w:gridCol w:w="1299"/>
        <w:gridCol w:w="1776"/>
        <w:gridCol w:w="1361"/>
        <w:gridCol w:w="1362"/>
      </w:tblGrid>
      <w:tr w14:paraId="0DF57F15">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B40751E">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品目号</w:t>
            </w:r>
          </w:p>
        </w:tc>
        <w:tc>
          <w:tcPr>
            <w:tcW w:w="2016"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00D6F73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品目名称</w:t>
            </w:r>
          </w:p>
        </w:tc>
        <w:tc>
          <w:tcPr>
            <w:tcW w:w="1416"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56BD8CA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采购标的</w:t>
            </w:r>
          </w:p>
        </w:tc>
        <w:tc>
          <w:tcPr>
            <w:tcW w:w="1299"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5B15795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数量</w:t>
            </w:r>
          </w:p>
          <w:p w14:paraId="2D1931B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（单位）</w:t>
            </w:r>
          </w:p>
        </w:tc>
        <w:tc>
          <w:tcPr>
            <w:tcW w:w="1776"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12972FD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技术规格、参数及要求</w:t>
            </w:r>
          </w:p>
        </w:tc>
        <w:tc>
          <w:tcPr>
            <w:tcW w:w="0" w:type="auto"/>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1A61A2E">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品目预算</w:t>
            </w:r>
          </w:p>
          <w:p w14:paraId="54AFEAD9">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（元）</w:t>
            </w:r>
          </w:p>
        </w:tc>
        <w:tc>
          <w:tcPr>
            <w:tcW w:w="1362" w:type="dxa"/>
            <w:tcBorders>
              <w:top w:val="single" w:color="000000" w:sz="4" w:space="0"/>
              <w:left w:val="single" w:color="000000" w:sz="4" w:space="0"/>
              <w:bottom w:val="nil"/>
              <w:right w:val="single" w:color="000000" w:sz="4" w:space="0"/>
            </w:tcBorders>
            <w:shd w:val="clear" w:color="auto" w:fill="F0F0F0"/>
            <w:noWrap w:val="0"/>
            <w:tcMar>
              <w:top w:w="80" w:type="dxa"/>
              <w:left w:w="100" w:type="dxa"/>
              <w:bottom w:w="80" w:type="dxa"/>
              <w:right w:w="100" w:type="dxa"/>
            </w:tcMar>
            <w:vAlign w:val="center"/>
          </w:tcPr>
          <w:p w14:paraId="7697B83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最高限价</w:t>
            </w:r>
          </w:p>
          <w:p w14:paraId="6357F04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（元）</w:t>
            </w:r>
          </w:p>
        </w:tc>
      </w:tr>
      <w:tr w14:paraId="6B462941">
        <w:tblPrEx>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3BB7B08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1-1</w:t>
            </w:r>
          </w:p>
        </w:tc>
        <w:tc>
          <w:tcPr>
            <w:tcW w:w="201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18B2467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工程监理服务（品目分类编码：C11020000）</w:t>
            </w:r>
          </w:p>
        </w:tc>
        <w:tc>
          <w:tcPr>
            <w:tcW w:w="141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76585B3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安康中心城区易涝点整治工程（四期）监理服务项目</w:t>
            </w:r>
          </w:p>
        </w:tc>
        <w:tc>
          <w:tcPr>
            <w:tcW w:w="1299"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4575AC4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1（项）</w:t>
            </w:r>
          </w:p>
        </w:tc>
        <w:tc>
          <w:tcPr>
            <w:tcW w:w="177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137CCD7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详见采购文件</w:t>
            </w:r>
          </w:p>
        </w:tc>
        <w:tc>
          <w:tcPr>
            <w:tcW w:w="1361"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3EB3D97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right"/>
              <w:textAlignment w:val="auto"/>
              <w:rPr>
                <w:rFonts w:hint="eastAsia" w:ascii="仿宋" w:hAnsi="仿宋" w:eastAsia="仿宋" w:cs="仿宋"/>
                <w:color w:val="auto"/>
              </w:rPr>
            </w:pPr>
            <w:r>
              <w:rPr>
                <w:rFonts w:hint="eastAsia" w:ascii="仿宋" w:hAnsi="仿宋" w:eastAsia="仿宋" w:cs="仿宋"/>
                <w:color w:val="auto"/>
              </w:rPr>
              <w:t>400000.00</w:t>
            </w:r>
          </w:p>
        </w:tc>
        <w:tc>
          <w:tcPr>
            <w:tcW w:w="1362" w:type="dxa"/>
            <w:tcBorders>
              <w:top w:val="single" w:color="000000" w:sz="4" w:space="0"/>
              <w:left w:val="single" w:color="000000" w:sz="4" w:space="0"/>
              <w:bottom w:val="single" w:color="000000" w:sz="4" w:space="0"/>
              <w:right w:val="single" w:color="000000" w:sz="4" w:space="0"/>
            </w:tcBorders>
            <w:noWrap w:val="0"/>
            <w:tcMar>
              <w:top w:w="80" w:type="dxa"/>
              <w:left w:w="100" w:type="dxa"/>
              <w:bottom w:w="80" w:type="dxa"/>
              <w:right w:w="100" w:type="dxa"/>
            </w:tcMar>
            <w:vAlign w:val="center"/>
          </w:tcPr>
          <w:p w14:paraId="373982C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right"/>
              <w:textAlignment w:val="auto"/>
              <w:rPr>
                <w:rFonts w:hint="eastAsia" w:ascii="仿宋" w:hAnsi="仿宋" w:eastAsia="仿宋" w:cs="仿宋"/>
                <w:color w:val="auto"/>
              </w:rPr>
            </w:pPr>
            <w:r>
              <w:rPr>
                <w:rFonts w:hint="eastAsia" w:ascii="仿宋" w:hAnsi="仿宋" w:eastAsia="仿宋" w:cs="仿宋"/>
                <w:color w:val="auto"/>
              </w:rPr>
              <w:t>400000.00</w:t>
            </w:r>
          </w:p>
        </w:tc>
      </w:tr>
    </w:tbl>
    <w:p w14:paraId="1BDACEC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410BF98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（五）项目性质：财政资金</w:t>
      </w:r>
    </w:p>
    <w:p w14:paraId="7F60191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（六）合同履行期限：自工程开工之日起至竣工验收合格之日</w:t>
      </w:r>
    </w:p>
    <w:p w14:paraId="3DF3018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（七）本项目是否接受联合体投标：否</w:t>
      </w:r>
    </w:p>
    <w:p w14:paraId="5B021E81">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二、响应供应商的资格要求</w:t>
      </w:r>
    </w:p>
    <w:p w14:paraId="7E2553C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（一）满足《中华人民共和国政府采购法》第二十二条规定；</w:t>
      </w:r>
    </w:p>
    <w:p w14:paraId="30A6662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（二）落实政府采购政策需满足的资格要求：</w:t>
      </w:r>
    </w:p>
    <w:p w14:paraId="55FC440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val="en-US" w:eastAsia="en-US"/>
        </w:rPr>
      </w:pPr>
      <w:r>
        <w:rPr>
          <w:rFonts w:hint="eastAsia" w:ascii="仿宋" w:hAnsi="仿宋" w:eastAsia="仿宋" w:cs="仿宋"/>
          <w:color w:val="auto"/>
          <w:lang w:eastAsia="zh-CN"/>
        </w:rPr>
        <w:t>（</w:t>
      </w:r>
      <w:r>
        <w:rPr>
          <w:rFonts w:hint="eastAsia" w:ascii="仿宋" w:hAnsi="仿宋" w:eastAsia="仿宋" w:cs="仿宋"/>
          <w:color w:val="auto"/>
          <w:lang w:val="en-US" w:eastAsia="zh-CN"/>
        </w:rPr>
        <w:t>1</w:t>
      </w:r>
      <w:r>
        <w:rPr>
          <w:rFonts w:hint="eastAsia" w:ascii="仿宋" w:hAnsi="仿宋" w:eastAsia="仿宋" w:cs="仿宋"/>
          <w:color w:val="auto"/>
          <w:lang w:eastAsia="zh-CN"/>
        </w:rPr>
        <w:t>）陕西省财政厅关于印发《陕西省中小企业政府采购信用融资办法》（陕财办采〔2018〕23号）；</w:t>
      </w:r>
    </w:p>
    <w:p w14:paraId="588049D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val="en-US"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2</w:t>
      </w:r>
      <w:r>
        <w:rPr>
          <w:rFonts w:hint="eastAsia" w:ascii="仿宋" w:hAnsi="仿宋" w:eastAsia="仿宋" w:cs="仿宋"/>
          <w:color w:val="auto"/>
          <w:lang w:eastAsia="zh-CN"/>
        </w:rPr>
        <w:t>）《关于印发环境标志产品政府采购品目清单的通知》(财库〔2019〕18号)；</w:t>
      </w:r>
    </w:p>
    <w:p w14:paraId="548C321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3</w:t>
      </w:r>
      <w:r>
        <w:rPr>
          <w:rFonts w:hint="eastAsia" w:ascii="仿宋" w:hAnsi="仿宋" w:eastAsia="仿宋" w:cs="仿宋"/>
          <w:color w:val="auto"/>
          <w:lang w:eastAsia="zh-CN"/>
        </w:rPr>
        <w:t>）《关于印发节能产品政府采购品目清单的通知》(财库〔2019〕19号)；</w:t>
      </w:r>
    </w:p>
    <w:p w14:paraId="22EC254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4</w:t>
      </w:r>
      <w:r>
        <w:rPr>
          <w:rFonts w:hint="eastAsia" w:ascii="仿宋" w:hAnsi="仿宋" w:eastAsia="仿宋" w:cs="仿宋"/>
          <w:color w:val="auto"/>
          <w:lang w:eastAsia="zh-CN"/>
        </w:rPr>
        <w:t>）《国务院办公厅关于建立政府强制采购节能产品制度的通知》(国办发〔2007〕51号)；</w:t>
      </w:r>
    </w:p>
    <w:p w14:paraId="7DBAB6C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5</w:t>
      </w:r>
      <w:r>
        <w:rPr>
          <w:rFonts w:hint="eastAsia" w:ascii="仿宋" w:hAnsi="仿宋" w:eastAsia="仿宋" w:cs="仿宋"/>
          <w:color w:val="auto"/>
          <w:lang w:eastAsia="zh-CN"/>
        </w:rPr>
        <w:t>）《财政部司法部关于政府采购支持监狱企业发展有关问题的通知》(财库〔2014〕68号)；</w:t>
      </w:r>
    </w:p>
    <w:p w14:paraId="7A7004A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6</w:t>
      </w:r>
      <w:r>
        <w:rPr>
          <w:rFonts w:hint="eastAsia" w:ascii="仿宋" w:hAnsi="仿宋" w:eastAsia="仿宋" w:cs="仿宋"/>
          <w:color w:val="auto"/>
          <w:lang w:eastAsia="zh-CN"/>
        </w:rPr>
        <w:t>）《财政部民政部中国残疾人联合会关于促进残疾人就业政府采购政策的通知》(财库〔2017〕141号)；</w:t>
      </w:r>
    </w:p>
    <w:p w14:paraId="4729D21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7</w:t>
      </w:r>
      <w:r>
        <w:rPr>
          <w:rFonts w:hint="eastAsia" w:ascii="仿宋" w:hAnsi="仿宋" w:eastAsia="仿宋" w:cs="仿宋"/>
          <w:color w:val="auto"/>
          <w:lang w:eastAsia="zh-CN"/>
        </w:rPr>
        <w:t>）《财政部发展改革委生态环境部市场监管总局关于调整优化节能产品、环境标志产品政府采购执行机制的通知》(财库〔2019〕9号)；</w:t>
      </w:r>
    </w:p>
    <w:p w14:paraId="078652E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8</w:t>
      </w:r>
      <w:r>
        <w:rPr>
          <w:rFonts w:hint="eastAsia" w:ascii="仿宋" w:hAnsi="仿宋" w:eastAsia="仿宋" w:cs="仿宋"/>
          <w:color w:val="auto"/>
          <w:lang w:eastAsia="zh-CN"/>
        </w:rPr>
        <w:t>）《政府采购促进</w:t>
      </w:r>
      <w:r>
        <w:rPr>
          <w:rFonts w:hint="eastAsia" w:ascii="仿宋" w:hAnsi="仿宋" w:eastAsia="仿宋" w:cs="仿宋"/>
          <w:color w:val="auto"/>
          <w:lang w:val="en-US" w:eastAsia="zh-CN"/>
        </w:rPr>
        <w:t>中小</w:t>
      </w:r>
      <w:r>
        <w:rPr>
          <w:rFonts w:hint="eastAsia" w:ascii="仿宋" w:hAnsi="仿宋" w:eastAsia="仿宋" w:cs="仿宋"/>
          <w:color w:val="auto"/>
          <w:lang w:eastAsia="zh-CN"/>
        </w:rPr>
        <w:t>企业发展管理办法》(财库〔2020〕46号)；</w:t>
      </w:r>
    </w:p>
    <w:p w14:paraId="06FD02F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9</w:t>
      </w:r>
      <w:r>
        <w:rPr>
          <w:rFonts w:hint="eastAsia" w:ascii="仿宋" w:hAnsi="仿宋" w:eastAsia="仿宋" w:cs="仿宋"/>
          <w:color w:val="auto"/>
          <w:lang w:eastAsia="zh-CN"/>
        </w:rPr>
        <w:t>）《财政部农业农村部国家乡村振兴局关于运用政府采购政策支持乡村产业振兴的通知》财库〔2021〕19号；</w:t>
      </w:r>
    </w:p>
    <w:p w14:paraId="147D1FB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10</w:t>
      </w:r>
      <w:r>
        <w:rPr>
          <w:rFonts w:hint="eastAsia" w:ascii="仿宋" w:hAnsi="仿宋" w:eastAsia="仿宋" w:cs="仿宋"/>
          <w:color w:val="auto"/>
          <w:lang w:eastAsia="zh-CN"/>
        </w:rPr>
        <w:t>）财政部关于进一步加大政府采购支持中小企业力度的通知(财库〔2022〕19号)；</w:t>
      </w:r>
    </w:p>
    <w:p w14:paraId="65CBDB4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val="en-US" w:eastAsia="zh-CN"/>
        </w:rPr>
        <w:t>1</w:t>
      </w:r>
      <w:r>
        <w:rPr>
          <w:rFonts w:hint="eastAsia" w:ascii="仿宋" w:hAnsi="仿宋" w:eastAsia="仿宋" w:cs="仿宋"/>
          <w:color w:val="auto"/>
          <w:lang w:eastAsia="zh-CN"/>
        </w:rPr>
        <w:t>）其他需要落实的政府采购政策。</w:t>
      </w:r>
    </w:p>
    <w:p w14:paraId="1B5A074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（三）本项目的特定资格要求：</w:t>
      </w:r>
    </w:p>
    <w:p w14:paraId="31580A1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）具有独立承担民事责任能力的法人、其他组织或自然人，并出具合法有效的营业执照或事业单位法人证书等国家规定的相关证明资料，自然人参与的提供其身份证明；</w:t>
      </w:r>
    </w:p>
    <w:p w14:paraId="21CE414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）法定代表人授权书和被授权人的身份证</w:t>
      </w:r>
      <w:r>
        <w:rPr>
          <w:rFonts w:hint="eastAsia" w:ascii="仿宋" w:hAnsi="仿宋" w:eastAsia="仿宋" w:cs="仿宋"/>
          <w:color w:val="auto"/>
          <w:lang w:val="en-US" w:eastAsia="zh-CN"/>
        </w:rPr>
        <w:t>扫描件</w:t>
      </w:r>
      <w:r>
        <w:rPr>
          <w:rFonts w:hint="eastAsia" w:ascii="仿宋" w:hAnsi="仿宋" w:eastAsia="仿宋" w:cs="仿宋"/>
          <w:color w:val="auto"/>
          <w:lang w:eastAsia="zh-CN"/>
        </w:rPr>
        <w:t>；法定代表人参加磋商时，须提供本人身份证原件</w:t>
      </w:r>
      <w:r>
        <w:rPr>
          <w:rFonts w:hint="eastAsia" w:ascii="仿宋" w:hAnsi="仿宋" w:eastAsia="仿宋" w:cs="仿宋"/>
          <w:color w:val="auto"/>
          <w:lang w:val="en-US" w:eastAsia="zh-CN"/>
        </w:rPr>
        <w:t>扫描件</w:t>
      </w:r>
      <w:r>
        <w:rPr>
          <w:rFonts w:hint="eastAsia" w:ascii="仿宋" w:hAnsi="仿宋" w:eastAsia="仿宋" w:cs="仿宋"/>
          <w:color w:val="auto"/>
          <w:lang w:eastAsia="zh-CN"/>
        </w:rPr>
        <w:t>；</w:t>
      </w:r>
    </w:p>
    <w:p w14:paraId="716AF79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）财务状况报告：提供</w:t>
      </w:r>
      <w:r>
        <w:rPr>
          <w:rFonts w:hint="eastAsia" w:ascii="仿宋" w:hAnsi="仿宋" w:eastAsia="仿宋" w:cs="仿宋"/>
          <w:color w:val="auto"/>
        </w:rPr>
        <w:t>2025</w:t>
      </w:r>
      <w:r>
        <w:rPr>
          <w:rFonts w:hint="eastAsia" w:ascii="仿宋" w:hAnsi="仿宋" w:eastAsia="仿宋" w:cs="仿宋"/>
          <w:color w:val="auto"/>
          <w:lang w:eastAsia="zh-CN"/>
        </w:rPr>
        <w:t>年经审计的财务审计报告（成立时间至提交磋商响应文件截止时间不足一年的，可提供成立后任意时段的资产负债表）或开标前</w:t>
      </w:r>
      <w:r>
        <w:rPr>
          <w:rFonts w:hint="eastAsia" w:ascii="仿宋" w:hAnsi="仿宋" w:eastAsia="仿宋" w:cs="仿宋"/>
          <w:color w:val="auto"/>
        </w:rPr>
        <w:t>6</w:t>
      </w:r>
      <w:r>
        <w:rPr>
          <w:rFonts w:hint="eastAsia" w:ascii="仿宋" w:hAnsi="仿宋" w:eastAsia="仿宋" w:cs="仿宋"/>
          <w:color w:val="auto"/>
          <w:lang w:eastAsia="zh-CN"/>
        </w:rPr>
        <w:t>个月内其基本账户开户银行出具的资信证明；</w:t>
      </w:r>
    </w:p>
    <w:p w14:paraId="6CE25EE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）税收缴纳证明：提供递交响应文件截止之日前半年内已缴纳的任意一个月的纳税证明或完税证明（纳税证明或完税证明上应有代收机构或税务机关的公章或业务章），依法免税的单位应提供相关证明材料；</w:t>
      </w:r>
    </w:p>
    <w:p w14:paraId="7032C03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5</w:t>
      </w:r>
      <w:r>
        <w:rPr>
          <w:rFonts w:hint="eastAsia" w:ascii="仿宋" w:hAnsi="仿宋" w:eastAsia="仿宋" w:cs="仿宋"/>
          <w:color w:val="auto"/>
          <w:lang w:eastAsia="zh-CN"/>
        </w:rPr>
        <w:t>）社会保障资金缴纳证明：提供递交响应文件截止之日前半年内已缴纳的任意一个月的社会保障资金缴存单据或社保机构开具的社会保险参保缴费情况证明，依法不需要缴纳社会保障资金的应提供相关证明材料；</w:t>
      </w:r>
    </w:p>
    <w:p w14:paraId="16D6990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6</w:t>
      </w:r>
      <w:r>
        <w:rPr>
          <w:rFonts w:hint="eastAsia" w:ascii="仿宋" w:hAnsi="仿宋" w:eastAsia="仿宋" w:cs="仿宋"/>
          <w:color w:val="auto"/>
          <w:lang w:eastAsia="zh-CN"/>
        </w:rPr>
        <w:t>）书面声明：参加本次政府采购活动前三年内在经营活动中没有重大违法记录，以及未被列入失信被执行人、重大税收违法失信主体、政府采购严重违法失信行为记录名单的书面声明（最终结果以开标现场在信用中国及中国政府采购网查询公示结果为准）；</w:t>
      </w:r>
    </w:p>
    <w:p w14:paraId="25C4C66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7</w:t>
      </w:r>
      <w:r>
        <w:rPr>
          <w:rFonts w:hint="eastAsia" w:ascii="仿宋" w:hAnsi="仿宋" w:eastAsia="仿宋" w:cs="仿宋"/>
          <w:color w:val="auto"/>
          <w:lang w:eastAsia="zh-CN"/>
        </w:rPr>
        <w:t>）供应商应具有履行本合同所必需的设备和专业技术能力的证明，须附相关证明材料或书面声明；</w:t>
      </w:r>
    </w:p>
    <w:p w14:paraId="79BC64E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8</w:t>
      </w:r>
      <w:r>
        <w:rPr>
          <w:rFonts w:hint="eastAsia" w:ascii="仿宋" w:hAnsi="仿宋" w:eastAsia="仿宋" w:cs="仿宋"/>
          <w:color w:val="auto"/>
          <w:lang w:eastAsia="zh-CN"/>
        </w:rPr>
        <w:t>）供应商须具备建设行政主管部门核发的工程监理综合资质或市政公用工程监理乙级及以上资质；</w:t>
      </w:r>
    </w:p>
    <w:p w14:paraId="61F7DA2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9</w:t>
      </w:r>
      <w:r>
        <w:rPr>
          <w:rFonts w:hint="eastAsia" w:ascii="仿宋" w:hAnsi="仿宋" w:eastAsia="仿宋" w:cs="仿宋"/>
          <w:color w:val="auto"/>
          <w:lang w:eastAsia="zh-CN"/>
        </w:rPr>
        <w:t>）拟派总监理工程师具备有效的市政公用工程专业注册监理工程师资格，须在本单位注册且在监工程不得超过</w:t>
      </w:r>
      <w:r>
        <w:rPr>
          <w:rFonts w:hint="eastAsia" w:ascii="仿宋" w:hAnsi="仿宋" w:eastAsia="仿宋" w:cs="仿宋"/>
          <w:color w:val="auto"/>
        </w:rPr>
        <w:t>2</w:t>
      </w:r>
      <w:r>
        <w:rPr>
          <w:rFonts w:hint="eastAsia" w:ascii="仿宋" w:hAnsi="仿宋" w:eastAsia="仿宋" w:cs="仿宋"/>
          <w:color w:val="auto"/>
          <w:lang w:eastAsia="zh-CN"/>
        </w:rPr>
        <w:t>个；</w:t>
      </w:r>
    </w:p>
    <w:p w14:paraId="1D159C2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10</w:t>
      </w:r>
      <w:r>
        <w:rPr>
          <w:rFonts w:hint="eastAsia" w:ascii="仿宋" w:hAnsi="仿宋" w:eastAsia="仿宋" w:cs="仿宋"/>
          <w:color w:val="auto"/>
          <w:lang w:eastAsia="zh-CN"/>
        </w:rPr>
        <w:t>）本项目专门面向中小企业采购，供应商应为中型企业、小型企业、微型企业或监狱企业或残疾人福利性单位。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仿宋" w:hAnsi="仿宋" w:eastAsia="仿宋" w:cs="仿宋"/>
          <w:b/>
          <w:bCs/>
          <w:color w:val="auto"/>
          <w:lang w:eastAsia="zh-CN"/>
        </w:rPr>
        <w:t>本项目采购标的对应的</w:t>
      </w:r>
      <w:r>
        <w:rPr>
          <w:rFonts w:hint="eastAsia" w:ascii="仿宋" w:hAnsi="仿宋" w:eastAsia="仿宋" w:cs="仿宋"/>
          <w:b/>
          <w:bCs/>
          <w:color w:val="auto"/>
          <w:lang w:val="en-US" w:eastAsia="zh-CN"/>
        </w:rPr>
        <w:t>中小企业</w:t>
      </w:r>
      <w:r>
        <w:rPr>
          <w:rFonts w:hint="eastAsia" w:ascii="仿宋" w:hAnsi="仿宋" w:eastAsia="仿宋" w:cs="仿宋"/>
          <w:b/>
          <w:bCs/>
          <w:color w:val="auto"/>
          <w:lang w:eastAsia="zh-CN"/>
        </w:rPr>
        <w:t>划分标准所属行业为：</w:t>
      </w:r>
      <w:r>
        <w:rPr>
          <w:rFonts w:hint="eastAsia" w:ascii="仿宋" w:hAnsi="仿宋" w:eastAsia="仿宋" w:cs="仿宋"/>
          <w:b/>
          <w:bCs/>
          <w:color w:val="auto"/>
          <w:lang w:val="en-US" w:eastAsia="zh-CN"/>
        </w:rPr>
        <w:t>建筑业</w:t>
      </w:r>
      <w:r>
        <w:rPr>
          <w:rFonts w:hint="eastAsia" w:ascii="仿宋" w:hAnsi="仿宋" w:eastAsia="仿宋" w:cs="仿宋"/>
          <w:b/>
          <w:bCs/>
          <w:color w:val="auto"/>
          <w:lang w:eastAsia="zh-CN"/>
        </w:rPr>
        <w:t>。</w:t>
      </w:r>
    </w:p>
    <w:p w14:paraId="6095F6C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11</w:t>
      </w:r>
      <w:r>
        <w:rPr>
          <w:rFonts w:hint="eastAsia" w:ascii="仿宋" w:hAnsi="仿宋" w:eastAsia="仿宋" w:cs="仿宋"/>
          <w:color w:val="auto"/>
          <w:lang w:eastAsia="zh-CN"/>
        </w:rPr>
        <w:t>）本项目不接受联合体投标。</w:t>
      </w:r>
    </w:p>
    <w:p w14:paraId="61027BA4">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三、采购文件的获取方式</w:t>
      </w:r>
    </w:p>
    <w:p w14:paraId="04DEFDE7">
      <w:pPr>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rPr>
      </w:pPr>
      <w:r>
        <w:rPr>
          <w:rFonts w:hint="eastAsia" w:ascii="仿宋" w:hAnsi="仿宋" w:eastAsia="仿宋" w:cs="仿宋"/>
          <w:color w:val="auto"/>
          <w:lang w:eastAsia="zh-CN"/>
        </w:rPr>
        <w:t>获取时间：</w:t>
      </w: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rPr>
        <w:t>9</w:t>
      </w:r>
      <w:r>
        <w:rPr>
          <w:rFonts w:hint="eastAsia" w:ascii="仿宋" w:hAnsi="仿宋" w:eastAsia="仿宋" w:cs="仿宋"/>
          <w:color w:val="auto"/>
          <w:lang w:eastAsia="zh-CN"/>
        </w:rPr>
        <w:t>月</w:t>
      </w:r>
      <w:r>
        <w:rPr>
          <w:rFonts w:hint="eastAsia" w:ascii="仿宋" w:hAnsi="仿宋" w:eastAsia="仿宋" w:cs="仿宋"/>
          <w:color w:val="auto"/>
          <w:lang w:val="en-US" w:eastAsia="zh-CN"/>
        </w:rPr>
        <w:t xml:space="preserve"> 22</w:t>
      </w:r>
      <w:r>
        <w:rPr>
          <w:rFonts w:hint="eastAsia" w:ascii="仿宋" w:hAnsi="仿宋" w:eastAsia="仿宋" w:cs="仿宋"/>
          <w:color w:val="auto"/>
          <w:lang w:eastAsia="zh-CN"/>
        </w:rPr>
        <w:t>日至</w:t>
      </w: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rPr>
        <w:t>9</w:t>
      </w:r>
      <w:r>
        <w:rPr>
          <w:rFonts w:hint="eastAsia" w:ascii="仿宋" w:hAnsi="仿宋" w:eastAsia="仿宋" w:cs="仿宋"/>
          <w:color w:val="auto"/>
          <w:lang w:eastAsia="zh-CN"/>
        </w:rPr>
        <w:t>月</w:t>
      </w:r>
      <w:r>
        <w:rPr>
          <w:rFonts w:hint="eastAsia" w:ascii="仿宋" w:hAnsi="仿宋" w:eastAsia="仿宋" w:cs="仿宋"/>
          <w:color w:val="auto"/>
          <w:lang w:val="en-US" w:eastAsia="zh-CN"/>
        </w:rPr>
        <w:t xml:space="preserve"> 29 </w:t>
      </w:r>
      <w:r>
        <w:rPr>
          <w:rFonts w:hint="eastAsia" w:ascii="仿宋" w:hAnsi="仿宋" w:eastAsia="仿宋" w:cs="仿宋"/>
          <w:color w:val="auto"/>
          <w:lang w:eastAsia="zh-CN"/>
        </w:rPr>
        <w:t>日，每天上午</w:t>
      </w:r>
      <w:r>
        <w:rPr>
          <w:rFonts w:hint="eastAsia" w:ascii="仿宋" w:hAnsi="仿宋" w:eastAsia="仿宋" w:cs="仿宋"/>
          <w:color w:val="auto"/>
        </w:rPr>
        <w:t>08:00:00</w:t>
      </w:r>
      <w:r>
        <w:rPr>
          <w:rFonts w:hint="eastAsia" w:ascii="仿宋" w:hAnsi="仿宋" w:eastAsia="仿宋" w:cs="仿宋"/>
          <w:color w:val="auto"/>
          <w:lang w:eastAsia="zh-CN"/>
        </w:rPr>
        <w:t>至</w:t>
      </w:r>
      <w:r>
        <w:rPr>
          <w:rFonts w:hint="eastAsia" w:ascii="仿宋" w:hAnsi="仿宋" w:eastAsia="仿宋" w:cs="仿宋"/>
          <w:color w:val="auto"/>
        </w:rPr>
        <w:t>12:00:00</w:t>
      </w:r>
      <w:r>
        <w:rPr>
          <w:rFonts w:hint="eastAsia" w:ascii="仿宋" w:hAnsi="仿宋" w:eastAsia="仿宋" w:cs="仿宋"/>
          <w:color w:val="auto"/>
          <w:lang w:eastAsia="zh-CN"/>
        </w:rPr>
        <w:t>，下午</w:t>
      </w:r>
      <w:r>
        <w:rPr>
          <w:rFonts w:hint="eastAsia" w:ascii="仿宋" w:hAnsi="仿宋" w:eastAsia="仿宋" w:cs="仿宋"/>
          <w:color w:val="auto"/>
        </w:rPr>
        <w:t>12:00:00</w:t>
      </w:r>
      <w:r>
        <w:rPr>
          <w:rFonts w:hint="eastAsia" w:ascii="仿宋" w:hAnsi="仿宋" w:eastAsia="仿宋" w:cs="仿宋"/>
          <w:color w:val="auto"/>
          <w:lang w:eastAsia="zh-CN"/>
        </w:rPr>
        <w:t>至</w:t>
      </w:r>
      <w:r>
        <w:rPr>
          <w:rFonts w:hint="eastAsia" w:ascii="仿宋" w:hAnsi="仿宋" w:eastAsia="仿宋" w:cs="仿宋"/>
          <w:color w:val="auto"/>
        </w:rPr>
        <w:t>18:00:00</w:t>
      </w:r>
      <w:r>
        <w:rPr>
          <w:rFonts w:hint="eastAsia" w:ascii="仿宋" w:hAnsi="仿宋" w:eastAsia="仿宋" w:cs="仿宋"/>
          <w:color w:val="auto"/>
          <w:lang w:eastAsia="zh-CN"/>
        </w:rPr>
        <w:t>（双休日及法定节假日除外）</w:t>
      </w:r>
    </w:p>
    <w:p w14:paraId="77D1C70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获取方式：在线获取；</w:t>
      </w:r>
    </w:p>
    <w:p w14:paraId="4BC59D7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售价：免费获取</w:t>
      </w:r>
    </w:p>
    <w:p w14:paraId="25BAA5F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w:t>
      </w:r>
      <w:r>
        <w:rPr>
          <w:rFonts w:hint="eastAsia" w:ascii="仿宋" w:hAnsi="仿宋" w:eastAsia="仿宋" w:cs="仿宋"/>
          <w:color w:val="auto"/>
        </w:rPr>
        <w:t>1</w:t>
      </w:r>
      <w:r>
        <w:rPr>
          <w:rFonts w:hint="eastAsia" w:ascii="仿宋" w:hAnsi="仿宋" w:eastAsia="仿宋" w:cs="仿宋"/>
          <w:color w:val="auto"/>
          <w:lang w:eastAsia="zh-CN"/>
        </w:rPr>
        <w:t>）使用捆绑省交易平台的</w:t>
      </w:r>
      <w:r>
        <w:rPr>
          <w:rFonts w:hint="eastAsia" w:ascii="仿宋" w:hAnsi="仿宋" w:eastAsia="仿宋" w:cs="仿宋"/>
          <w:color w:val="auto"/>
        </w:rPr>
        <w:t>CA</w:t>
      </w:r>
      <w:r>
        <w:rPr>
          <w:rFonts w:hint="eastAsia" w:ascii="仿宋" w:hAnsi="仿宋" w:eastAsia="仿宋" w:cs="仿宋"/>
          <w:color w:val="auto"/>
          <w:lang w:eastAsia="zh-CN"/>
        </w:rPr>
        <w:t>锁登录电子交易平台，通过政府采购系统企业端进入，点击我要投标，完善相关投标信息，下载采购文件。未完成网上操作的或未经采购代理机构确认的，无法完成后续流程。（</w:t>
      </w:r>
      <w:r>
        <w:rPr>
          <w:rFonts w:hint="eastAsia" w:ascii="仿宋" w:hAnsi="仿宋" w:eastAsia="仿宋" w:cs="仿宋"/>
          <w:color w:val="auto"/>
        </w:rPr>
        <w:t>2</w:t>
      </w:r>
      <w:r>
        <w:rPr>
          <w:rFonts w:hint="eastAsia" w:ascii="仿宋" w:hAnsi="仿宋" w:eastAsia="仿宋" w:cs="仿宋"/>
          <w:color w:val="auto"/>
          <w:lang w:eastAsia="zh-CN"/>
        </w:rPr>
        <w:t>）本项目采购公告同时在全国公共资源交易平台（陕西省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安康市）安康市公共资源交易中心（网址：</w:t>
      </w:r>
      <w:r>
        <w:rPr>
          <w:rFonts w:hint="eastAsia" w:ascii="仿宋" w:hAnsi="仿宋" w:eastAsia="仿宋" w:cs="仿宋"/>
          <w:color w:val="auto"/>
        </w:rPr>
        <w:t>http://ak.sxggzyjy.cn/</w:t>
      </w:r>
      <w:r>
        <w:rPr>
          <w:rFonts w:hint="eastAsia" w:ascii="仿宋" w:hAnsi="仿宋" w:eastAsia="仿宋" w:cs="仿宋"/>
          <w:color w:val="auto"/>
          <w:lang w:eastAsia="zh-CN"/>
        </w:rPr>
        <w:t>）、陕西省政府采购网（网址：</w:t>
      </w:r>
      <w:r>
        <w:rPr>
          <w:rFonts w:hint="eastAsia" w:ascii="仿宋" w:hAnsi="仿宋" w:eastAsia="仿宋" w:cs="仿宋"/>
          <w:color w:val="auto"/>
        </w:rPr>
        <w:t>http://www.ccgp-shaanxi.gov.cn/</w:t>
      </w:r>
      <w:r>
        <w:rPr>
          <w:rFonts w:hint="eastAsia" w:ascii="仿宋" w:hAnsi="仿宋" w:eastAsia="仿宋" w:cs="仿宋"/>
          <w:color w:val="auto"/>
          <w:lang w:eastAsia="zh-CN"/>
        </w:rPr>
        <w:t>）发布。（</w:t>
      </w:r>
      <w:r>
        <w:rPr>
          <w:rFonts w:hint="eastAsia" w:ascii="仿宋" w:hAnsi="仿宋" w:eastAsia="仿宋" w:cs="仿宋"/>
          <w:color w:val="auto"/>
        </w:rPr>
        <w:t>3</w:t>
      </w:r>
      <w:r>
        <w:rPr>
          <w:rFonts w:hint="eastAsia" w:ascii="仿宋" w:hAnsi="仿宋" w:eastAsia="仿宋" w:cs="仿宋"/>
          <w:color w:val="auto"/>
          <w:lang w:eastAsia="zh-CN"/>
        </w:rPr>
        <w:t>）本项目采用电子化投标及远程不见面开标方式，相关操作流程详见全国公共资源交易平台（陕西省）网站（服务指南</w:t>
      </w:r>
      <w:r>
        <w:rPr>
          <w:rFonts w:hint="eastAsia" w:ascii="仿宋" w:hAnsi="仿宋" w:eastAsia="仿宋" w:cs="仿宋"/>
          <w:color w:val="auto"/>
        </w:rPr>
        <w:t>-</w:t>
      </w:r>
      <w:r>
        <w:rPr>
          <w:rFonts w:hint="eastAsia" w:ascii="仿宋" w:hAnsi="仿宋" w:eastAsia="仿宋" w:cs="仿宋"/>
          <w:color w:val="auto"/>
          <w:lang w:eastAsia="zh-CN"/>
        </w:rPr>
        <w:t>下载专区）中的《陕西省公共资源交易中心政府采购项目投标指南》，电子招标文件技术支持：</w:t>
      </w:r>
      <w:r>
        <w:rPr>
          <w:rFonts w:hint="eastAsia" w:ascii="仿宋" w:hAnsi="仿宋" w:eastAsia="仿宋" w:cs="仿宋"/>
          <w:color w:val="auto"/>
        </w:rPr>
        <w:t>4009280095/4009980000</w:t>
      </w:r>
      <w:r>
        <w:rPr>
          <w:rFonts w:hint="eastAsia" w:ascii="仿宋" w:hAnsi="仿宋" w:eastAsia="仿宋" w:cs="仿宋"/>
          <w:color w:val="auto"/>
          <w:lang w:eastAsia="zh-CN"/>
        </w:rPr>
        <w:t>。</w:t>
      </w:r>
    </w:p>
    <w:p w14:paraId="7177CD97">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四、响应文件递交</w:t>
      </w:r>
    </w:p>
    <w:p w14:paraId="335B632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截止时间：</w:t>
      </w: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lang w:val="en-US" w:eastAsia="zh-CN"/>
        </w:rPr>
        <w:t>10</w:t>
      </w:r>
      <w:r>
        <w:rPr>
          <w:rFonts w:hint="eastAsia" w:ascii="仿宋" w:hAnsi="仿宋" w:eastAsia="仿宋" w:cs="仿宋"/>
          <w:color w:val="auto"/>
          <w:lang w:eastAsia="zh-CN"/>
        </w:rPr>
        <w:t>月</w:t>
      </w:r>
      <w:r>
        <w:rPr>
          <w:rFonts w:hint="eastAsia" w:ascii="仿宋" w:hAnsi="仿宋" w:eastAsia="仿宋" w:cs="仿宋"/>
          <w:color w:val="auto"/>
          <w:lang w:val="en-US" w:eastAsia="zh-CN"/>
        </w:rPr>
        <w:t xml:space="preserve"> 19 </w:t>
      </w:r>
      <w:r>
        <w:rPr>
          <w:rFonts w:hint="eastAsia" w:ascii="仿宋" w:hAnsi="仿宋" w:eastAsia="仿宋" w:cs="仿宋"/>
          <w:color w:val="auto"/>
          <w:lang w:eastAsia="zh-CN"/>
        </w:rPr>
        <w:t>日</w:t>
      </w:r>
      <w:r>
        <w:rPr>
          <w:rFonts w:hint="eastAsia" w:ascii="仿宋" w:hAnsi="仿宋" w:eastAsia="仿宋" w:cs="仿宋"/>
          <w:color w:val="auto"/>
        </w:rPr>
        <w:t xml:space="preserve"> </w:t>
      </w:r>
      <w:r>
        <w:rPr>
          <w:rFonts w:hint="eastAsia" w:ascii="仿宋" w:hAnsi="仿宋" w:eastAsia="仿宋" w:cs="仿宋"/>
          <w:color w:val="auto"/>
          <w:lang w:val="en-US" w:eastAsia="zh-CN"/>
        </w:rPr>
        <w:t>11</w:t>
      </w:r>
      <w:r>
        <w:rPr>
          <w:rFonts w:hint="eastAsia" w:ascii="仿宋" w:hAnsi="仿宋" w:eastAsia="仿宋" w:cs="仿宋"/>
          <w:color w:val="auto"/>
        </w:rPr>
        <w:t>:00:00</w:t>
      </w:r>
    </w:p>
    <w:p w14:paraId="6E9B7D6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递交地点：安康市公共资源交易中心（采用电子化投标及远程不见面开标方式）</w:t>
      </w:r>
    </w:p>
    <w:p w14:paraId="450377B3">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五、公告期限</w:t>
      </w:r>
    </w:p>
    <w:p w14:paraId="6881D3D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自本公告发布之日起</w:t>
      </w:r>
      <w:r>
        <w:rPr>
          <w:rFonts w:hint="eastAsia" w:ascii="仿宋" w:hAnsi="仿宋" w:eastAsia="仿宋" w:cs="仿宋"/>
          <w:color w:val="auto"/>
        </w:rPr>
        <w:t>5</w:t>
      </w:r>
      <w:r>
        <w:rPr>
          <w:rFonts w:hint="eastAsia" w:ascii="仿宋" w:hAnsi="仿宋" w:eastAsia="仿宋" w:cs="仿宋"/>
          <w:color w:val="auto"/>
          <w:lang w:eastAsia="zh-CN"/>
        </w:rPr>
        <w:t>个工作日</w:t>
      </w:r>
    </w:p>
    <w:p w14:paraId="04CF4A1F">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六、其他补充事宜</w:t>
      </w:r>
    </w:p>
    <w:p w14:paraId="556F444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本次开标采用</w:t>
      </w:r>
      <w:r>
        <w:rPr>
          <w:rFonts w:hint="eastAsia" w:ascii="仿宋" w:hAnsi="仿宋" w:eastAsia="仿宋" w:cs="仿宋"/>
          <w:color w:val="auto"/>
        </w:rPr>
        <w:t>"</w:t>
      </w:r>
      <w:r>
        <w:rPr>
          <w:rFonts w:hint="eastAsia" w:ascii="仿宋" w:hAnsi="仿宋" w:eastAsia="仿宋" w:cs="仿宋"/>
          <w:color w:val="auto"/>
          <w:lang w:eastAsia="zh-CN"/>
        </w:rPr>
        <w:t>不见面开标</w:t>
      </w:r>
      <w:r>
        <w:rPr>
          <w:rFonts w:hint="eastAsia" w:ascii="仿宋" w:hAnsi="仿宋" w:eastAsia="仿宋" w:cs="仿宋"/>
          <w:color w:val="auto"/>
        </w:rPr>
        <w:t>"</w:t>
      </w:r>
      <w:r>
        <w:rPr>
          <w:rFonts w:hint="eastAsia" w:ascii="仿宋" w:hAnsi="仿宋" w:eastAsia="仿宋" w:cs="仿宋"/>
          <w:color w:val="auto"/>
          <w:lang w:eastAsia="zh-CN"/>
        </w:rPr>
        <w:t>方式（本项目为线上不见面开标，请于递交截止时间前进入全国公共资源交易平台（陕西省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安康市）不见面开标大厅进行开标）（</w:t>
      </w:r>
      <w:r>
        <w:rPr>
          <w:rFonts w:hint="eastAsia" w:ascii="仿宋" w:hAnsi="仿宋" w:eastAsia="仿宋" w:cs="仿宋"/>
          <w:color w:val="auto"/>
        </w:rPr>
        <w:t>http://219.145.206.209/BidOpeningHall/bidopeninghallaction/hall/login</w:t>
      </w:r>
      <w:r>
        <w:rPr>
          <w:rFonts w:hint="eastAsia" w:ascii="仿宋" w:hAnsi="仿宋" w:eastAsia="仿宋" w:cs="仿宋"/>
          <w:color w:val="auto"/>
          <w:lang w:eastAsia="zh-CN"/>
        </w:rPr>
        <w:t>）。</w:t>
      </w:r>
    </w:p>
    <w:p w14:paraId="68A459ED">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七、对本次采购提出询问，请按以下方式联系</w:t>
      </w:r>
    </w:p>
    <w:p w14:paraId="2686DD3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一</w:t>
      </w:r>
      <w:r>
        <w:rPr>
          <w:rFonts w:hint="eastAsia" w:ascii="仿宋" w:hAnsi="仿宋" w:eastAsia="仿宋" w:cs="仿宋"/>
          <w:color w:val="auto"/>
          <w:lang w:eastAsia="zh-CN"/>
        </w:rPr>
        <w:t>）采购人信息：安康市住房和城乡建设局</w:t>
      </w:r>
    </w:p>
    <w:p w14:paraId="14CF4DB4">
      <w:pPr>
        <w:pageBreakBefore w:val="0"/>
        <w:widowControl/>
        <w:kinsoku/>
        <w:wordWrap/>
        <w:overflowPunct/>
        <w:topLinePunct w:val="0"/>
        <w:autoSpaceDE/>
        <w:autoSpaceDN/>
        <w:bidi w:val="0"/>
        <w:adjustRightInd/>
        <w:snapToGrid/>
        <w:spacing w:after="0" w:line="360" w:lineRule="auto"/>
        <w:ind w:firstLine="960" w:firstLineChars="400"/>
        <w:textAlignment w:val="auto"/>
        <w:rPr>
          <w:rFonts w:hint="eastAsia" w:ascii="仿宋" w:hAnsi="仿宋" w:eastAsia="仿宋" w:cs="仿宋"/>
          <w:color w:val="auto"/>
          <w:lang w:eastAsia="zh-CN"/>
        </w:rPr>
      </w:pPr>
      <w:r>
        <w:rPr>
          <w:rFonts w:hint="eastAsia" w:ascii="仿宋" w:hAnsi="仿宋" w:eastAsia="仿宋" w:cs="仿宋"/>
          <w:color w:val="auto"/>
          <w:lang w:eastAsia="zh-CN"/>
        </w:rPr>
        <w:t>地址：安康市滨江大道</w:t>
      </w:r>
    </w:p>
    <w:p w14:paraId="315D00B0">
      <w:pPr>
        <w:pageBreakBefore w:val="0"/>
        <w:widowControl/>
        <w:kinsoku/>
        <w:wordWrap/>
        <w:overflowPunct/>
        <w:topLinePunct w:val="0"/>
        <w:autoSpaceDE/>
        <w:autoSpaceDN/>
        <w:bidi w:val="0"/>
        <w:adjustRightInd/>
        <w:snapToGrid/>
        <w:spacing w:after="0" w:line="360" w:lineRule="auto"/>
        <w:ind w:firstLine="960" w:firstLineChars="400"/>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联系人：柯旭</w:t>
      </w:r>
    </w:p>
    <w:p w14:paraId="23664423">
      <w:pPr>
        <w:pageBreakBefore w:val="0"/>
        <w:widowControl/>
        <w:kinsoku/>
        <w:wordWrap/>
        <w:overflowPunct/>
        <w:topLinePunct w:val="0"/>
        <w:autoSpaceDE/>
        <w:autoSpaceDN/>
        <w:bidi w:val="0"/>
        <w:adjustRightInd/>
        <w:snapToGrid/>
        <w:spacing w:after="0" w:line="360" w:lineRule="auto"/>
        <w:ind w:firstLine="960" w:firstLineChars="400"/>
        <w:textAlignment w:val="auto"/>
        <w:rPr>
          <w:rFonts w:hint="eastAsia" w:ascii="仿宋" w:hAnsi="仿宋" w:eastAsia="仿宋" w:cs="仿宋"/>
          <w:color w:val="auto"/>
        </w:rPr>
      </w:pPr>
      <w:r>
        <w:rPr>
          <w:rFonts w:hint="eastAsia" w:ascii="仿宋" w:hAnsi="仿宋" w:eastAsia="仿宋" w:cs="仿宋"/>
          <w:color w:val="auto"/>
          <w:lang w:eastAsia="zh-CN"/>
        </w:rPr>
        <w:t>联系方式：</w:t>
      </w:r>
      <w:r>
        <w:rPr>
          <w:rFonts w:hint="eastAsia" w:ascii="仿宋" w:hAnsi="仿宋" w:eastAsia="仿宋" w:cs="仿宋"/>
          <w:color w:val="auto"/>
        </w:rPr>
        <w:t>0915-3230552</w:t>
      </w:r>
    </w:p>
    <w:p w14:paraId="754A61C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lang w:val="en-US" w:eastAsia="zh-CN"/>
        </w:rPr>
        <w:t>二</w:t>
      </w:r>
      <w:r>
        <w:rPr>
          <w:rFonts w:hint="eastAsia" w:ascii="仿宋" w:hAnsi="仿宋" w:eastAsia="仿宋" w:cs="仿宋"/>
          <w:color w:val="auto"/>
          <w:lang w:eastAsia="zh-CN"/>
        </w:rPr>
        <w:t>）采购代理机构信息：</w:t>
      </w:r>
    </w:p>
    <w:p w14:paraId="3387A338">
      <w:pPr>
        <w:pageBreakBefore w:val="0"/>
        <w:widowControl/>
        <w:kinsoku/>
        <w:wordWrap/>
        <w:overflowPunct/>
        <w:topLinePunct w:val="0"/>
        <w:autoSpaceDE/>
        <w:autoSpaceDN/>
        <w:bidi w:val="0"/>
        <w:adjustRightInd/>
        <w:snapToGrid/>
        <w:spacing w:after="0" w:line="360" w:lineRule="auto"/>
        <w:ind w:firstLine="720" w:firstLineChars="300"/>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机构</w:t>
      </w:r>
      <w:r>
        <w:rPr>
          <w:rFonts w:hint="eastAsia" w:ascii="仿宋" w:hAnsi="仿宋" w:eastAsia="仿宋" w:cs="仿宋"/>
          <w:color w:val="auto"/>
          <w:lang w:eastAsia="zh-CN"/>
        </w:rPr>
        <w:t>名称：陕西中源项目管理有限公司</w:t>
      </w:r>
    </w:p>
    <w:p w14:paraId="3A4E113C">
      <w:pPr>
        <w:pageBreakBefore w:val="0"/>
        <w:widowControl/>
        <w:kinsoku/>
        <w:wordWrap/>
        <w:overflowPunct/>
        <w:topLinePunct w:val="0"/>
        <w:autoSpaceDE/>
        <w:autoSpaceDN/>
        <w:bidi w:val="0"/>
        <w:adjustRightInd/>
        <w:snapToGrid/>
        <w:spacing w:after="0" w:line="360" w:lineRule="auto"/>
        <w:ind w:firstLine="720" w:firstLineChars="300"/>
        <w:textAlignment w:val="auto"/>
        <w:rPr>
          <w:rFonts w:hint="eastAsia" w:ascii="仿宋" w:hAnsi="仿宋" w:eastAsia="仿宋" w:cs="仿宋"/>
          <w:color w:val="auto"/>
          <w:lang w:eastAsia="zh-CN"/>
        </w:rPr>
      </w:pPr>
      <w:r>
        <w:rPr>
          <w:rFonts w:hint="eastAsia" w:ascii="仿宋" w:hAnsi="仿宋" w:eastAsia="仿宋" w:cs="仿宋"/>
          <w:color w:val="auto"/>
          <w:lang w:eastAsia="zh-CN"/>
        </w:rPr>
        <w:t>联系地址：安康市汉滨区木竹桥安置点一栋三楼</w:t>
      </w:r>
    </w:p>
    <w:p w14:paraId="5C4FFA42">
      <w:pPr>
        <w:pageBreakBefore w:val="0"/>
        <w:widowControl/>
        <w:kinsoku/>
        <w:wordWrap/>
        <w:overflowPunct/>
        <w:topLinePunct w:val="0"/>
        <w:autoSpaceDE/>
        <w:autoSpaceDN/>
        <w:bidi w:val="0"/>
        <w:adjustRightInd/>
        <w:snapToGrid/>
        <w:spacing w:after="0" w:line="360" w:lineRule="auto"/>
        <w:ind w:firstLine="720" w:firstLineChars="300"/>
        <w:textAlignment w:val="auto"/>
        <w:rPr>
          <w:rFonts w:hint="eastAsia" w:ascii="仿宋" w:hAnsi="仿宋" w:eastAsia="仿宋" w:cs="仿宋"/>
          <w:color w:val="auto"/>
          <w:lang w:eastAsia="zh-CN"/>
        </w:rPr>
      </w:pPr>
      <w:r>
        <w:rPr>
          <w:rFonts w:hint="eastAsia" w:ascii="仿宋" w:hAnsi="仿宋" w:eastAsia="仿宋" w:cs="仿宋"/>
          <w:color w:val="auto"/>
          <w:lang w:eastAsia="zh-CN"/>
        </w:rPr>
        <w:t>联系人：徐金金</w:t>
      </w:r>
    </w:p>
    <w:p w14:paraId="700015E5">
      <w:pPr>
        <w:pageBreakBefore w:val="0"/>
        <w:widowControl/>
        <w:kinsoku/>
        <w:wordWrap/>
        <w:overflowPunct/>
        <w:topLinePunct w:val="0"/>
        <w:autoSpaceDE/>
        <w:autoSpaceDN/>
        <w:bidi w:val="0"/>
        <w:adjustRightInd/>
        <w:snapToGrid/>
        <w:spacing w:after="0" w:line="360" w:lineRule="auto"/>
        <w:ind w:firstLine="720" w:firstLineChars="300"/>
        <w:textAlignment w:val="auto"/>
        <w:rPr>
          <w:rFonts w:hint="eastAsia" w:ascii="仿宋" w:hAnsi="仿宋" w:eastAsia="仿宋" w:cs="仿宋"/>
          <w:color w:val="auto"/>
        </w:rPr>
      </w:pPr>
      <w:r>
        <w:rPr>
          <w:rFonts w:hint="eastAsia" w:ascii="仿宋" w:hAnsi="仿宋" w:eastAsia="仿宋" w:cs="仿宋"/>
          <w:color w:val="auto"/>
          <w:lang w:eastAsia="zh-CN"/>
        </w:rPr>
        <w:t>电话：</w:t>
      </w:r>
      <w:r>
        <w:rPr>
          <w:rFonts w:hint="eastAsia" w:ascii="仿宋" w:hAnsi="仿宋" w:eastAsia="仿宋" w:cs="仿宋"/>
          <w:color w:val="auto"/>
        </w:rPr>
        <w:t>16609151911</w:t>
      </w:r>
    </w:p>
    <w:p w14:paraId="66715496">
      <w:pPr>
        <w:pageBreakBefore w:val="0"/>
        <w:widowControl/>
        <w:kinsoku/>
        <w:wordWrap/>
        <w:overflowPunct/>
        <w:topLinePunct w:val="0"/>
        <w:autoSpaceDE/>
        <w:autoSpaceDN/>
        <w:bidi w:val="0"/>
        <w:adjustRightInd/>
        <w:snapToGrid/>
        <w:spacing w:after="0" w:line="360" w:lineRule="auto"/>
        <w:ind w:firstLine="720" w:firstLineChars="300"/>
        <w:textAlignment w:val="auto"/>
        <w:rPr>
          <w:rFonts w:hint="eastAsia" w:ascii="仿宋" w:hAnsi="仿宋" w:eastAsia="仿宋" w:cs="仿宋"/>
          <w:color w:val="auto"/>
        </w:rPr>
      </w:pPr>
    </w:p>
    <w:p w14:paraId="726F4024">
      <w:pPr>
        <w:pageBreakBefore w:val="0"/>
        <w:widowControl/>
        <w:kinsoku/>
        <w:wordWrap/>
        <w:overflowPunct/>
        <w:topLinePunct w:val="0"/>
        <w:autoSpaceDE/>
        <w:autoSpaceDN/>
        <w:bidi w:val="0"/>
        <w:adjustRightInd/>
        <w:snapToGrid/>
        <w:spacing w:after="0" w:line="360" w:lineRule="auto"/>
        <w:ind w:firstLine="480" w:firstLineChars="200"/>
        <w:jc w:val="right"/>
        <w:textAlignment w:val="auto"/>
        <w:rPr>
          <w:rFonts w:hint="eastAsia" w:ascii="仿宋" w:hAnsi="仿宋" w:eastAsia="仿宋" w:cs="仿宋"/>
          <w:color w:val="auto"/>
        </w:rPr>
      </w:pPr>
      <w:r>
        <w:rPr>
          <w:rFonts w:hint="eastAsia" w:ascii="仿宋" w:hAnsi="仿宋" w:eastAsia="仿宋" w:cs="仿宋"/>
          <w:color w:val="auto"/>
          <w:lang w:eastAsia="zh-CN"/>
        </w:rPr>
        <w:t>陕西中源项目管理有限公司</w:t>
      </w:r>
    </w:p>
    <w:p w14:paraId="0578EDF3">
      <w:pPr>
        <w:pageBreakBefore w:val="0"/>
        <w:widowControl/>
        <w:kinsoku/>
        <w:wordWrap/>
        <w:overflowPunct/>
        <w:topLinePunct w:val="0"/>
        <w:autoSpaceDE/>
        <w:autoSpaceDN/>
        <w:bidi w:val="0"/>
        <w:adjustRightInd/>
        <w:snapToGrid/>
        <w:spacing w:after="0" w:line="360" w:lineRule="auto"/>
        <w:ind w:firstLine="480" w:firstLineChars="200"/>
        <w:jc w:val="right"/>
        <w:textAlignment w:val="auto"/>
        <w:rPr>
          <w:rFonts w:hint="eastAsia" w:ascii="仿宋" w:hAnsi="仿宋" w:eastAsia="仿宋" w:cs="仿宋"/>
          <w:color w:val="auto"/>
        </w:rPr>
      </w:pP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rPr>
        <w:t>9</w:t>
      </w:r>
      <w:r>
        <w:rPr>
          <w:rFonts w:hint="eastAsia" w:ascii="仿宋" w:hAnsi="仿宋" w:eastAsia="仿宋" w:cs="仿宋"/>
          <w:color w:val="auto"/>
          <w:lang w:eastAsia="zh-CN"/>
        </w:rPr>
        <w:t>月</w:t>
      </w:r>
      <w:r>
        <w:rPr>
          <w:rFonts w:hint="eastAsia" w:ascii="仿宋" w:hAnsi="仿宋" w:eastAsia="仿宋" w:cs="仿宋"/>
          <w:color w:val="auto"/>
          <w:lang w:val="en-US" w:eastAsia="zh-CN"/>
        </w:rPr>
        <w:t>21</w:t>
      </w:r>
      <w:r>
        <w:rPr>
          <w:rFonts w:hint="eastAsia" w:ascii="仿宋" w:hAnsi="仿宋" w:eastAsia="仿宋" w:cs="仿宋"/>
          <w:color w:val="auto"/>
          <w:lang w:eastAsia="zh-CN"/>
        </w:rPr>
        <w:t>日</w:t>
      </w:r>
    </w:p>
    <w:p w14:paraId="1D9D1E76">
      <w:pPr>
        <w:rPr>
          <w:rFonts w:hint="eastAsia" w:ascii="仿宋" w:hAnsi="仿宋" w:eastAsia="仿宋" w:cs="仿宋"/>
          <w:color w:val="auto"/>
        </w:rPr>
        <w:sectPr>
          <w:footerReference r:id="rId5" w:type="default"/>
          <w:pgSz w:w="11906" w:h="16838"/>
          <w:pgMar w:top="1440" w:right="1797" w:bottom="1440" w:left="1797" w:header="720" w:footer="720" w:gutter="0"/>
          <w:pgNumType w:fmt="decimal"/>
          <w:cols w:space="720" w:num="1"/>
        </w:sectPr>
      </w:pPr>
    </w:p>
    <w:p w14:paraId="28BE341B">
      <w:pPr>
        <w:pStyle w:val="7"/>
        <w:jc w:val="center"/>
        <w:rPr>
          <w:rFonts w:hint="eastAsia" w:ascii="仿宋" w:hAnsi="仿宋" w:eastAsia="仿宋" w:cs="仿宋"/>
          <w:color w:val="auto"/>
        </w:rPr>
      </w:pPr>
      <w:r>
        <w:rPr>
          <w:rFonts w:hint="eastAsia" w:ascii="仿宋" w:hAnsi="仿宋" w:eastAsia="仿宋" w:cs="仿宋"/>
          <w:color w:val="auto"/>
          <w:sz w:val="32"/>
          <w:lang w:eastAsia="zh-CN"/>
        </w:rPr>
        <w:t>第二章</w:t>
      </w: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lang w:eastAsia="zh-CN"/>
        </w:rPr>
        <w:t>磋商须知</w:t>
      </w:r>
    </w:p>
    <w:p w14:paraId="15AB6A00">
      <w:pPr>
        <w:pStyle w:val="8"/>
        <w:rPr>
          <w:rFonts w:hint="eastAsia" w:ascii="仿宋" w:hAnsi="仿宋" w:eastAsia="仿宋" w:cs="仿宋"/>
          <w:color w:val="auto"/>
        </w:rPr>
      </w:pPr>
      <w:r>
        <w:rPr>
          <w:rFonts w:hint="eastAsia" w:ascii="仿宋" w:hAnsi="仿宋" w:eastAsia="仿宋" w:cs="仿宋"/>
          <w:color w:val="auto"/>
          <w:sz w:val="28"/>
          <w:lang w:eastAsia="zh-CN"/>
        </w:rPr>
        <w:t>一、前附表</w:t>
      </w:r>
    </w:p>
    <w:tbl>
      <w:tblPr>
        <w:tblStyle w:val="36"/>
        <w:tblW w:w="8528" w:type="dxa"/>
        <w:jc w:val="center"/>
        <w:tblLayout w:type="autofit"/>
        <w:tblCellMar>
          <w:top w:w="0" w:type="dxa"/>
          <w:left w:w="108" w:type="dxa"/>
          <w:bottom w:w="0" w:type="dxa"/>
          <w:right w:w="108" w:type="dxa"/>
        </w:tblCellMar>
      </w:tblPr>
      <w:tblGrid>
        <w:gridCol w:w="899"/>
        <w:gridCol w:w="1859"/>
        <w:gridCol w:w="5770"/>
      </w:tblGrid>
      <w:tr w14:paraId="2FB0354F">
        <w:tblPrEx>
          <w:tblCellMar>
            <w:top w:w="0" w:type="dxa"/>
            <w:left w:w="108" w:type="dxa"/>
            <w:bottom w:w="0" w:type="dxa"/>
            <w:right w:w="108" w:type="dxa"/>
          </w:tblCellMar>
        </w:tblPrEx>
        <w:trPr>
          <w:trHeight w:val="0" w:hRule="atLeast"/>
          <w:tblHeader/>
          <w:jc w:val="center"/>
        </w:trPr>
        <w:tc>
          <w:tcPr>
            <w:tcW w:w="899" w:type="dxa"/>
            <w:tcBorders>
              <w:top w:val="single" w:color="000000" w:sz="12" w:space="0"/>
              <w:left w:val="single" w:color="000000" w:sz="12" w:space="0"/>
              <w:bottom w:val="nil"/>
              <w:right w:val="nil"/>
            </w:tcBorders>
            <w:shd w:val="clear" w:color="auto" w:fill="F0F0F0"/>
            <w:noWrap w:val="0"/>
            <w:tcMar>
              <w:top w:w="80" w:type="dxa"/>
              <w:left w:w="100" w:type="dxa"/>
              <w:bottom w:w="80" w:type="dxa"/>
              <w:right w:w="100" w:type="dxa"/>
            </w:tcMar>
            <w:vAlign w:val="center"/>
          </w:tcPr>
          <w:p w14:paraId="537E986C">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序号</w:t>
            </w:r>
          </w:p>
        </w:tc>
        <w:tc>
          <w:tcPr>
            <w:tcW w:w="1859" w:type="dxa"/>
            <w:tcBorders>
              <w:top w:val="single" w:color="000000" w:sz="12"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1A37EB2E">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内容</w:t>
            </w:r>
          </w:p>
        </w:tc>
        <w:tc>
          <w:tcPr>
            <w:tcW w:w="5770" w:type="dxa"/>
            <w:tcBorders>
              <w:top w:val="single" w:color="000000" w:sz="12" w:space="0"/>
              <w:left w:val="single" w:color="000000" w:sz="4" w:space="0"/>
              <w:bottom w:val="nil"/>
              <w:right w:val="single" w:color="000000" w:sz="12" w:space="0"/>
            </w:tcBorders>
            <w:shd w:val="clear" w:color="auto" w:fill="F0F0F0"/>
            <w:noWrap w:val="0"/>
            <w:tcMar>
              <w:top w:w="80" w:type="dxa"/>
              <w:left w:w="100" w:type="dxa"/>
              <w:bottom w:w="80" w:type="dxa"/>
              <w:right w:w="100" w:type="dxa"/>
            </w:tcMar>
            <w:vAlign w:val="center"/>
          </w:tcPr>
          <w:p w14:paraId="1A726EDF">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编列内容</w:t>
            </w:r>
          </w:p>
        </w:tc>
      </w:tr>
      <w:tr w14:paraId="6860F962">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173C9E7F">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2C9ED7B5">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采购人</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7E683F25">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安康市住房和城乡建设局</w:t>
            </w:r>
          </w:p>
        </w:tc>
      </w:tr>
      <w:tr w14:paraId="321A02AB">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6FAE8C61">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2</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59C0327">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采购代理机构</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046E2F9B">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陕西中源项目管理有限公司</w:t>
            </w:r>
          </w:p>
        </w:tc>
      </w:tr>
      <w:tr w14:paraId="0BB0D724">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35462BF0">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3</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0BA61C2">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项目名称</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2A7BE5BB">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安康中心城区易涝点整治工程（四期）监理服务项目</w:t>
            </w:r>
          </w:p>
        </w:tc>
      </w:tr>
      <w:tr w14:paraId="002FE02F">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403177F2">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4</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61A4132">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采购需求</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2AFEC0AD">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工程监理服务</w:t>
            </w:r>
          </w:p>
        </w:tc>
      </w:tr>
      <w:tr w14:paraId="57C93EDE">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3192F2BE">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5</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2D10622F">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采购预算金额</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34ECC629">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400000.00元</w:t>
            </w:r>
          </w:p>
        </w:tc>
      </w:tr>
      <w:tr w14:paraId="14494850">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24FCDC5A">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6</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3B93D68">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最高限价</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21906BC">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400000.00元；供应商报价以费率报价，费率上限为</w:t>
            </w:r>
            <w:r>
              <w:rPr>
                <w:rFonts w:hint="eastAsia" w:ascii="仿宋" w:hAnsi="仿宋" w:eastAsia="仿宋" w:cs="仿宋"/>
                <w:color w:val="auto"/>
                <w:lang w:val="en-US" w:eastAsia="zh-CN"/>
              </w:rPr>
              <w:t>2</w:t>
            </w:r>
            <w:r>
              <w:rPr>
                <w:rFonts w:hint="eastAsia" w:ascii="仿宋" w:hAnsi="仿宋" w:eastAsia="仿宋" w:cs="仿宋"/>
                <w:color w:val="auto"/>
              </w:rPr>
              <w:t>%，根据工程估算价得出报价金额，最终结算费用按工程结算价×报价费率计算</w:t>
            </w:r>
          </w:p>
        </w:tc>
      </w:tr>
      <w:tr w14:paraId="6237BFF4">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5B0D44B1">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7</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50BCD3A">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资金来源</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53E13118">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财政资金（超长期国债资金重点保障民生项目）</w:t>
            </w:r>
          </w:p>
        </w:tc>
      </w:tr>
      <w:tr w14:paraId="4DB6B19B">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6BD6E754">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8</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3B4D3E5">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采购组织形式</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23810355">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部门集中采购，委托第三方招标代理公司实施</w:t>
            </w:r>
          </w:p>
        </w:tc>
      </w:tr>
      <w:tr w14:paraId="0FBE923D">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6C3ABCB9">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9</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E3DD260">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磋商响应文件有效期</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27C9EC8">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自磋商之日起90个日历日</w:t>
            </w:r>
          </w:p>
        </w:tc>
      </w:tr>
      <w:tr w14:paraId="736BE678">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62FB3493">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10</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9FC65F4">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磋商保证金</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67B3BC17">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本项目无需缴纳磋商保证金</w:t>
            </w:r>
          </w:p>
        </w:tc>
      </w:tr>
      <w:tr w14:paraId="54271FDA">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24D778CB">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11</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C43A972">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磋商响应文件份数</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FBD2F07">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电子投标文件（*.SXSTF）1份</w:t>
            </w:r>
          </w:p>
        </w:tc>
      </w:tr>
      <w:tr w14:paraId="5F812F31">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155330A8">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12</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B4D14AB">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磋商时间</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5FFA3BD7">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2026年</w:t>
            </w:r>
            <w:r>
              <w:rPr>
                <w:rFonts w:hint="eastAsia" w:ascii="仿宋" w:hAnsi="仿宋" w:eastAsia="仿宋" w:cs="仿宋"/>
                <w:color w:val="auto"/>
                <w:lang w:val="en-US" w:eastAsia="zh-CN"/>
              </w:rPr>
              <w:t>10</w:t>
            </w:r>
            <w:r>
              <w:rPr>
                <w:rFonts w:hint="eastAsia" w:ascii="仿宋" w:hAnsi="仿宋" w:eastAsia="仿宋" w:cs="仿宋"/>
                <w:color w:val="auto"/>
              </w:rPr>
              <w:t>月</w:t>
            </w:r>
            <w:r>
              <w:rPr>
                <w:rFonts w:hint="eastAsia" w:ascii="仿宋" w:hAnsi="仿宋" w:eastAsia="仿宋" w:cs="仿宋"/>
                <w:color w:val="auto"/>
                <w:lang w:val="en-US" w:eastAsia="zh-CN"/>
              </w:rPr>
              <w:t>19</w:t>
            </w:r>
            <w:r>
              <w:rPr>
                <w:rFonts w:hint="eastAsia" w:ascii="仿宋" w:hAnsi="仿宋" w:eastAsia="仿宋" w:cs="仿宋"/>
                <w:color w:val="auto"/>
              </w:rPr>
              <w:t>_日</w:t>
            </w:r>
            <w:r>
              <w:rPr>
                <w:rFonts w:hint="eastAsia" w:ascii="仿宋" w:hAnsi="仿宋" w:eastAsia="仿宋" w:cs="仿宋"/>
                <w:color w:val="auto"/>
                <w:lang w:val="en-US" w:eastAsia="zh-CN"/>
              </w:rPr>
              <w:t>11</w:t>
            </w:r>
            <w:r>
              <w:rPr>
                <w:rFonts w:hint="eastAsia" w:ascii="仿宋" w:hAnsi="仿宋" w:eastAsia="仿宋" w:cs="仿宋"/>
                <w:color w:val="auto"/>
              </w:rPr>
              <w:t>:00:00（北京时间）</w:t>
            </w:r>
          </w:p>
        </w:tc>
      </w:tr>
      <w:tr w14:paraId="54A60CAD">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0539BD52">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13</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44590A4">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磋商地点</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24C1FA0">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采用电子化投标及远程不见面开标方式</w:t>
            </w:r>
          </w:p>
        </w:tc>
      </w:tr>
      <w:tr w14:paraId="7B174D3C">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1EED432E">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14</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4FF0261D">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磋商文件递交截止期</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7A2095F">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本项目采用电子投标，响应文件（扩展名".SXSTF"）于开标截止时间前任意时间段登录"全国公共资源交易平台（陕西省·安康市）"网站进行提交，逾期系统将拒绝接收</w:t>
            </w:r>
          </w:p>
        </w:tc>
      </w:tr>
      <w:tr w14:paraId="0D718CE3">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7590F482">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15</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C77A6DA">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成交人签署合同期限</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0FD0E13A">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收到成交通知书后7日内</w:t>
            </w:r>
          </w:p>
        </w:tc>
      </w:tr>
      <w:tr w14:paraId="3796B99A">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1D9B8EFD">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16</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8DA0D5D">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服务期</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492EF0D2">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自工程开工之日起至竣工验收合格之日</w:t>
            </w:r>
          </w:p>
        </w:tc>
      </w:tr>
      <w:tr w14:paraId="231F3E32">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175CA728">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17</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9A7258A">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分包要求</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74985651">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本项目不得分包</w:t>
            </w:r>
          </w:p>
        </w:tc>
      </w:tr>
      <w:tr w14:paraId="5F4EEA0B">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nil"/>
              <w:right w:val="nil"/>
            </w:tcBorders>
            <w:noWrap w:val="0"/>
            <w:tcMar>
              <w:top w:w="80" w:type="dxa"/>
              <w:left w:w="100" w:type="dxa"/>
              <w:bottom w:w="80" w:type="dxa"/>
              <w:right w:w="100" w:type="dxa"/>
            </w:tcMar>
            <w:vAlign w:val="center"/>
          </w:tcPr>
          <w:p w14:paraId="7968FDB0">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18</w:t>
            </w:r>
          </w:p>
        </w:tc>
        <w:tc>
          <w:tcPr>
            <w:tcW w:w="1859"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7983E2F">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评审办法</w:t>
            </w:r>
          </w:p>
        </w:tc>
        <w:tc>
          <w:tcPr>
            <w:tcW w:w="5770" w:type="dxa"/>
            <w:tcBorders>
              <w:top w:val="single" w:color="000000" w:sz="4" w:space="0"/>
              <w:left w:val="single" w:color="000000" w:sz="4" w:space="0"/>
              <w:bottom w:val="nil"/>
              <w:right w:val="single" w:color="000000" w:sz="12" w:space="0"/>
            </w:tcBorders>
            <w:noWrap w:val="0"/>
            <w:tcMar>
              <w:top w:w="80" w:type="dxa"/>
              <w:left w:w="100" w:type="dxa"/>
              <w:bottom w:w="80" w:type="dxa"/>
              <w:right w:w="100" w:type="dxa"/>
            </w:tcMar>
            <w:vAlign w:val="center"/>
          </w:tcPr>
          <w:p w14:paraId="754B8756">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综合评分法（详见本须知第六节）</w:t>
            </w:r>
          </w:p>
        </w:tc>
      </w:tr>
      <w:tr w14:paraId="0A1A3243">
        <w:tblPrEx>
          <w:tblCellMar>
            <w:top w:w="0" w:type="dxa"/>
            <w:left w:w="108" w:type="dxa"/>
            <w:bottom w:w="0" w:type="dxa"/>
            <w:right w:w="108" w:type="dxa"/>
          </w:tblCellMar>
        </w:tblPrEx>
        <w:trPr>
          <w:trHeight w:val="0" w:hRule="atLeast"/>
          <w:jc w:val="center"/>
        </w:trPr>
        <w:tc>
          <w:tcPr>
            <w:tcW w:w="899" w:type="dxa"/>
            <w:tcBorders>
              <w:top w:val="single" w:color="000000" w:sz="4" w:space="0"/>
              <w:left w:val="single" w:color="000000" w:sz="12" w:space="0"/>
              <w:bottom w:val="single" w:color="000000" w:sz="12" w:space="0"/>
              <w:right w:val="nil"/>
            </w:tcBorders>
            <w:noWrap w:val="0"/>
            <w:tcMar>
              <w:top w:w="80" w:type="dxa"/>
              <w:left w:w="100" w:type="dxa"/>
              <w:bottom w:w="80" w:type="dxa"/>
              <w:right w:w="100" w:type="dxa"/>
            </w:tcMar>
            <w:vAlign w:val="center"/>
          </w:tcPr>
          <w:p w14:paraId="6F2A1154">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19</w:t>
            </w:r>
          </w:p>
        </w:tc>
        <w:tc>
          <w:tcPr>
            <w:tcW w:w="1859" w:type="dxa"/>
            <w:tcBorders>
              <w:top w:val="single" w:color="000000" w:sz="4" w:space="0"/>
              <w:left w:val="single" w:color="000000" w:sz="4" w:space="0"/>
              <w:bottom w:val="single" w:color="000000" w:sz="12" w:space="0"/>
              <w:right w:val="nil"/>
            </w:tcBorders>
            <w:noWrap w:val="0"/>
            <w:tcMar>
              <w:top w:w="80" w:type="dxa"/>
              <w:left w:w="100" w:type="dxa"/>
              <w:bottom w:w="80" w:type="dxa"/>
              <w:right w:w="100" w:type="dxa"/>
            </w:tcMar>
            <w:vAlign w:val="center"/>
          </w:tcPr>
          <w:p w14:paraId="712ED9B8">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其他事项</w:t>
            </w:r>
          </w:p>
        </w:tc>
        <w:tc>
          <w:tcPr>
            <w:tcW w:w="5770" w:type="dxa"/>
            <w:tcBorders>
              <w:top w:val="single" w:color="000000" w:sz="4" w:space="0"/>
              <w:left w:val="single" w:color="000000" w:sz="4" w:space="0"/>
              <w:bottom w:val="single" w:color="000000" w:sz="12" w:space="0"/>
              <w:right w:val="single" w:color="000000" w:sz="12" w:space="0"/>
            </w:tcBorders>
            <w:noWrap w:val="0"/>
            <w:tcMar>
              <w:top w:w="80" w:type="dxa"/>
              <w:left w:w="100" w:type="dxa"/>
              <w:bottom w:w="80" w:type="dxa"/>
              <w:right w:w="100" w:type="dxa"/>
            </w:tcMar>
            <w:vAlign w:val="center"/>
          </w:tcPr>
          <w:p w14:paraId="493898E8">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本磋商文件依据《中华人民共和国政府采购法》等编写，磋商响应单位应自备上述资料，如有未尽事项以上述资料为准</w:t>
            </w:r>
          </w:p>
        </w:tc>
      </w:tr>
    </w:tbl>
    <w:p w14:paraId="2C9AEE56">
      <w:pPr>
        <w:pStyle w:val="8"/>
        <w:rPr>
          <w:rFonts w:hint="eastAsia" w:ascii="仿宋" w:hAnsi="仿宋" w:eastAsia="仿宋" w:cs="仿宋"/>
          <w:color w:val="auto"/>
        </w:rPr>
      </w:pPr>
      <w:r>
        <w:rPr>
          <w:rFonts w:hint="eastAsia" w:ascii="仿宋" w:hAnsi="仿宋" w:eastAsia="仿宋" w:cs="仿宋"/>
          <w:color w:val="auto"/>
          <w:sz w:val="28"/>
          <w:lang w:eastAsia="zh-CN"/>
        </w:rPr>
        <w:t>二、总则</w:t>
      </w:r>
    </w:p>
    <w:p w14:paraId="4F7F96F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本次采购依据《中华人民共和国政府采购法》《中华人民共和国政府采购法实施条例》《政府采购竞争性磋商采购方式管理暂行办法》（财库〔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214</w:t>
      </w:r>
      <w:r>
        <w:rPr>
          <w:rFonts w:hint="eastAsia" w:ascii="仿宋" w:hAnsi="仿宋" w:eastAsia="仿宋" w:cs="仿宋"/>
          <w:color w:val="auto"/>
          <w:lang w:eastAsia="zh-CN"/>
        </w:rPr>
        <w:t>号）及国家现行有关法律法规执行。</w:t>
      </w:r>
    </w:p>
    <w:p w14:paraId="6F0107D4">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1.采购人、采购代理机构、监督管理机构</w:t>
      </w:r>
    </w:p>
    <w:p w14:paraId="6151A86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1.</w:t>
      </w:r>
      <w:r>
        <w:rPr>
          <w:rFonts w:hint="eastAsia" w:ascii="仿宋" w:hAnsi="仿宋" w:eastAsia="仿宋" w:cs="仿宋"/>
          <w:color w:val="auto"/>
        </w:rPr>
        <w:t>1</w:t>
      </w:r>
      <w:r>
        <w:rPr>
          <w:rFonts w:hint="eastAsia" w:ascii="仿宋" w:hAnsi="仿宋" w:eastAsia="仿宋" w:cs="仿宋"/>
          <w:color w:val="auto"/>
          <w:lang w:eastAsia="zh-CN"/>
        </w:rPr>
        <w:t>采购单位：安康市住房和城乡建设局；</w:t>
      </w:r>
    </w:p>
    <w:p w14:paraId="2E18908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1.2</w:t>
      </w:r>
      <w:r>
        <w:rPr>
          <w:rFonts w:hint="eastAsia" w:ascii="仿宋" w:hAnsi="仿宋" w:eastAsia="仿宋" w:cs="仿宋"/>
          <w:color w:val="auto"/>
          <w:lang w:eastAsia="zh-CN"/>
        </w:rPr>
        <w:t>监督机构：安康市财政局；</w:t>
      </w:r>
    </w:p>
    <w:p w14:paraId="632AA32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1.</w:t>
      </w:r>
      <w:r>
        <w:rPr>
          <w:rFonts w:hint="eastAsia" w:ascii="仿宋" w:hAnsi="仿宋" w:eastAsia="仿宋" w:cs="仿宋"/>
          <w:color w:val="auto"/>
        </w:rPr>
        <w:t>3</w:t>
      </w:r>
      <w:r>
        <w:rPr>
          <w:rFonts w:hint="eastAsia" w:ascii="仿宋" w:hAnsi="仿宋" w:eastAsia="仿宋" w:cs="仿宋"/>
          <w:color w:val="auto"/>
          <w:lang w:eastAsia="zh-CN"/>
        </w:rPr>
        <w:t>采购代理机构：陕西中源项目管理有限公司；</w:t>
      </w:r>
    </w:p>
    <w:p w14:paraId="7604801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1.</w:t>
      </w:r>
      <w:r>
        <w:rPr>
          <w:rFonts w:hint="eastAsia" w:ascii="仿宋" w:hAnsi="仿宋" w:eastAsia="仿宋" w:cs="仿宋"/>
          <w:color w:val="auto"/>
        </w:rPr>
        <w:t>4</w:t>
      </w:r>
      <w:r>
        <w:rPr>
          <w:rFonts w:hint="eastAsia" w:ascii="仿宋" w:hAnsi="仿宋" w:eastAsia="仿宋" w:cs="仿宋"/>
          <w:color w:val="auto"/>
          <w:lang w:eastAsia="zh-CN"/>
        </w:rPr>
        <w:t>标书：磋商文件与响应文件的统称；</w:t>
      </w:r>
    </w:p>
    <w:p w14:paraId="33003A5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1.5</w:t>
      </w:r>
      <w:r>
        <w:rPr>
          <w:rFonts w:hint="eastAsia" w:ascii="仿宋" w:hAnsi="仿宋" w:eastAsia="仿宋" w:cs="仿宋"/>
          <w:color w:val="auto"/>
          <w:lang w:eastAsia="zh-CN"/>
        </w:rPr>
        <w:t>供应商：参加本次磋商活动的供应商。</w:t>
      </w:r>
    </w:p>
    <w:p w14:paraId="6D797B67">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2.合格的供应商、合格的服务</w:t>
      </w:r>
    </w:p>
    <w:p w14:paraId="0F2A6B6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w:t>
      </w:r>
      <w:r>
        <w:rPr>
          <w:rFonts w:hint="eastAsia" w:ascii="仿宋" w:hAnsi="仿宋" w:eastAsia="仿宋" w:cs="仿宋"/>
          <w:color w:val="auto"/>
          <w:lang w:eastAsia="zh-CN"/>
        </w:rPr>
        <w:t>合格的供应商</w:t>
      </w:r>
    </w:p>
    <w:p w14:paraId="6FD4882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2.1.1</w:t>
      </w:r>
      <w:r>
        <w:rPr>
          <w:rFonts w:hint="eastAsia" w:ascii="仿宋" w:hAnsi="仿宋" w:eastAsia="仿宋" w:cs="仿宋"/>
          <w:color w:val="auto"/>
          <w:lang w:eastAsia="zh-CN"/>
        </w:rPr>
        <w:t>本项目的特定资格要求：与第一章</w:t>
      </w:r>
      <w:r>
        <w:rPr>
          <w:rFonts w:hint="eastAsia" w:ascii="仿宋" w:hAnsi="仿宋" w:eastAsia="仿宋" w:cs="仿宋"/>
          <w:color w:val="auto"/>
        </w:rPr>
        <w:t>"</w:t>
      </w:r>
      <w:r>
        <w:rPr>
          <w:rFonts w:hint="eastAsia" w:ascii="仿宋" w:hAnsi="仿宋" w:eastAsia="仿宋" w:cs="仿宋"/>
          <w:color w:val="auto"/>
          <w:lang w:eastAsia="zh-CN"/>
        </w:rPr>
        <w:t>二、响应供应商的资格要求（三）</w:t>
      </w:r>
      <w:r>
        <w:rPr>
          <w:rFonts w:hint="eastAsia" w:ascii="仿宋" w:hAnsi="仿宋" w:eastAsia="仿宋" w:cs="仿宋"/>
          <w:color w:val="auto"/>
        </w:rPr>
        <w:t>"</w:t>
      </w:r>
      <w:r>
        <w:rPr>
          <w:rFonts w:hint="eastAsia" w:ascii="仿宋" w:hAnsi="仿宋" w:eastAsia="仿宋" w:cs="仿宋"/>
          <w:color w:val="auto"/>
          <w:lang w:eastAsia="zh-CN"/>
        </w:rPr>
        <w:t>第（</w:t>
      </w:r>
      <w:r>
        <w:rPr>
          <w:rFonts w:hint="eastAsia" w:ascii="仿宋" w:hAnsi="仿宋" w:eastAsia="仿宋" w:cs="仿宋"/>
          <w:color w:val="auto"/>
        </w:rPr>
        <w:t>1</w:t>
      </w:r>
      <w:r>
        <w:rPr>
          <w:rFonts w:hint="eastAsia" w:ascii="仿宋" w:hAnsi="仿宋" w:eastAsia="仿宋" w:cs="仿宋"/>
          <w:color w:val="auto"/>
          <w:lang w:eastAsia="zh-CN"/>
        </w:rPr>
        <w:t>）至（</w:t>
      </w:r>
      <w:r>
        <w:rPr>
          <w:rFonts w:hint="eastAsia" w:ascii="仿宋" w:hAnsi="仿宋" w:eastAsia="仿宋" w:cs="仿宋"/>
          <w:color w:val="auto"/>
        </w:rPr>
        <w:t>11</w:t>
      </w:r>
      <w:r>
        <w:rPr>
          <w:rFonts w:hint="eastAsia" w:ascii="仿宋" w:hAnsi="仿宋" w:eastAsia="仿宋" w:cs="仿宋"/>
          <w:color w:val="auto"/>
          <w:lang w:eastAsia="zh-CN"/>
        </w:rPr>
        <w:t>）项一致。</w:t>
      </w:r>
    </w:p>
    <w:p w14:paraId="4448824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注：供应商应保证在响应文件中附有上述资料的</w:t>
      </w:r>
      <w:r>
        <w:rPr>
          <w:rFonts w:hint="eastAsia" w:ascii="仿宋" w:hAnsi="仿宋" w:eastAsia="仿宋" w:cs="仿宋"/>
          <w:color w:val="auto"/>
          <w:lang w:val="en-US" w:eastAsia="zh-CN"/>
        </w:rPr>
        <w:t>扫描件或</w:t>
      </w:r>
      <w:r>
        <w:rPr>
          <w:rFonts w:hint="eastAsia" w:ascii="仿宋" w:hAnsi="仿宋" w:eastAsia="仿宋" w:cs="仿宋"/>
          <w:color w:val="auto"/>
          <w:lang w:eastAsia="zh-CN"/>
        </w:rPr>
        <w:t>复印件并加盖公章（响应文件中缺少其中任何一项或有一项达不到要求，</w:t>
      </w:r>
      <w:r>
        <w:rPr>
          <w:rFonts w:hint="eastAsia" w:ascii="仿宋" w:hAnsi="仿宋" w:eastAsia="仿宋" w:cs="仿宋"/>
          <w:color w:val="auto"/>
          <w:lang w:val="en-US" w:eastAsia="zh-CN"/>
        </w:rPr>
        <w:t>包括</w:t>
      </w:r>
      <w:r>
        <w:rPr>
          <w:rFonts w:hint="eastAsia" w:ascii="仿宋" w:hAnsi="仿宋" w:eastAsia="仿宋" w:cs="仿宋"/>
          <w:color w:val="auto"/>
          <w:lang w:eastAsia="zh-CN"/>
        </w:rPr>
        <w:t>证书应在有效期内，可通过官方渠道核验），经审查不合格的供应商按无效响应处理。</w:t>
      </w:r>
    </w:p>
    <w:p w14:paraId="04DAE15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2.1.2</w:t>
      </w:r>
      <w:r>
        <w:rPr>
          <w:rFonts w:hint="eastAsia" w:ascii="仿宋" w:hAnsi="仿宋" w:eastAsia="仿宋" w:cs="仿宋"/>
          <w:color w:val="auto"/>
          <w:lang w:eastAsia="zh-CN"/>
        </w:rPr>
        <w:t>单位负责人为同一人或者存在直接控股、管理关系的不同供应商，不得同时参加本项目的磋商。</w:t>
      </w:r>
    </w:p>
    <w:p w14:paraId="3D9467B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2.1.3</w:t>
      </w:r>
      <w:r>
        <w:rPr>
          <w:rFonts w:hint="eastAsia" w:ascii="仿宋" w:hAnsi="仿宋" w:eastAsia="仿宋" w:cs="仿宋"/>
          <w:color w:val="auto"/>
          <w:lang w:eastAsia="zh-CN"/>
        </w:rPr>
        <w:t>根据《陕西省财政厅关于政府采购供应商注册登记有关事项的通知》的要求，成交后，</w:t>
      </w:r>
      <w:r>
        <w:rPr>
          <w:rFonts w:hint="eastAsia" w:ascii="仿宋" w:hAnsi="仿宋" w:eastAsia="仿宋" w:cs="仿宋"/>
          <w:color w:val="auto"/>
          <w:lang w:val="en-US" w:eastAsia="zh-CN"/>
        </w:rPr>
        <w:t>成交供应商</w:t>
      </w:r>
      <w:r>
        <w:rPr>
          <w:rFonts w:hint="eastAsia" w:ascii="仿宋" w:hAnsi="仿宋" w:eastAsia="仿宋" w:cs="仿宋"/>
          <w:color w:val="auto"/>
          <w:lang w:eastAsia="zh-CN"/>
        </w:rPr>
        <w:t>按财政部门要求供应商在陕西省政府采购网完成注册登记，以便成交后能顺利录入成交单位信息，若未办理入库手续，造成不能发布成交公告，责任自负。</w:t>
      </w:r>
    </w:p>
    <w:p w14:paraId="5C472B5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w:t>
      </w:r>
      <w:r>
        <w:rPr>
          <w:rFonts w:hint="eastAsia" w:ascii="仿宋" w:hAnsi="仿宋" w:eastAsia="仿宋" w:cs="仿宋"/>
          <w:color w:val="auto"/>
          <w:lang w:eastAsia="zh-CN"/>
        </w:rPr>
        <w:t>合格的服务</w:t>
      </w:r>
    </w:p>
    <w:p w14:paraId="7A143FD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2.2.1</w:t>
      </w:r>
      <w:r>
        <w:rPr>
          <w:rFonts w:hint="eastAsia" w:ascii="仿宋" w:hAnsi="仿宋" w:eastAsia="仿宋" w:cs="仿宋"/>
          <w:color w:val="auto"/>
          <w:lang w:eastAsia="zh-CN"/>
        </w:rPr>
        <w:t>本次磋商采购的服务供应商，均应来自上述</w:t>
      </w:r>
      <w:r>
        <w:rPr>
          <w:rFonts w:hint="eastAsia" w:ascii="仿宋" w:hAnsi="仿宋" w:eastAsia="仿宋" w:cs="仿宋"/>
          <w:color w:val="auto"/>
        </w:rPr>
        <w:t>2.1</w:t>
      </w:r>
      <w:r>
        <w:rPr>
          <w:rFonts w:hint="eastAsia" w:ascii="仿宋" w:hAnsi="仿宋" w:eastAsia="仿宋" w:cs="仿宋"/>
          <w:color w:val="auto"/>
          <w:lang w:eastAsia="zh-CN"/>
        </w:rPr>
        <w:t>条款所规定的合格供应商。</w:t>
      </w:r>
    </w:p>
    <w:p w14:paraId="040F5A4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2.2.2</w:t>
      </w:r>
      <w:r>
        <w:rPr>
          <w:rFonts w:hint="eastAsia" w:ascii="仿宋" w:hAnsi="仿宋" w:eastAsia="仿宋" w:cs="仿宋"/>
          <w:color w:val="auto"/>
          <w:lang w:eastAsia="zh-CN"/>
        </w:rPr>
        <w:t>服务指磋商文件规定的，供应商须承担的有关服务。</w:t>
      </w:r>
    </w:p>
    <w:p w14:paraId="24C1ED2C">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3.磋商费用</w:t>
      </w:r>
    </w:p>
    <w:p w14:paraId="02D1EF1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供应商应</w:t>
      </w:r>
      <w:r>
        <w:rPr>
          <w:rFonts w:hint="eastAsia" w:ascii="仿宋" w:hAnsi="仿宋" w:eastAsia="仿宋" w:cs="仿宋"/>
          <w:color w:val="auto"/>
          <w:lang w:val="en-US" w:eastAsia="zh-CN"/>
        </w:rPr>
        <w:t>自行</w:t>
      </w:r>
      <w:r>
        <w:rPr>
          <w:rFonts w:hint="eastAsia" w:ascii="仿宋" w:hAnsi="仿宋" w:eastAsia="仿宋" w:cs="仿宋"/>
          <w:color w:val="auto"/>
          <w:lang w:eastAsia="zh-CN"/>
        </w:rPr>
        <w:t>承担所有与准备和参加磋商有关的费用。</w:t>
      </w:r>
    </w:p>
    <w:p w14:paraId="071AE6BB">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三、磋商文件</w:t>
      </w:r>
    </w:p>
    <w:p w14:paraId="04FFFBB5">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4.磋商文件构成</w:t>
      </w:r>
    </w:p>
    <w:p w14:paraId="117D80F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磋商文件包括下列内容：</w:t>
      </w:r>
    </w:p>
    <w:p w14:paraId="195039E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第一章 竞争性磋商公告</w:t>
      </w:r>
    </w:p>
    <w:p w14:paraId="03E3B5C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第二章 磋商须知</w:t>
      </w:r>
    </w:p>
    <w:p w14:paraId="7F2BD3F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第三章 采购需求</w:t>
      </w:r>
    </w:p>
    <w:p w14:paraId="0769FF9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第四章 拟签订合同主要条款</w:t>
      </w:r>
    </w:p>
    <w:p w14:paraId="4A5AA39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第五章 磋商响应文件格式。</w:t>
      </w:r>
    </w:p>
    <w:p w14:paraId="1B89F59F">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5.磋商文件的澄清和修改</w:t>
      </w:r>
    </w:p>
    <w:p w14:paraId="20536B7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5.1</w:t>
      </w:r>
      <w:r>
        <w:rPr>
          <w:rFonts w:hint="eastAsia" w:ascii="仿宋" w:hAnsi="仿宋" w:eastAsia="仿宋" w:cs="仿宋"/>
          <w:color w:val="auto"/>
          <w:lang w:eastAsia="zh-CN"/>
        </w:rPr>
        <w:t>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w:t>
      </w:r>
      <w:r>
        <w:rPr>
          <w:rFonts w:hint="eastAsia" w:ascii="仿宋" w:hAnsi="仿宋" w:eastAsia="仿宋" w:cs="仿宋"/>
          <w:color w:val="auto"/>
        </w:rPr>
        <w:t>5</w:t>
      </w:r>
      <w:r>
        <w:rPr>
          <w:rFonts w:hint="eastAsia" w:ascii="仿宋" w:hAnsi="仿宋" w:eastAsia="仿宋" w:cs="仿宋"/>
          <w:color w:val="auto"/>
          <w:lang w:eastAsia="zh-CN"/>
        </w:rPr>
        <w:t>日前，以书面形式通知所有获取磋商文件的供应商；不足</w:t>
      </w:r>
      <w:r>
        <w:rPr>
          <w:rFonts w:hint="eastAsia" w:ascii="仿宋" w:hAnsi="仿宋" w:eastAsia="仿宋" w:cs="仿宋"/>
          <w:color w:val="auto"/>
        </w:rPr>
        <w:t>5</w:t>
      </w:r>
      <w:r>
        <w:rPr>
          <w:rFonts w:hint="eastAsia" w:ascii="仿宋" w:hAnsi="仿宋" w:eastAsia="仿宋" w:cs="仿宋"/>
          <w:color w:val="auto"/>
          <w:lang w:eastAsia="zh-CN"/>
        </w:rPr>
        <w:t>日的，采购人、采购代理机构应当顺延提交首次磋商响应文件截止时间。</w:t>
      </w:r>
    </w:p>
    <w:p w14:paraId="7A61163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5.2</w:t>
      </w:r>
      <w:r>
        <w:rPr>
          <w:rFonts w:hint="eastAsia" w:ascii="仿宋" w:hAnsi="仿宋" w:eastAsia="仿宋" w:cs="仿宋"/>
          <w:color w:val="auto"/>
          <w:lang w:eastAsia="zh-CN"/>
        </w:rPr>
        <w:t>任何要求对磋商文件进行澄清的供应商均应在磋商响应文件递交截止期</w:t>
      </w:r>
      <w:r>
        <w:rPr>
          <w:rFonts w:hint="eastAsia" w:ascii="仿宋" w:hAnsi="仿宋" w:eastAsia="仿宋" w:cs="仿宋"/>
          <w:color w:val="auto"/>
        </w:rPr>
        <w:t>3</w:t>
      </w:r>
      <w:r>
        <w:rPr>
          <w:rFonts w:hint="eastAsia" w:ascii="仿宋" w:hAnsi="仿宋" w:eastAsia="仿宋" w:cs="仿宋"/>
          <w:color w:val="auto"/>
          <w:lang w:eastAsia="zh-CN"/>
        </w:rPr>
        <w:t>日前以书面形式通知采购代理机构，采购代理机构对供应商所要求澄清的内容以书面形式予以答复。供应商在规定的时间内未要求对磋商文件澄清或提出疑问的，将视其为无异议。</w:t>
      </w:r>
    </w:p>
    <w:p w14:paraId="4F978E3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5.3</w:t>
      </w:r>
      <w:r>
        <w:rPr>
          <w:rFonts w:hint="eastAsia" w:ascii="仿宋" w:hAnsi="仿宋" w:eastAsia="仿宋" w:cs="仿宋"/>
          <w:color w:val="auto"/>
          <w:lang w:eastAsia="zh-CN"/>
        </w:rPr>
        <w:t>采购代理机构对磋商文件的修改将以书面形式发给所有磋商文件收受人，该修改书将构成磋商文件的一部分，对供应商有约束力。供应商在收到通知后应立即以书面形式（电子邮件）予以确认。</w:t>
      </w:r>
    </w:p>
    <w:p w14:paraId="0995836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5.4</w:t>
      </w:r>
      <w:r>
        <w:rPr>
          <w:rFonts w:hint="eastAsia" w:ascii="仿宋" w:hAnsi="仿宋" w:eastAsia="仿宋" w:cs="仿宋"/>
          <w:color w:val="auto"/>
          <w:lang w:eastAsia="zh-CN"/>
        </w:rPr>
        <w:t>在磋商过程中，磋商文件如有实质性变动的，磋商小组应当以书面形式通知所有参加磋商的供应商。</w:t>
      </w:r>
    </w:p>
    <w:p w14:paraId="47128AB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5.5</w:t>
      </w:r>
      <w:r>
        <w:rPr>
          <w:rFonts w:hint="eastAsia" w:ascii="仿宋" w:hAnsi="仿宋" w:eastAsia="仿宋" w:cs="仿宋"/>
          <w:color w:val="auto"/>
          <w:lang w:eastAsia="zh-CN"/>
        </w:rPr>
        <w:t>采购人可以视采购具体情况，延长磋商文件提交截止时间和磋商时间，并将变更时间书面通知（电子邮件）所有磋商文件收受人。</w:t>
      </w:r>
    </w:p>
    <w:p w14:paraId="4286D82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5.6</w:t>
      </w:r>
      <w:r>
        <w:rPr>
          <w:rFonts w:hint="eastAsia" w:ascii="仿宋" w:hAnsi="仿宋" w:eastAsia="仿宋" w:cs="仿宋"/>
          <w:color w:val="auto"/>
          <w:lang w:eastAsia="zh-CN"/>
        </w:rPr>
        <w:t>磋商文件的解释权归采购代理机构，本磋商文件未尽事宜，按《中华人民共和国政府采购法》及其实施条例等有关规定执行。</w:t>
      </w:r>
    </w:p>
    <w:p w14:paraId="5E2A262C">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四、磋商响应文件的编制</w:t>
      </w:r>
    </w:p>
    <w:p w14:paraId="22773411">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6.编制要求</w:t>
      </w:r>
    </w:p>
    <w:p w14:paraId="63CD9B3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6.1</w:t>
      </w:r>
      <w:r>
        <w:rPr>
          <w:rFonts w:hint="eastAsia" w:ascii="仿宋" w:hAnsi="仿宋" w:eastAsia="仿宋" w:cs="仿宋"/>
          <w:color w:val="auto"/>
          <w:lang w:eastAsia="zh-CN"/>
        </w:rPr>
        <w:t>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磋商将被拒绝。</w:t>
      </w:r>
    </w:p>
    <w:p w14:paraId="7EB3DBE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6.2</w:t>
      </w:r>
      <w:r>
        <w:rPr>
          <w:rFonts w:hint="eastAsia" w:ascii="仿宋" w:hAnsi="仿宋" w:eastAsia="仿宋" w:cs="仿宋"/>
          <w:color w:val="auto"/>
          <w:lang w:eastAsia="zh-CN"/>
        </w:rPr>
        <w:t>供应商提交的磋商响应文件以及供应商与采购代理机构就有关磋商的所有来往函电均应以中文书写。</w:t>
      </w:r>
    </w:p>
    <w:p w14:paraId="670E2A0A">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7.磋商响应文件构成和格式</w:t>
      </w:r>
    </w:p>
    <w:p w14:paraId="4C8814E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7.1</w:t>
      </w:r>
      <w:r>
        <w:rPr>
          <w:rFonts w:hint="eastAsia" w:ascii="仿宋" w:hAnsi="仿宋" w:eastAsia="仿宋" w:cs="仿宋"/>
          <w:color w:val="auto"/>
          <w:lang w:eastAsia="zh-CN"/>
        </w:rPr>
        <w:t>供应商编写的磋商响应文件应包括但不限于下列部分，请按磋商文件提供的相应格式并依照下列顺序编写：</w:t>
      </w:r>
    </w:p>
    <w:p w14:paraId="70A08D2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一、磋商响应函</w:t>
      </w:r>
    </w:p>
    <w:p w14:paraId="0546CC9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二、第一次磋商报价表</w:t>
      </w:r>
    </w:p>
    <w:p w14:paraId="66490BA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三、资格证明文件</w:t>
      </w:r>
    </w:p>
    <w:p w14:paraId="336F81E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四、供应商概况</w:t>
      </w:r>
    </w:p>
    <w:p w14:paraId="43E3903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五、供应商拒绝政府采购领域商业贿赂承诺书</w:t>
      </w:r>
    </w:p>
    <w:p w14:paraId="42989FE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六、</w:t>
      </w:r>
      <w:r>
        <w:rPr>
          <w:rFonts w:hint="eastAsia" w:ascii="仿宋" w:hAnsi="仿宋" w:eastAsia="仿宋" w:cs="仿宋"/>
          <w:color w:val="auto"/>
          <w:lang w:val="en-US" w:eastAsia="zh-CN"/>
        </w:rPr>
        <w:t>服务</w:t>
      </w:r>
      <w:r>
        <w:rPr>
          <w:rFonts w:hint="eastAsia" w:ascii="仿宋" w:hAnsi="仿宋" w:eastAsia="仿宋" w:cs="仿宋"/>
          <w:color w:val="auto"/>
          <w:lang w:eastAsia="zh-CN"/>
        </w:rPr>
        <w:t>方案</w:t>
      </w:r>
    </w:p>
    <w:p w14:paraId="2EDD519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7.2</w:t>
      </w:r>
      <w:r>
        <w:rPr>
          <w:rFonts w:hint="eastAsia" w:ascii="仿宋" w:hAnsi="仿宋" w:eastAsia="仿宋" w:cs="仿宋"/>
          <w:color w:val="auto"/>
          <w:lang w:eastAsia="zh-CN"/>
        </w:rPr>
        <w:t>供应商应按照本须知第</w:t>
      </w:r>
      <w:r>
        <w:rPr>
          <w:rFonts w:hint="eastAsia" w:ascii="仿宋" w:hAnsi="仿宋" w:eastAsia="仿宋" w:cs="仿宋"/>
          <w:color w:val="auto"/>
        </w:rPr>
        <w:t>7.1</w:t>
      </w:r>
      <w:r>
        <w:rPr>
          <w:rFonts w:hint="eastAsia" w:ascii="仿宋" w:hAnsi="仿宋" w:eastAsia="仿宋" w:cs="仿宋"/>
          <w:color w:val="auto"/>
          <w:lang w:eastAsia="zh-CN"/>
        </w:rPr>
        <w:t>条的内容及第五章提供的格式编写磋商响应文件，不得缺少磋商文件要求填写的表格或提交的资料。</w:t>
      </w:r>
    </w:p>
    <w:p w14:paraId="7FEDFDB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7.3</w:t>
      </w:r>
      <w:r>
        <w:rPr>
          <w:rFonts w:hint="eastAsia" w:ascii="仿宋" w:hAnsi="仿宋" w:eastAsia="仿宋" w:cs="仿宋"/>
          <w:color w:val="auto"/>
          <w:lang w:eastAsia="zh-CN"/>
        </w:rPr>
        <w:t>供应商应将磋商响应文件按本须知第</w:t>
      </w:r>
      <w:r>
        <w:rPr>
          <w:rFonts w:hint="eastAsia" w:ascii="仿宋" w:hAnsi="仿宋" w:eastAsia="仿宋" w:cs="仿宋"/>
          <w:color w:val="auto"/>
        </w:rPr>
        <w:t>7.1</w:t>
      </w:r>
      <w:r>
        <w:rPr>
          <w:rFonts w:hint="eastAsia" w:ascii="仿宋" w:hAnsi="仿宋" w:eastAsia="仿宋" w:cs="仿宋"/>
          <w:color w:val="auto"/>
          <w:lang w:eastAsia="zh-CN"/>
        </w:rPr>
        <w:t>条规定的顺序编排，并应编制目录，逐页标注连续页码。</w:t>
      </w:r>
    </w:p>
    <w:p w14:paraId="226DB12A">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8.磋商报价</w:t>
      </w:r>
    </w:p>
    <w:p w14:paraId="2DBA19D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8.1</w:t>
      </w:r>
      <w:r>
        <w:rPr>
          <w:rFonts w:hint="eastAsia" w:ascii="仿宋" w:hAnsi="仿宋" w:eastAsia="仿宋" w:cs="仿宋"/>
          <w:color w:val="auto"/>
          <w:lang w:eastAsia="zh-CN"/>
        </w:rPr>
        <w:t>磋商报价应为完成本项目所要求全部内容的服务费用、成交服务费及国家按现行税收政策征收的一切税费。</w:t>
      </w:r>
    </w:p>
    <w:p w14:paraId="20F70EE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8.2</w:t>
      </w:r>
      <w:r>
        <w:rPr>
          <w:rFonts w:hint="eastAsia" w:ascii="仿宋" w:hAnsi="仿宋" w:eastAsia="仿宋" w:cs="仿宋"/>
          <w:color w:val="auto"/>
          <w:lang w:eastAsia="zh-CN"/>
        </w:rPr>
        <w:t>供应商须对本项目要求进行完整报价。采购人拒绝只对部分项目进行报价的磋商。供应商应在磋商响应文件中的分项报价表上标明对本次采购拟提供服务的报价费率和报价金额，任何有选择的报价将不予接受。</w:t>
      </w:r>
    </w:p>
    <w:p w14:paraId="5FB0377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8.3</w:t>
      </w:r>
      <w:r>
        <w:rPr>
          <w:rFonts w:hint="eastAsia" w:ascii="仿宋" w:hAnsi="仿宋" w:eastAsia="仿宋" w:cs="仿宋"/>
          <w:color w:val="auto"/>
          <w:lang w:eastAsia="zh-CN"/>
        </w:rPr>
        <w:t>所有根据合同或其它原因应由供应商支付的税款和其它应交纳的费用都要包括在供应商提交的磋商报价中。</w:t>
      </w:r>
    </w:p>
    <w:p w14:paraId="78A0451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8.4</w:t>
      </w:r>
      <w:r>
        <w:rPr>
          <w:rFonts w:hint="eastAsia" w:ascii="仿宋" w:hAnsi="仿宋" w:eastAsia="仿宋" w:cs="仿宋"/>
          <w:color w:val="auto"/>
          <w:lang w:eastAsia="zh-CN"/>
        </w:rPr>
        <w:t>本项目采购预算为人民币肆拾万元整（￥</w:t>
      </w:r>
      <w:r>
        <w:rPr>
          <w:rFonts w:hint="eastAsia" w:ascii="仿宋" w:hAnsi="仿宋" w:eastAsia="仿宋" w:cs="仿宋"/>
          <w:color w:val="auto"/>
        </w:rPr>
        <w:t>400000.00</w:t>
      </w:r>
      <w:r>
        <w:rPr>
          <w:rFonts w:hint="eastAsia" w:ascii="仿宋" w:hAnsi="仿宋" w:eastAsia="仿宋" w:cs="仿宋"/>
          <w:color w:val="auto"/>
          <w:lang w:eastAsia="zh-CN"/>
        </w:rPr>
        <w:t>元），最高限价为人民币肆拾万元整（￥</w:t>
      </w:r>
      <w:r>
        <w:rPr>
          <w:rFonts w:hint="eastAsia" w:ascii="仿宋" w:hAnsi="仿宋" w:eastAsia="仿宋" w:cs="仿宋"/>
          <w:color w:val="auto"/>
        </w:rPr>
        <w:t>400000.00</w:t>
      </w:r>
      <w:r>
        <w:rPr>
          <w:rFonts w:hint="eastAsia" w:ascii="仿宋" w:hAnsi="仿宋" w:eastAsia="仿宋" w:cs="仿宋"/>
          <w:color w:val="auto"/>
          <w:lang w:eastAsia="zh-CN"/>
        </w:rPr>
        <w:t>元）。供应商报价时需以费率进行报价，报价费率不得超过费率上限（</w:t>
      </w:r>
      <w:r>
        <w:rPr>
          <w:rFonts w:hint="eastAsia" w:ascii="仿宋" w:hAnsi="仿宋" w:eastAsia="仿宋" w:cs="仿宋"/>
          <w:color w:val="auto"/>
        </w:rPr>
        <w:t>_</w:t>
      </w:r>
      <w:r>
        <w:rPr>
          <w:rFonts w:hint="eastAsia" w:ascii="仿宋" w:hAnsi="仿宋" w:eastAsia="仿宋" w:cs="仿宋"/>
          <w:color w:val="auto"/>
          <w:lang w:val="en-US" w:eastAsia="zh-CN"/>
        </w:rPr>
        <w:t>2</w:t>
      </w:r>
      <w:r>
        <w:rPr>
          <w:rFonts w:hint="eastAsia" w:ascii="仿宋" w:hAnsi="仿宋" w:eastAsia="仿宋" w:cs="仿宋"/>
          <w:color w:val="auto"/>
        </w:rPr>
        <w:t>_%</w:t>
      </w:r>
      <w:r>
        <w:rPr>
          <w:rFonts w:hint="eastAsia" w:ascii="仿宋" w:hAnsi="仿宋" w:eastAsia="仿宋" w:cs="仿宋"/>
          <w:color w:val="auto"/>
          <w:lang w:eastAsia="zh-CN"/>
        </w:rPr>
        <w:t>），根据工程估算价（约</w:t>
      </w:r>
      <w:r>
        <w:rPr>
          <w:rFonts w:hint="eastAsia" w:ascii="仿宋" w:hAnsi="仿宋" w:eastAsia="仿宋" w:cs="仿宋"/>
          <w:color w:val="auto"/>
        </w:rPr>
        <w:t>_</w:t>
      </w:r>
      <w:r>
        <w:rPr>
          <w:rFonts w:hint="eastAsia" w:ascii="仿宋" w:hAnsi="仿宋" w:eastAsia="仿宋" w:cs="仿宋"/>
          <w:color w:val="auto"/>
          <w:lang w:val="en-US" w:eastAsia="zh-CN"/>
        </w:rPr>
        <w:t>2000</w:t>
      </w:r>
      <w:r>
        <w:rPr>
          <w:rFonts w:hint="eastAsia" w:ascii="仿宋" w:hAnsi="仿宋" w:eastAsia="仿宋" w:cs="仿宋"/>
          <w:color w:val="auto"/>
        </w:rPr>
        <w:t>_</w:t>
      </w:r>
      <w:r>
        <w:rPr>
          <w:rFonts w:hint="eastAsia" w:ascii="仿宋" w:hAnsi="仿宋" w:eastAsia="仿宋" w:cs="仿宋"/>
          <w:color w:val="auto"/>
          <w:lang w:eastAsia="zh-CN"/>
        </w:rPr>
        <w:t>万元）得出报价金额，最终结算费用按工程结算价</w:t>
      </w:r>
      <w:r>
        <w:rPr>
          <w:rFonts w:hint="eastAsia" w:ascii="仿宋" w:hAnsi="仿宋" w:eastAsia="仿宋" w:cs="仿宋"/>
          <w:color w:val="auto"/>
        </w:rPr>
        <w:t>×</w:t>
      </w:r>
      <w:r>
        <w:rPr>
          <w:rFonts w:hint="eastAsia" w:ascii="仿宋" w:hAnsi="仿宋" w:eastAsia="仿宋" w:cs="仿宋"/>
          <w:color w:val="auto"/>
          <w:lang w:eastAsia="zh-CN"/>
        </w:rPr>
        <w:t>报价费率计算，但结算金额最高不超过本合同签约酬金（即最高限价400000.00元）；超出部分不予支付</w:t>
      </w:r>
      <w:r>
        <w:t>。</w:t>
      </w:r>
    </w:p>
    <w:p w14:paraId="471075A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8.5</w:t>
      </w:r>
      <w:r>
        <w:rPr>
          <w:rFonts w:hint="eastAsia" w:ascii="仿宋" w:hAnsi="仿宋" w:eastAsia="仿宋" w:cs="仿宋"/>
          <w:color w:val="auto"/>
          <w:lang w:eastAsia="zh-CN"/>
        </w:rPr>
        <w:t>供应商不得以低于成本的报价参加磋商。经磋商小组认定供应商报价属于异常低价情形的，按本须知第</w:t>
      </w:r>
      <w:r>
        <w:rPr>
          <w:rFonts w:hint="eastAsia" w:ascii="仿宋" w:hAnsi="仿宋" w:eastAsia="仿宋" w:cs="仿宋"/>
          <w:color w:val="auto"/>
        </w:rPr>
        <w:t>20.6</w:t>
      </w:r>
      <w:r>
        <w:rPr>
          <w:rFonts w:hint="eastAsia" w:ascii="仿宋" w:hAnsi="仿宋" w:eastAsia="仿宋" w:cs="仿宋"/>
          <w:color w:val="auto"/>
          <w:lang w:eastAsia="zh-CN"/>
        </w:rPr>
        <w:t>条异常低价审查程序处理；不能证明其报价合理性的，其响应按无效处理。</w:t>
      </w:r>
    </w:p>
    <w:p w14:paraId="1ECC1383">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9.磋商货币</w:t>
      </w:r>
    </w:p>
    <w:p w14:paraId="2D59764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供应商提供的服务一律以人民币报价。</w:t>
      </w:r>
    </w:p>
    <w:p w14:paraId="4CD3B0D1">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10.磋商保证金</w:t>
      </w:r>
    </w:p>
    <w:p w14:paraId="57BB7BE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本项目无需缴纳磋商保证金。</w:t>
      </w:r>
    </w:p>
    <w:p w14:paraId="512D7267">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11.磋商响应文件有效期</w:t>
      </w:r>
    </w:p>
    <w:p w14:paraId="024971A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11.1</w:t>
      </w:r>
      <w:r>
        <w:rPr>
          <w:rFonts w:hint="eastAsia" w:ascii="仿宋" w:hAnsi="仿宋" w:eastAsia="仿宋" w:cs="仿宋"/>
          <w:color w:val="auto"/>
          <w:lang w:eastAsia="zh-CN"/>
        </w:rPr>
        <w:t>磋商响应文件有效期为自磋商之日起九十（</w:t>
      </w:r>
      <w:r>
        <w:rPr>
          <w:rFonts w:hint="eastAsia" w:ascii="仿宋" w:hAnsi="仿宋" w:eastAsia="仿宋" w:cs="仿宋"/>
          <w:color w:val="auto"/>
        </w:rPr>
        <w:t>90</w:t>
      </w:r>
      <w:r>
        <w:rPr>
          <w:rFonts w:hint="eastAsia" w:ascii="仿宋" w:hAnsi="仿宋" w:eastAsia="仿宋" w:cs="仿宋"/>
          <w:color w:val="auto"/>
          <w:lang w:eastAsia="zh-CN"/>
        </w:rPr>
        <w:t>）个日历日。供应商的磋商响应文件有效期比磋商文件规定短的将被视为非响应性而予以拒绝。</w:t>
      </w:r>
    </w:p>
    <w:p w14:paraId="0D09009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11.2</w:t>
      </w:r>
      <w:r>
        <w:rPr>
          <w:rFonts w:hint="eastAsia" w:ascii="仿宋" w:hAnsi="仿宋" w:eastAsia="仿宋" w:cs="仿宋"/>
          <w:color w:val="auto"/>
          <w:lang w:eastAsia="zh-CN"/>
        </w:rPr>
        <w:t>在特殊情况下，在原磋商响应文件有效期期满之前，采购人可征得供应商同意延长磋商响应文件有效期。这种要求与答复均应为书面形式提交。</w:t>
      </w:r>
    </w:p>
    <w:p w14:paraId="5D0FF03D">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12.磋商响应文件的制作和签署</w:t>
      </w:r>
    </w:p>
    <w:p w14:paraId="2865FE6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12.1</w:t>
      </w:r>
      <w:r>
        <w:rPr>
          <w:rFonts w:hint="eastAsia" w:ascii="仿宋" w:hAnsi="仿宋" w:eastAsia="仿宋" w:cs="仿宋"/>
          <w:color w:val="auto"/>
          <w:lang w:eastAsia="zh-CN"/>
        </w:rPr>
        <w:t>为确保采购项目顺利开展，本项目采用电子投标的方式，编制电子投标文件时，应使用最新发布的电子磋商文件及专用制作工具进行编制，并使用数字认证证书（</w:t>
      </w:r>
      <w:r>
        <w:rPr>
          <w:rFonts w:hint="eastAsia" w:ascii="仿宋" w:hAnsi="仿宋" w:eastAsia="仿宋" w:cs="仿宋"/>
          <w:color w:val="auto"/>
        </w:rPr>
        <w:t>CA</w:t>
      </w:r>
      <w:r>
        <w:rPr>
          <w:rFonts w:hint="eastAsia" w:ascii="仿宋" w:hAnsi="仿宋" w:eastAsia="仿宋" w:cs="仿宋"/>
          <w:color w:val="auto"/>
          <w:lang w:eastAsia="zh-CN"/>
        </w:rPr>
        <w:t>）对电子投标文件进行签署、加密、递交及开标时解密等相关操作。</w:t>
      </w:r>
    </w:p>
    <w:p w14:paraId="4A1738D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12.2</w:t>
      </w:r>
      <w:r>
        <w:rPr>
          <w:rFonts w:hint="eastAsia" w:ascii="仿宋" w:hAnsi="仿宋" w:eastAsia="仿宋" w:cs="仿宋"/>
          <w:color w:val="auto"/>
          <w:lang w:eastAsia="zh-CN"/>
        </w:rPr>
        <w:t>电子磋商文件下载：供应商登录全国公共资源交易平台（陕西省）网站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后，在</w:t>
      </w:r>
      <w:r>
        <w:rPr>
          <w:rFonts w:hint="eastAsia" w:ascii="仿宋" w:hAnsi="仿宋" w:eastAsia="仿宋" w:cs="仿宋"/>
          <w:color w:val="auto"/>
        </w:rPr>
        <w:t>[</w:t>
      </w:r>
      <w:r>
        <w:rPr>
          <w:rFonts w:hint="eastAsia" w:ascii="仿宋" w:hAnsi="仿宋" w:eastAsia="仿宋" w:cs="仿宋"/>
          <w:color w:val="auto"/>
          <w:lang w:eastAsia="zh-CN"/>
        </w:rPr>
        <w:t>我的项目</w:t>
      </w:r>
      <w:r>
        <w:rPr>
          <w:rFonts w:hint="eastAsia" w:ascii="仿宋" w:hAnsi="仿宋" w:eastAsia="仿宋" w:cs="仿宋"/>
          <w:color w:val="auto"/>
        </w:rPr>
        <w:t>]</w:t>
      </w:r>
      <w:r>
        <w:rPr>
          <w:rFonts w:hint="eastAsia" w:ascii="仿宋" w:hAnsi="仿宋" w:eastAsia="仿宋" w:cs="仿宋"/>
          <w:color w:val="auto"/>
          <w:lang w:eastAsia="zh-CN"/>
        </w:rPr>
        <w:t>中点击</w:t>
      </w:r>
      <w:r>
        <w:rPr>
          <w:rFonts w:hint="eastAsia" w:ascii="仿宋" w:hAnsi="仿宋" w:eastAsia="仿宋" w:cs="仿宋"/>
          <w:color w:val="auto"/>
        </w:rPr>
        <w:t>"</w:t>
      </w:r>
      <w:r>
        <w:rPr>
          <w:rFonts w:hint="eastAsia" w:ascii="仿宋" w:hAnsi="仿宋" w:eastAsia="仿宋" w:cs="仿宋"/>
          <w:color w:val="auto"/>
          <w:lang w:eastAsia="zh-CN"/>
        </w:rPr>
        <w:t>项目流程</w:t>
      </w:r>
      <w:r>
        <w:rPr>
          <w:rFonts w:hint="eastAsia" w:ascii="仿宋" w:hAnsi="仿宋" w:eastAsia="仿宋" w:cs="仿宋"/>
          <w:color w:val="auto"/>
        </w:rPr>
        <w:t>-</w:t>
      </w:r>
      <w:r>
        <w:rPr>
          <w:rFonts w:hint="eastAsia" w:ascii="仿宋" w:hAnsi="仿宋" w:eastAsia="仿宋" w:cs="仿宋"/>
          <w:color w:val="auto"/>
          <w:lang w:eastAsia="zh-CN"/>
        </w:rPr>
        <w:t>交易文件下载</w:t>
      </w:r>
      <w:r>
        <w:rPr>
          <w:rFonts w:hint="eastAsia" w:ascii="仿宋" w:hAnsi="仿宋" w:eastAsia="仿宋" w:cs="仿宋"/>
          <w:color w:val="auto"/>
        </w:rPr>
        <w:t>"</w:t>
      </w:r>
      <w:r>
        <w:rPr>
          <w:rFonts w:hint="eastAsia" w:ascii="仿宋" w:hAnsi="仿宋" w:eastAsia="仿宋" w:cs="仿宋"/>
          <w:color w:val="auto"/>
          <w:lang w:eastAsia="zh-CN"/>
        </w:rPr>
        <w:t>下载电子磋商文件（</w:t>
      </w:r>
      <w:r>
        <w:rPr>
          <w:rFonts w:hint="eastAsia" w:ascii="仿宋" w:hAnsi="仿宋" w:eastAsia="仿宋" w:cs="仿宋"/>
          <w:color w:val="auto"/>
        </w:rPr>
        <w:t>*.SXSZF</w:t>
      </w:r>
      <w:r>
        <w:rPr>
          <w:rFonts w:hint="eastAsia" w:ascii="仿宋" w:hAnsi="仿宋" w:eastAsia="仿宋" w:cs="仿宋"/>
          <w:color w:val="auto"/>
          <w:lang w:eastAsia="zh-CN"/>
        </w:rPr>
        <w:t>）。注意：该项目如有变更文件，则应点击</w:t>
      </w:r>
      <w:r>
        <w:rPr>
          <w:rFonts w:hint="eastAsia" w:ascii="仿宋" w:hAnsi="仿宋" w:eastAsia="仿宋" w:cs="仿宋"/>
          <w:color w:val="auto"/>
        </w:rPr>
        <w:t>"</w:t>
      </w:r>
      <w:r>
        <w:rPr>
          <w:rFonts w:hint="eastAsia" w:ascii="仿宋" w:hAnsi="仿宋" w:eastAsia="仿宋" w:cs="仿宋"/>
          <w:color w:val="auto"/>
          <w:lang w:eastAsia="zh-CN"/>
        </w:rPr>
        <w:t>项目流程＞答疑文件下载</w:t>
      </w:r>
      <w:r>
        <w:rPr>
          <w:rFonts w:hint="eastAsia" w:ascii="仿宋" w:hAnsi="仿宋" w:eastAsia="仿宋" w:cs="仿宋"/>
          <w:color w:val="auto"/>
        </w:rPr>
        <w:t>"</w:t>
      </w:r>
      <w:r>
        <w:rPr>
          <w:rFonts w:hint="eastAsia" w:ascii="仿宋" w:hAnsi="仿宋" w:eastAsia="仿宋" w:cs="仿宋"/>
          <w:color w:val="auto"/>
          <w:lang w:eastAsia="zh-CN"/>
        </w:rPr>
        <w:t>下载更新后的电子磋商文件（</w:t>
      </w:r>
      <w:r>
        <w:rPr>
          <w:rFonts w:hint="eastAsia" w:ascii="仿宋" w:hAnsi="仿宋" w:eastAsia="仿宋" w:cs="仿宋"/>
          <w:color w:val="auto"/>
        </w:rPr>
        <w:t>*.SXSCF</w:t>
      </w:r>
      <w:r>
        <w:rPr>
          <w:rFonts w:hint="eastAsia" w:ascii="仿宋" w:hAnsi="仿宋" w:eastAsia="仿宋" w:cs="仿宋"/>
          <w:color w:val="auto"/>
          <w:lang w:eastAsia="zh-CN"/>
        </w:rPr>
        <w:t>），使用旧版电子磋商文件制作的电子投标文件，系统将拒绝接收。</w:t>
      </w:r>
    </w:p>
    <w:p w14:paraId="156811D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12.3</w:t>
      </w:r>
      <w:r>
        <w:rPr>
          <w:rFonts w:hint="eastAsia" w:ascii="仿宋" w:hAnsi="仿宋" w:eastAsia="仿宋" w:cs="仿宋"/>
          <w:color w:val="auto"/>
          <w:lang w:eastAsia="zh-CN"/>
        </w:rPr>
        <w:t>电子磋商文件打开、浏览：供应商登录全国公共资源交易平台（陕西省）网站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服务指南</w:t>
      </w:r>
      <w:r>
        <w:rPr>
          <w:rFonts w:hint="eastAsia" w:ascii="仿宋" w:hAnsi="仿宋" w:eastAsia="仿宋" w:cs="仿宋"/>
          <w:color w:val="auto"/>
        </w:rPr>
        <w:t>-</w:t>
      </w:r>
      <w:r>
        <w:rPr>
          <w:rFonts w:hint="eastAsia" w:ascii="仿宋" w:hAnsi="仿宋" w:eastAsia="仿宋" w:cs="仿宋"/>
          <w:color w:val="auto"/>
          <w:lang w:eastAsia="zh-CN"/>
        </w:rPr>
        <w:t>下载专区</w:t>
      </w:r>
      <w:r>
        <w:rPr>
          <w:rFonts w:hint="eastAsia" w:ascii="仿宋" w:hAnsi="仿宋" w:eastAsia="仿宋" w:cs="仿宋"/>
          <w:color w:val="auto"/>
        </w:rPr>
        <w:t>]</w:t>
      </w:r>
      <w:r>
        <w:rPr>
          <w:rFonts w:hint="eastAsia" w:ascii="仿宋" w:hAnsi="仿宋" w:eastAsia="仿宋" w:cs="仿宋"/>
          <w:color w:val="auto"/>
          <w:lang w:eastAsia="zh-CN"/>
        </w:rPr>
        <w:t>免费下载《陕西省公共资源交易平台政府采购电子标书制作工具》，并升级至最新版本，使用该客户端可以打开电子磋商文件。软件操作手册详见全国公共资源交易平台（陕西省）网站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服务指南</w:t>
      </w:r>
      <w:r>
        <w:rPr>
          <w:rFonts w:hint="eastAsia" w:ascii="仿宋" w:hAnsi="仿宋" w:eastAsia="仿宋" w:cs="仿宋"/>
          <w:color w:val="auto"/>
        </w:rPr>
        <w:t>-</w:t>
      </w:r>
      <w:r>
        <w:rPr>
          <w:rFonts w:hint="eastAsia" w:ascii="仿宋" w:hAnsi="仿宋" w:eastAsia="仿宋" w:cs="仿宋"/>
          <w:color w:val="auto"/>
          <w:lang w:eastAsia="zh-CN"/>
        </w:rPr>
        <w:t>下载专区</w:t>
      </w:r>
      <w:r>
        <w:rPr>
          <w:rFonts w:hint="eastAsia" w:ascii="仿宋" w:hAnsi="仿宋" w:eastAsia="仿宋" w:cs="仿宋"/>
          <w:color w:val="auto"/>
        </w:rPr>
        <w:t>]</w:t>
      </w:r>
      <w:r>
        <w:rPr>
          <w:rFonts w:hint="eastAsia" w:ascii="仿宋" w:hAnsi="仿宋" w:eastAsia="仿宋" w:cs="仿宋"/>
          <w:color w:val="auto"/>
          <w:lang w:eastAsia="zh-CN"/>
        </w:rPr>
        <w:t>中的《陕西省公共资源交易（政府采购类）投标文件制作软件操作手册》。</w:t>
      </w:r>
    </w:p>
    <w:p w14:paraId="130C919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12.4</w:t>
      </w:r>
      <w:r>
        <w:rPr>
          <w:rFonts w:hint="eastAsia" w:ascii="仿宋" w:hAnsi="仿宋" w:eastAsia="仿宋" w:cs="仿宋"/>
          <w:color w:val="auto"/>
          <w:lang w:eastAsia="zh-CN"/>
        </w:rPr>
        <w:t>制作电子投标文件：电子投标文件同样需要使用上述软件进行编制。在编制过程中，如有技术性问题，请先翻阅操作手册或致电软件开发商，技术支持热线：</w:t>
      </w:r>
      <w:r>
        <w:rPr>
          <w:rFonts w:hint="eastAsia" w:ascii="仿宋" w:hAnsi="仿宋" w:eastAsia="仿宋" w:cs="仿宋"/>
          <w:color w:val="auto"/>
        </w:rPr>
        <w:t>4009280095</w:t>
      </w:r>
      <w:r>
        <w:rPr>
          <w:rFonts w:hint="eastAsia" w:ascii="仿宋" w:hAnsi="仿宋" w:eastAsia="仿宋" w:cs="仿宋"/>
          <w:color w:val="auto"/>
          <w:lang w:eastAsia="zh-CN"/>
        </w:rPr>
        <w:t>、</w:t>
      </w:r>
      <w:r>
        <w:rPr>
          <w:rFonts w:hint="eastAsia" w:ascii="仿宋" w:hAnsi="仿宋" w:eastAsia="仿宋" w:cs="仿宋"/>
          <w:color w:val="auto"/>
        </w:rPr>
        <w:t>4009980000</w:t>
      </w:r>
      <w:r>
        <w:rPr>
          <w:rFonts w:hint="eastAsia" w:ascii="仿宋" w:hAnsi="仿宋" w:eastAsia="仿宋" w:cs="仿宋"/>
          <w:color w:val="auto"/>
          <w:lang w:eastAsia="zh-CN"/>
        </w:rPr>
        <w:t>。</w:t>
      </w:r>
    </w:p>
    <w:p w14:paraId="5D97176B">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五、磋商响应文件的递交</w:t>
      </w:r>
    </w:p>
    <w:p w14:paraId="3A0B770A">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13.磋商响应文件的递交和开启</w:t>
      </w:r>
    </w:p>
    <w:p w14:paraId="0BA4F9F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13.1</w:t>
      </w:r>
      <w:r>
        <w:rPr>
          <w:rFonts w:hint="eastAsia" w:ascii="仿宋" w:hAnsi="仿宋" w:eastAsia="仿宋" w:cs="仿宋"/>
          <w:color w:val="auto"/>
          <w:lang w:eastAsia="zh-CN"/>
        </w:rPr>
        <w:t>文件递交：电子投标文件可于提交投标文件截止时间前任意时段登录全国公共资源交易平台（陕西省）网站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进行提交，逾期系统将拒绝接收。提交时，供应商应登录全国公共资源交易平台（陕西省），选择</w:t>
      </w:r>
      <w:r>
        <w:rPr>
          <w:rFonts w:hint="eastAsia" w:ascii="仿宋" w:hAnsi="仿宋" w:eastAsia="仿宋" w:cs="仿宋"/>
          <w:color w:val="auto"/>
        </w:rPr>
        <w:t>[</w:t>
      </w:r>
      <w:r>
        <w:rPr>
          <w:rFonts w:hint="eastAsia" w:ascii="仿宋" w:hAnsi="仿宋" w:eastAsia="仿宋" w:cs="仿宋"/>
          <w:color w:val="auto"/>
          <w:lang w:eastAsia="zh-CN"/>
        </w:rPr>
        <w:t>首页</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我的项目</w:t>
      </w:r>
      <w:r>
        <w:rPr>
          <w:rFonts w:hint="eastAsia" w:ascii="仿宋" w:hAnsi="仿宋" w:eastAsia="仿宋" w:cs="仿宋"/>
          <w:color w:val="auto"/>
        </w:rPr>
        <w:t>]</w:t>
      </w:r>
      <w:r>
        <w:rPr>
          <w:rFonts w:hint="eastAsia" w:ascii="仿宋" w:hAnsi="仿宋" w:eastAsia="仿宋" w:cs="仿宋"/>
          <w:color w:val="auto"/>
          <w:lang w:eastAsia="zh-CN"/>
        </w:rPr>
        <w:t>，点击</w:t>
      </w:r>
      <w:r>
        <w:rPr>
          <w:rFonts w:hint="eastAsia" w:ascii="仿宋" w:hAnsi="仿宋" w:eastAsia="仿宋" w:cs="仿宋"/>
          <w:color w:val="auto"/>
        </w:rPr>
        <w:t>[</w:t>
      </w:r>
      <w:r>
        <w:rPr>
          <w:rFonts w:hint="eastAsia" w:ascii="仿宋" w:hAnsi="仿宋" w:eastAsia="仿宋" w:cs="仿宋"/>
          <w:color w:val="auto"/>
          <w:lang w:eastAsia="zh-CN"/>
        </w:rPr>
        <w:t>项目流程</w:t>
      </w:r>
      <w:r>
        <w:rPr>
          <w:rFonts w:hint="eastAsia" w:ascii="仿宋" w:hAnsi="仿宋" w:eastAsia="仿宋" w:cs="仿宋"/>
          <w:color w:val="auto"/>
        </w:rPr>
        <w:t>]</w:t>
      </w:r>
      <w:r>
        <w:rPr>
          <w:rFonts w:hint="eastAsia" w:ascii="仿宋" w:hAnsi="仿宋" w:eastAsia="仿宋" w:cs="仿宋"/>
          <w:color w:val="auto"/>
          <w:lang w:eastAsia="zh-CN"/>
        </w:rPr>
        <w:t>，在打开的</w:t>
      </w:r>
      <w:r>
        <w:rPr>
          <w:rFonts w:hint="eastAsia" w:ascii="仿宋" w:hAnsi="仿宋" w:eastAsia="仿宋" w:cs="仿宋"/>
          <w:color w:val="auto"/>
        </w:rPr>
        <w:t>[</w:t>
      </w:r>
      <w:r>
        <w:rPr>
          <w:rFonts w:hint="eastAsia" w:ascii="仿宋" w:hAnsi="仿宋" w:eastAsia="仿宋" w:cs="仿宋"/>
          <w:color w:val="auto"/>
          <w:lang w:eastAsia="zh-CN"/>
        </w:rPr>
        <w:t>项目管理</w:t>
      </w:r>
      <w:r>
        <w:rPr>
          <w:rFonts w:hint="eastAsia" w:ascii="仿宋" w:hAnsi="仿宋" w:eastAsia="仿宋" w:cs="仿宋"/>
          <w:color w:val="auto"/>
        </w:rPr>
        <w:t>]</w:t>
      </w:r>
      <w:r>
        <w:rPr>
          <w:rFonts w:hint="eastAsia" w:ascii="仿宋" w:hAnsi="仿宋" w:eastAsia="仿宋" w:cs="仿宋"/>
          <w:color w:val="auto"/>
          <w:lang w:eastAsia="zh-CN"/>
        </w:rPr>
        <w:t>对话框中选择</w:t>
      </w:r>
      <w:r>
        <w:rPr>
          <w:rFonts w:hint="eastAsia" w:ascii="仿宋" w:hAnsi="仿宋" w:eastAsia="仿宋" w:cs="仿宋"/>
          <w:color w:val="auto"/>
        </w:rPr>
        <w:t>[</w:t>
      </w:r>
      <w:r>
        <w:rPr>
          <w:rFonts w:hint="eastAsia" w:ascii="仿宋" w:hAnsi="仿宋" w:eastAsia="仿宋" w:cs="仿宋"/>
          <w:color w:val="auto"/>
          <w:lang w:eastAsia="zh-CN"/>
        </w:rPr>
        <w:t>上传响应文件</w:t>
      </w:r>
      <w:r>
        <w:rPr>
          <w:rFonts w:hint="eastAsia" w:ascii="仿宋" w:hAnsi="仿宋" w:eastAsia="仿宋" w:cs="仿宋"/>
          <w:color w:val="auto"/>
        </w:rPr>
        <w:t>]</w:t>
      </w:r>
      <w:r>
        <w:rPr>
          <w:rFonts w:hint="eastAsia" w:ascii="仿宋" w:hAnsi="仿宋" w:eastAsia="仿宋" w:cs="仿宋"/>
          <w:color w:val="auto"/>
          <w:lang w:eastAsia="zh-CN"/>
        </w:rPr>
        <w:t>，上传加密的电子投标文件（</w:t>
      </w:r>
      <w:r>
        <w:rPr>
          <w:rFonts w:hint="eastAsia" w:ascii="仿宋" w:hAnsi="仿宋" w:eastAsia="仿宋" w:cs="仿宋"/>
          <w:color w:val="auto"/>
        </w:rPr>
        <w:t>*.SXSTF</w:t>
      </w:r>
      <w:r>
        <w:rPr>
          <w:rFonts w:hint="eastAsia" w:ascii="仿宋" w:hAnsi="仿宋" w:eastAsia="仿宋" w:cs="仿宋"/>
          <w:color w:val="auto"/>
          <w:lang w:eastAsia="zh-CN"/>
        </w:rPr>
        <w:t>），上传成功后，电子化平台将予以记录。注：电子投标文件不接受机打签名方式，一律采用手写签名后扫描上传。</w:t>
      </w:r>
    </w:p>
    <w:p w14:paraId="62E31BA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13.2</w:t>
      </w:r>
      <w:r>
        <w:rPr>
          <w:rFonts w:hint="eastAsia" w:ascii="仿宋" w:hAnsi="仿宋" w:eastAsia="仿宋" w:cs="仿宋"/>
          <w:color w:val="auto"/>
          <w:lang w:eastAsia="zh-CN"/>
        </w:rPr>
        <w:t>文件开启与解密：</w:t>
      </w:r>
    </w:p>
    <w:p w14:paraId="4526EAA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13.2.1</w:t>
      </w:r>
      <w:r>
        <w:rPr>
          <w:rFonts w:hint="eastAsia" w:ascii="仿宋" w:hAnsi="仿宋" w:eastAsia="仿宋" w:cs="仿宋"/>
          <w:color w:val="auto"/>
          <w:lang w:eastAsia="zh-CN"/>
        </w:rPr>
        <w:t>开标时，供应商须使用电子投标响应文件加密时所用的数字认证证书（</w:t>
      </w:r>
      <w:r>
        <w:rPr>
          <w:rFonts w:hint="eastAsia" w:ascii="仿宋" w:hAnsi="仿宋" w:eastAsia="仿宋" w:cs="仿宋"/>
          <w:color w:val="auto"/>
        </w:rPr>
        <w:t>CA</w:t>
      </w:r>
      <w:r>
        <w:rPr>
          <w:rFonts w:hint="eastAsia" w:ascii="仿宋" w:hAnsi="仿宋" w:eastAsia="仿宋" w:cs="仿宋"/>
          <w:color w:val="auto"/>
          <w:lang w:eastAsia="zh-CN"/>
        </w:rPr>
        <w:t>锁）在全国公共资源交易平台（陕西省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安康市）上自行解密电子投标响应文件（系统默认解密时长为</w:t>
      </w:r>
      <w:r>
        <w:rPr>
          <w:rFonts w:hint="eastAsia" w:ascii="仿宋" w:hAnsi="仿宋" w:eastAsia="仿宋" w:cs="仿宋"/>
          <w:color w:val="auto"/>
        </w:rPr>
        <w:t>20</w:t>
      </w:r>
      <w:r>
        <w:rPr>
          <w:rFonts w:hint="eastAsia" w:ascii="仿宋" w:hAnsi="仿宋" w:eastAsia="仿宋" w:cs="仿宋"/>
          <w:color w:val="auto"/>
          <w:lang w:eastAsia="zh-CN"/>
        </w:rPr>
        <w:t>分钟），供应商需在解密时间规定内完成标书解密。所有供应商解密完成后由开标人员将响应文件导入开评标系统。</w:t>
      </w:r>
    </w:p>
    <w:p w14:paraId="5B85E2D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13.2.2</w:t>
      </w:r>
      <w:r>
        <w:rPr>
          <w:rFonts w:hint="eastAsia" w:ascii="仿宋" w:hAnsi="仿宋" w:eastAsia="仿宋" w:cs="仿宋"/>
          <w:color w:val="auto"/>
          <w:lang w:eastAsia="zh-CN"/>
        </w:rPr>
        <w:t>采购代理机构将在开标会议现场做开标记录。</w:t>
      </w:r>
    </w:p>
    <w:p w14:paraId="4C69ABD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13.2.3</w:t>
      </w:r>
      <w:r>
        <w:rPr>
          <w:rFonts w:hint="eastAsia" w:ascii="仿宋" w:hAnsi="仿宋" w:eastAsia="仿宋" w:cs="仿宋"/>
          <w:color w:val="auto"/>
          <w:lang w:eastAsia="zh-CN"/>
        </w:rPr>
        <w:t>在开标环节出现下列情况之一的，其电子投标文件视为无效文件：</w:t>
      </w:r>
    </w:p>
    <w:p w14:paraId="32CC090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）供应商未在磋商时间前进入不见面开标大厅进行签到的；（</w:t>
      </w:r>
      <w:r>
        <w:rPr>
          <w:rFonts w:hint="eastAsia" w:ascii="仿宋" w:hAnsi="仿宋" w:eastAsia="仿宋" w:cs="仿宋"/>
          <w:color w:val="auto"/>
        </w:rPr>
        <w:t>2</w:t>
      </w:r>
      <w:r>
        <w:rPr>
          <w:rFonts w:hint="eastAsia" w:ascii="仿宋" w:hAnsi="仿宋" w:eastAsia="仿宋" w:cs="仿宋"/>
          <w:color w:val="auto"/>
          <w:lang w:eastAsia="zh-CN"/>
        </w:rPr>
        <w:t>）供应商拒绝对电子投标文件进行解密的；（</w:t>
      </w:r>
      <w:r>
        <w:rPr>
          <w:rFonts w:hint="eastAsia" w:ascii="仿宋" w:hAnsi="仿宋" w:eastAsia="仿宋" w:cs="仿宋"/>
          <w:color w:val="auto"/>
        </w:rPr>
        <w:t>3</w:t>
      </w:r>
      <w:r>
        <w:rPr>
          <w:rFonts w:hint="eastAsia" w:ascii="仿宋" w:hAnsi="仿宋" w:eastAsia="仿宋" w:cs="仿宋"/>
          <w:color w:val="auto"/>
          <w:lang w:eastAsia="zh-CN"/>
        </w:rPr>
        <w:t>）因供应商自身原因（如未带</w:t>
      </w:r>
      <w:r>
        <w:rPr>
          <w:rFonts w:hint="eastAsia" w:ascii="仿宋" w:hAnsi="仿宋" w:eastAsia="仿宋" w:cs="仿宋"/>
          <w:color w:val="auto"/>
        </w:rPr>
        <w:t>CA</w:t>
      </w:r>
      <w:r>
        <w:rPr>
          <w:rFonts w:hint="eastAsia" w:ascii="仿宋" w:hAnsi="仿宋" w:eastAsia="仿宋" w:cs="仿宋"/>
          <w:color w:val="auto"/>
          <w:lang w:eastAsia="zh-CN"/>
        </w:rPr>
        <w:t>锁、或所带</w:t>
      </w:r>
      <w:r>
        <w:rPr>
          <w:rFonts w:hint="eastAsia" w:ascii="仿宋" w:hAnsi="仿宋" w:eastAsia="仿宋" w:cs="仿宋"/>
          <w:color w:val="auto"/>
        </w:rPr>
        <w:t>CA</w:t>
      </w:r>
      <w:r>
        <w:rPr>
          <w:rFonts w:hint="eastAsia" w:ascii="仿宋" w:hAnsi="仿宋" w:eastAsia="仿宋" w:cs="仿宋"/>
          <w:color w:val="auto"/>
          <w:lang w:eastAsia="zh-CN"/>
        </w:rPr>
        <w:t>锁与制作电子投标文件使用的</w:t>
      </w:r>
      <w:r>
        <w:rPr>
          <w:rFonts w:hint="eastAsia" w:ascii="仿宋" w:hAnsi="仿宋" w:eastAsia="仿宋" w:cs="仿宋"/>
          <w:color w:val="auto"/>
        </w:rPr>
        <w:t>CA</w:t>
      </w:r>
      <w:r>
        <w:rPr>
          <w:rFonts w:hint="eastAsia" w:ascii="仿宋" w:hAnsi="仿宋" w:eastAsia="仿宋" w:cs="仿宋"/>
          <w:color w:val="auto"/>
          <w:lang w:eastAsia="zh-CN"/>
        </w:rPr>
        <w:t>锁不一致、或沿用旧版磋商文件编制投标文件等情形），导致在规定时间内无法解密投标文件的；（</w:t>
      </w:r>
      <w:r>
        <w:rPr>
          <w:rFonts w:hint="eastAsia" w:ascii="仿宋" w:hAnsi="仿宋" w:eastAsia="仿宋" w:cs="仿宋"/>
          <w:color w:val="auto"/>
        </w:rPr>
        <w:t>4</w:t>
      </w:r>
      <w:r>
        <w:rPr>
          <w:rFonts w:hint="eastAsia" w:ascii="仿宋" w:hAnsi="仿宋" w:eastAsia="仿宋" w:cs="仿宋"/>
          <w:color w:val="auto"/>
          <w:lang w:eastAsia="zh-CN"/>
        </w:rPr>
        <w:t>）上传的电子投标文件无法打开的；（</w:t>
      </w:r>
      <w:r>
        <w:rPr>
          <w:rFonts w:hint="eastAsia" w:ascii="仿宋" w:hAnsi="仿宋" w:eastAsia="仿宋" w:cs="仿宋"/>
          <w:color w:val="auto"/>
        </w:rPr>
        <w:t>5</w:t>
      </w:r>
      <w:r>
        <w:rPr>
          <w:rFonts w:hint="eastAsia" w:ascii="仿宋" w:hAnsi="仿宋" w:eastAsia="仿宋" w:cs="仿宋"/>
          <w:color w:val="auto"/>
          <w:lang w:eastAsia="zh-CN"/>
        </w:rPr>
        <w:t>）政府采购法律法规规定的其他无效情形。</w:t>
      </w:r>
    </w:p>
    <w:p w14:paraId="77A39EE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13.2.4</w:t>
      </w:r>
      <w:r>
        <w:rPr>
          <w:rFonts w:hint="eastAsia" w:ascii="仿宋" w:hAnsi="仿宋" w:eastAsia="仿宋" w:cs="仿宋"/>
          <w:color w:val="auto"/>
          <w:lang w:eastAsia="zh-CN"/>
        </w:rPr>
        <w:t>特殊情形下的应急处置：在开标、评审过程中，因停电、断网、系统故障等原因导致电子化开评标无法正常进行的，应当中止开评标活动，待故障排除后继续进行；无法在当日排除的，采购代理机构另行公告恢复时间，已提交并解密的电子响应文件继续有效。</w:t>
      </w:r>
    </w:p>
    <w:p w14:paraId="78D9AE06">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14.磋商截止日期</w:t>
      </w:r>
    </w:p>
    <w:p w14:paraId="69E7F4E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14.1</w:t>
      </w:r>
      <w:r>
        <w:rPr>
          <w:rFonts w:hint="eastAsia" w:ascii="仿宋" w:hAnsi="仿宋" w:eastAsia="仿宋" w:cs="仿宋"/>
          <w:color w:val="auto"/>
          <w:lang w:eastAsia="zh-CN"/>
        </w:rPr>
        <w:t>供应商应在不迟于磋商文件中规定的磋商截止时间将磋商响应文件上传至平台。</w:t>
      </w:r>
    </w:p>
    <w:p w14:paraId="594B1F0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14.2</w:t>
      </w:r>
      <w:r>
        <w:rPr>
          <w:rFonts w:hint="eastAsia" w:ascii="仿宋" w:hAnsi="仿宋" w:eastAsia="仿宋" w:cs="仿宋"/>
          <w:color w:val="auto"/>
          <w:lang w:eastAsia="zh-CN"/>
        </w:rPr>
        <w:t>采购代理机构可以按本须知第</w:t>
      </w:r>
      <w:r>
        <w:rPr>
          <w:rFonts w:hint="eastAsia" w:ascii="仿宋" w:hAnsi="仿宋" w:eastAsia="仿宋" w:cs="仿宋"/>
          <w:color w:val="auto"/>
        </w:rPr>
        <w:t>5.3</w:t>
      </w:r>
      <w:r>
        <w:rPr>
          <w:rFonts w:hint="eastAsia" w:ascii="仿宋" w:hAnsi="仿宋" w:eastAsia="仿宋" w:cs="仿宋"/>
          <w:color w:val="auto"/>
          <w:lang w:eastAsia="zh-CN"/>
        </w:rPr>
        <w:t>条规定，通知因修改磋商文件而适当延长磋商截止期。在此情况下，采购人和供应商受磋商截止期制约的所有权利和义务均应延长至新的截止期。</w:t>
      </w:r>
    </w:p>
    <w:p w14:paraId="07A72970">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15.迟交的磋商响应文件</w:t>
      </w:r>
    </w:p>
    <w:p w14:paraId="0D1AE43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采购代理机构将拒绝接收磋商截止期后送达的任何电子版的磋商响应文件。</w:t>
      </w:r>
    </w:p>
    <w:p w14:paraId="0E9697D8">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16.磋商响应文件的修改和撤回</w:t>
      </w:r>
    </w:p>
    <w:p w14:paraId="75E9BFF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16.1</w:t>
      </w:r>
      <w:r>
        <w:rPr>
          <w:rFonts w:hint="eastAsia" w:ascii="仿宋" w:hAnsi="仿宋" w:eastAsia="仿宋" w:cs="仿宋"/>
          <w:color w:val="auto"/>
          <w:lang w:eastAsia="zh-CN"/>
        </w:rPr>
        <w:t>供应商在递交磋商响应文件后，磋商截止时间前可以修改或撤回其磋商响应文件。但供应商必须在规定的磋商截止期之前将修改或撤回的书面通知递交到采购代理机构。</w:t>
      </w:r>
    </w:p>
    <w:p w14:paraId="5A18099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16.2</w:t>
      </w:r>
      <w:r>
        <w:rPr>
          <w:rFonts w:hint="eastAsia" w:ascii="仿宋" w:hAnsi="仿宋" w:eastAsia="仿宋" w:cs="仿宋"/>
          <w:color w:val="auto"/>
          <w:lang w:eastAsia="zh-CN"/>
        </w:rPr>
        <w:t>在磋商截止日期之后，供应商不得对其磋商响应文件做任何修改。</w:t>
      </w:r>
    </w:p>
    <w:p w14:paraId="1026431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16.3</w:t>
      </w:r>
      <w:r>
        <w:rPr>
          <w:rFonts w:hint="eastAsia" w:ascii="仿宋" w:hAnsi="仿宋" w:eastAsia="仿宋" w:cs="仿宋"/>
          <w:color w:val="auto"/>
          <w:lang w:eastAsia="zh-CN"/>
        </w:rPr>
        <w:t>从磋商截止期始至磋商文件确定的磋商响应文件有效期期满这段时间内，供应商不得撤回其磋商响应文件。</w:t>
      </w:r>
    </w:p>
    <w:p w14:paraId="0FB09DE4">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六、磋商与评审</w:t>
      </w:r>
    </w:p>
    <w:p w14:paraId="3A4F49F0">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17.磋商响应文件开启</w:t>
      </w:r>
    </w:p>
    <w:p w14:paraId="765B4BB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17.1</w:t>
      </w:r>
      <w:r>
        <w:rPr>
          <w:rFonts w:hint="eastAsia" w:ascii="仿宋" w:hAnsi="仿宋" w:eastAsia="仿宋" w:cs="仿宋"/>
          <w:color w:val="auto"/>
          <w:lang w:eastAsia="zh-CN"/>
        </w:rPr>
        <w:t>采购代理机构组织磋商、文件解密、评审工作，磋商整个过程接受监督部门的监督。</w:t>
      </w:r>
    </w:p>
    <w:p w14:paraId="165BFBE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17.2</w:t>
      </w:r>
      <w:r>
        <w:rPr>
          <w:rFonts w:hint="eastAsia" w:ascii="仿宋" w:hAnsi="仿宋" w:eastAsia="仿宋" w:cs="仿宋"/>
          <w:color w:val="auto"/>
          <w:lang w:eastAsia="zh-CN"/>
        </w:rPr>
        <w:t>采购代理机构在规定的时间和地点组织磋商，供应商须委派代表参加，参加磋商的授权代表线上签名报到以证明其出席。</w:t>
      </w:r>
    </w:p>
    <w:p w14:paraId="45BE7FE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17.3</w:t>
      </w:r>
      <w:r>
        <w:rPr>
          <w:rFonts w:hint="eastAsia" w:ascii="仿宋" w:hAnsi="仿宋" w:eastAsia="仿宋" w:cs="仿宋"/>
          <w:color w:val="auto"/>
          <w:lang w:eastAsia="zh-CN"/>
        </w:rPr>
        <w:t>采购代理机构将在磋商会议现场做磋商记录。</w:t>
      </w:r>
    </w:p>
    <w:p w14:paraId="79DA1087">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18.磋商小组</w:t>
      </w:r>
    </w:p>
    <w:p w14:paraId="540ED39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18.1</w:t>
      </w:r>
      <w:r>
        <w:rPr>
          <w:rFonts w:hint="eastAsia" w:ascii="仿宋" w:hAnsi="仿宋" w:eastAsia="仿宋" w:cs="仿宋"/>
          <w:color w:val="auto"/>
          <w:lang w:eastAsia="zh-CN"/>
        </w:rPr>
        <w:t>采购人将按照《中华人民共和国政府采购法实施条例》《政府采购竞争性磋商采购方式管理暂行办法》（财库〔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214</w:t>
      </w:r>
      <w:r>
        <w:rPr>
          <w:rFonts w:hint="eastAsia" w:ascii="仿宋" w:hAnsi="仿宋" w:eastAsia="仿宋" w:cs="仿宋"/>
          <w:color w:val="auto"/>
          <w:lang w:eastAsia="zh-CN"/>
        </w:rPr>
        <w:t>号）等有关规定，组建磋商小组。</w:t>
      </w:r>
    </w:p>
    <w:p w14:paraId="48B690A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18.2</w:t>
      </w:r>
      <w:r>
        <w:rPr>
          <w:rFonts w:hint="eastAsia" w:ascii="仿宋" w:hAnsi="仿宋" w:eastAsia="仿宋" w:cs="仿宋"/>
          <w:color w:val="auto"/>
          <w:lang w:eastAsia="zh-CN"/>
        </w:rPr>
        <w:t>磋商小组由采购人代表和评审专家共</w:t>
      </w:r>
      <w:r>
        <w:rPr>
          <w:rFonts w:hint="eastAsia" w:ascii="仿宋" w:hAnsi="仿宋" w:eastAsia="仿宋" w:cs="仿宋"/>
          <w:color w:val="auto"/>
        </w:rPr>
        <w:t>3</w:t>
      </w:r>
      <w:r>
        <w:rPr>
          <w:rFonts w:hint="eastAsia" w:ascii="仿宋" w:hAnsi="仿宋" w:eastAsia="仿宋" w:cs="仿宋"/>
          <w:color w:val="auto"/>
          <w:lang w:eastAsia="zh-CN"/>
        </w:rPr>
        <w:t>人以上单数组成，其中评审专家人数不得少于磋商小组成员总数的</w:t>
      </w:r>
      <w:r>
        <w:rPr>
          <w:rFonts w:hint="eastAsia" w:ascii="仿宋" w:hAnsi="仿宋" w:eastAsia="仿宋" w:cs="仿宋"/>
          <w:color w:val="auto"/>
        </w:rPr>
        <w:t>2/3</w:t>
      </w:r>
      <w:r>
        <w:rPr>
          <w:rFonts w:hint="eastAsia" w:ascii="仿宋" w:hAnsi="仿宋" w:eastAsia="仿宋" w:cs="仿宋"/>
          <w:color w:val="auto"/>
          <w:lang w:eastAsia="zh-CN"/>
        </w:rPr>
        <w:t>，评审专家从政府采购评审专家库中随机抽取产生。</w:t>
      </w:r>
    </w:p>
    <w:p w14:paraId="7073F0F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18.3</w:t>
      </w:r>
      <w:r>
        <w:rPr>
          <w:rFonts w:hint="eastAsia" w:ascii="仿宋" w:hAnsi="仿宋" w:eastAsia="仿宋" w:cs="仿宋"/>
          <w:color w:val="auto"/>
          <w:lang w:eastAsia="zh-CN"/>
        </w:rPr>
        <w:t>磋商小组负责磋商工作，对磋商响应文件进行审查和评估，并向采购人提交书面评审报告，推荐成交候选人。</w:t>
      </w:r>
    </w:p>
    <w:p w14:paraId="3AB8665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18.4</w:t>
      </w:r>
      <w:r>
        <w:rPr>
          <w:rFonts w:hint="eastAsia" w:ascii="仿宋" w:hAnsi="仿宋" w:eastAsia="仿宋" w:cs="仿宋"/>
          <w:color w:val="auto"/>
          <w:lang w:eastAsia="zh-CN"/>
        </w:rPr>
        <w:t>文件开启后，直到向成交供应商授予合同为止，与审查、澄清、评价和比较磋商的有关资料及授标意见等内容，磋商小组均不得向其他供应商及与磋商无关的人员透露。</w:t>
      </w:r>
    </w:p>
    <w:p w14:paraId="42C1178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18.5</w:t>
      </w:r>
      <w:r>
        <w:rPr>
          <w:rFonts w:hint="eastAsia" w:ascii="仿宋" w:hAnsi="仿宋" w:eastAsia="仿宋" w:cs="仿宋"/>
          <w:color w:val="auto"/>
          <w:lang w:eastAsia="zh-CN"/>
        </w:rPr>
        <w:t>参加磋商工作的所有人员应遵守《中华人民共和国政府采购法》以及国家和地方政府采购的有关规定，严格保密，确保竞争性磋商工作公平、公正，任何单位和个人不得无理干预磋商小组的正常工作。</w:t>
      </w:r>
    </w:p>
    <w:p w14:paraId="5A337B9E">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19.磋商办法及内容</w:t>
      </w:r>
    </w:p>
    <w:p w14:paraId="25F5BC5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19.1</w:t>
      </w:r>
      <w:r>
        <w:rPr>
          <w:rFonts w:hint="eastAsia" w:ascii="仿宋" w:hAnsi="仿宋" w:eastAsia="仿宋" w:cs="仿宋"/>
          <w:color w:val="auto"/>
          <w:lang w:eastAsia="zh-CN"/>
        </w:rPr>
        <w:t>磋商原则：（</w:t>
      </w:r>
      <w:r>
        <w:rPr>
          <w:rFonts w:hint="eastAsia" w:ascii="仿宋" w:hAnsi="仿宋" w:eastAsia="仿宋" w:cs="仿宋"/>
          <w:color w:val="auto"/>
        </w:rPr>
        <w:t>1</w:t>
      </w:r>
      <w:r>
        <w:rPr>
          <w:rFonts w:hint="eastAsia" w:ascii="仿宋" w:hAnsi="仿宋" w:eastAsia="仿宋" w:cs="仿宋"/>
          <w:color w:val="auto"/>
          <w:lang w:eastAsia="zh-CN"/>
        </w:rPr>
        <w:t>）坚持磋商机会均等，信息公开，公平竞争的原则；（</w:t>
      </w:r>
      <w:r>
        <w:rPr>
          <w:rFonts w:hint="eastAsia" w:ascii="仿宋" w:hAnsi="仿宋" w:eastAsia="仿宋" w:cs="仿宋"/>
          <w:color w:val="auto"/>
        </w:rPr>
        <w:t>2</w:t>
      </w:r>
      <w:r>
        <w:rPr>
          <w:rFonts w:hint="eastAsia" w:ascii="仿宋" w:hAnsi="仿宋" w:eastAsia="仿宋" w:cs="仿宋"/>
          <w:color w:val="auto"/>
          <w:lang w:eastAsia="zh-CN"/>
        </w:rPr>
        <w:t>）坚持竞争性、经济实效性和公平性原则；（</w:t>
      </w:r>
      <w:r>
        <w:rPr>
          <w:rFonts w:hint="eastAsia" w:ascii="仿宋" w:hAnsi="仿宋" w:eastAsia="仿宋" w:cs="仿宋"/>
          <w:color w:val="auto"/>
        </w:rPr>
        <w:t>3</w:t>
      </w:r>
      <w:r>
        <w:rPr>
          <w:rFonts w:hint="eastAsia" w:ascii="仿宋" w:hAnsi="仿宋" w:eastAsia="仿宋" w:cs="仿宋"/>
          <w:color w:val="auto"/>
          <w:lang w:eastAsia="zh-CN"/>
        </w:rPr>
        <w:t>）综合评估，择优选择资质齐全、业绩较好服务有保证的成交单位。</w:t>
      </w:r>
    </w:p>
    <w:p w14:paraId="0F7A341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19.2</w:t>
      </w:r>
      <w:r>
        <w:rPr>
          <w:rFonts w:hint="eastAsia" w:ascii="仿宋" w:hAnsi="仿宋" w:eastAsia="仿宋" w:cs="仿宋"/>
          <w:color w:val="auto"/>
          <w:lang w:eastAsia="zh-CN"/>
        </w:rPr>
        <w:t>磋商程序：磋商的全过程分为资格性审查、符合性审查、第一次报价（磋商响应文件上的报价）、磋商过程、最后报价、最终评审等阶段。磋商报价依据《陕西省财政厅关于政府采购有关问题的通知》（陕财办采资〔2016〕53号）第六条规定，在每轮磋商结束时对供应商的报价均不予公布。</w:t>
      </w:r>
    </w:p>
    <w:p w14:paraId="649230F3">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20.响应文件的初审</w:t>
      </w:r>
    </w:p>
    <w:p w14:paraId="7EEAB38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20.1</w:t>
      </w:r>
      <w:r>
        <w:rPr>
          <w:rFonts w:hint="eastAsia" w:ascii="仿宋" w:hAnsi="仿宋" w:eastAsia="仿宋" w:cs="仿宋"/>
          <w:color w:val="auto"/>
          <w:lang w:eastAsia="zh-CN"/>
        </w:rPr>
        <w:t>初审分为资格性审查和符合性审查。</w:t>
      </w:r>
    </w:p>
    <w:p w14:paraId="6D94B93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20.2</w:t>
      </w:r>
      <w:r>
        <w:rPr>
          <w:rFonts w:hint="eastAsia" w:ascii="仿宋" w:hAnsi="仿宋" w:eastAsia="仿宋" w:cs="仿宋"/>
          <w:color w:val="auto"/>
          <w:lang w:eastAsia="zh-CN"/>
        </w:rPr>
        <w:t>资格性审查：依据磋商文件的规定，磋商小组对磋商响应文件的有效性、完整性和响应程度进行审查，出现下列情况的按无效文件处理：</w:t>
      </w:r>
    </w:p>
    <w:p w14:paraId="4D5F536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）本次磋商所要求的必备资质证明文件，缺其中一项或某项达不到磋商要求；（</w:t>
      </w:r>
      <w:r>
        <w:rPr>
          <w:rFonts w:hint="eastAsia" w:ascii="仿宋" w:hAnsi="仿宋" w:eastAsia="仿宋" w:cs="仿宋"/>
          <w:color w:val="auto"/>
        </w:rPr>
        <w:t>2</w:t>
      </w:r>
      <w:r>
        <w:rPr>
          <w:rFonts w:hint="eastAsia" w:ascii="仿宋" w:hAnsi="仿宋" w:eastAsia="仿宋" w:cs="仿宋"/>
          <w:color w:val="auto"/>
          <w:lang w:eastAsia="zh-CN"/>
        </w:rPr>
        <w:t>）各供应商未经过正常渠道下载竞争性磋商文件，或参加磋商的各供应商名称与下载磋商文件时登记的单位名称不符；（</w:t>
      </w:r>
      <w:r>
        <w:rPr>
          <w:rFonts w:hint="eastAsia" w:ascii="仿宋" w:hAnsi="仿宋" w:eastAsia="仿宋" w:cs="仿宋"/>
          <w:color w:val="auto"/>
        </w:rPr>
        <w:t>3</w:t>
      </w:r>
      <w:r>
        <w:rPr>
          <w:rFonts w:hint="eastAsia" w:ascii="仿宋" w:hAnsi="仿宋" w:eastAsia="仿宋" w:cs="仿宋"/>
          <w:color w:val="auto"/>
          <w:lang w:eastAsia="zh-CN"/>
        </w:rPr>
        <w:t>）供应商未提供法定代表人授权书（法定代表人直接参加磋商的除外）或授权书不符合竞争性磋商文件要求的；（</w:t>
      </w:r>
      <w:r>
        <w:rPr>
          <w:rFonts w:hint="eastAsia" w:ascii="仿宋" w:hAnsi="仿宋" w:eastAsia="仿宋" w:cs="仿宋"/>
          <w:color w:val="auto"/>
        </w:rPr>
        <w:t>4</w:t>
      </w:r>
      <w:r>
        <w:rPr>
          <w:rFonts w:hint="eastAsia" w:ascii="仿宋" w:hAnsi="仿宋" w:eastAsia="仿宋" w:cs="仿宋"/>
          <w:color w:val="auto"/>
          <w:lang w:eastAsia="zh-CN"/>
        </w:rPr>
        <w:t>）响应文件要求加盖供应商公章或签字处未执行文件规定、响应文件有效期或有效期未能达到竞争性磋商文件的要求的；（</w:t>
      </w:r>
      <w:r>
        <w:rPr>
          <w:rFonts w:hint="eastAsia" w:ascii="仿宋" w:hAnsi="仿宋" w:eastAsia="仿宋" w:cs="仿宋"/>
          <w:color w:val="auto"/>
        </w:rPr>
        <w:t>5</w:t>
      </w:r>
      <w:r>
        <w:rPr>
          <w:rFonts w:hint="eastAsia" w:ascii="仿宋" w:hAnsi="仿宋" w:eastAsia="仿宋" w:cs="仿宋"/>
          <w:color w:val="auto"/>
          <w:lang w:eastAsia="zh-CN"/>
        </w:rPr>
        <w:t>）提供虚假证明（包括第三方提供的虚假证明、证件），开具虚假业绩；（</w:t>
      </w:r>
      <w:r>
        <w:rPr>
          <w:rFonts w:hint="eastAsia" w:ascii="仿宋" w:hAnsi="仿宋" w:eastAsia="仿宋" w:cs="仿宋"/>
          <w:color w:val="auto"/>
        </w:rPr>
        <w:t>6</w:t>
      </w:r>
      <w:r>
        <w:rPr>
          <w:rFonts w:hint="eastAsia" w:ascii="仿宋" w:hAnsi="仿宋" w:eastAsia="仿宋" w:cs="仿宋"/>
          <w:color w:val="auto"/>
          <w:lang w:eastAsia="zh-CN"/>
        </w:rPr>
        <w:t>）磋商方案出现严重漏项，可能会影响到项目实施；（</w:t>
      </w:r>
      <w:r>
        <w:rPr>
          <w:rFonts w:hint="eastAsia" w:ascii="仿宋" w:hAnsi="仿宋" w:eastAsia="仿宋" w:cs="仿宋"/>
          <w:color w:val="auto"/>
        </w:rPr>
        <w:t>7</w:t>
      </w:r>
      <w:r>
        <w:rPr>
          <w:rFonts w:hint="eastAsia" w:ascii="仿宋" w:hAnsi="仿宋" w:eastAsia="仿宋" w:cs="仿宋"/>
          <w:color w:val="auto"/>
          <w:lang w:eastAsia="zh-CN"/>
        </w:rPr>
        <w:t>）供应商针对同一项目报价或投标方案不是固定的、唯一的；（</w:t>
      </w:r>
      <w:r>
        <w:rPr>
          <w:rFonts w:hint="eastAsia" w:ascii="仿宋" w:hAnsi="仿宋" w:eastAsia="仿宋" w:cs="仿宋"/>
          <w:color w:val="auto"/>
        </w:rPr>
        <w:t>8</w:t>
      </w:r>
      <w:r>
        <w:rPr>
          <w:rFonts w:hint="eastAsia" w:ascii="仿宋" w:hAnsi="仿宋" w:eastAsia="仿宋" w:cs="仿宋"/>
          <w:color w:val="auto"/>
          <w:lang w:eastAsia="zh-CN"/>
        </w:rPr>
        <w:t>）在重大项目履约过程中有不良记录，不能按期履约；（</w:t>
      </w:r>
      <w:r>
        <w:rPr>
          <w:rFonts w:hint="eastAsia" w:ascii="仿宋" w:hAnsi="仿宋" w:eastAsia="仿宋" w:cs="仿宋"/>
          <w:color w:val="auto"/>
        </w:rPr>
        <w:t>9</w:t>
      </w:r>
      <w:r>
        <w:rPr>
          <w:rFonts w:hint="eastAsia" w:ascii="仿宋" w:hAnsi="仿宋" w:eastAsia="仿宋" w:cs="仿宋"/>
          <w:color w:val="auto"/>
          <w:lang w:eastAsia="zh-CN"/>
        </w:rPr>
        <w:t>）响应文件附有采购人不能接受的条件。</w:t>
      </w:r>
    </w:p>
    <w:tbl>
      <w:tblPr>
        <w:tblStyle w:val="36"/>
        <w:tblW w:w="8528" w:type="dxa"/>
        <w:jc w:val="center"/>
        <w:tblLayout w:type="autofit"/>
        <w:tblCellMar>
          <w:top w:w="0" w:type="dxa"/>
          <w:left w:w="108" w:type="dxa"/>
          <w:bottom w:w="0" w:type="dxa"/>
          <w:right w:w="108" w:type="dxa"/>
        </w:tblCellMar>
      </w:tblPr>
      <w:tblGrid>
        <w:gridCol w:w="926"/>
        <w:gridCol w:w="7602"/>
      </w:tblGrid>
      <w:tr w14:paraId="68B8CF82">
        <w:trPr>
          <w:trHeight w:val="0" w:hRule="atLeast"/>
          <w:tblHeader/>
          <w:jc w:val="center"/>
        </w:trPr>
        <w:tc>
          <w:tcPr>
            <w:tcW w:w="926"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8966E5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序号</w:t>
            </w:r>
          </w:p>
        </w:tc>
        <w:tc>
          <w:tcPr>
            <w:tcW w:w="7602" w:type="dxa"/>
            <w:tcBorders>
              <w:top w:val="single" w:color="000000" w:sz="4" w:space="0"/>
              <w:left w:val="single" w:color="000000" w:sz="4" w:space="0"/>
              <w:bottom w:val="nil"/>
              <w:right w:val="single" w:color="000000" w:sz="4" w:space="0"/>
            </w:tcBorders>
            <w:shd w:val="clear" w:color="auto" w:fill="F0F0F0"/>
            <w:noWrap w:val="0"/>
            <w:tcMar>
              <w:top w:w="80" w:type="dxa"/>
              <w:left w:w="100" w:type="dxa"/>
              <w:bottom w:w="80" w:type="dxa"/>
              <w:right w:w="100" w:type="dxa"/>
            </w:tcMar>
            <w:vAlign w:val="center"/>
          </w:tcPr>
          <w:p w14:paraId="6386086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审查因素</w:t>
            </w:r>
          </w:p>
        </w:tc>
      </w:tr>
      <w:tr w14:paraId="6EDC83B5">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B1FE85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5A6EBD8B">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具有独立承担民事责任能力的法人、其他组织或自然人，并出具合法有效的营业执照或事业单位法人证书等国家规定的相关证明资料，自然人参与的提供其身份证明</w:t>
            </w:r>
          </w:p>
        </w:tc>
      </w:tr>
      <w:tr w14:paraId="22A6B356">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68E74A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2</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705D674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lang w:eastAsia="zh-CN"/>
              </w:rPr>
            </w:pPr>
            <w:r>
              <w:rPr>
                <w:rFonts w:hint="eastAsia" w:ascii="仿宋" w:hAnsi="仿宋" w:eastAsia="仿宋" w:cs="仿宋"/>
                <w:color w:val="auto"/>
              </w:rPr>
              <w:t>法定代表人授权书和被授权人的身份证；法定代表人参加磋商时，须提供本人身份证原件</w:t>
            </w:r>
            <w:r>
              <w:rPr>
                <w:rFonts w:hint="eastAsia" w:ascii="仿宋" w:hAnsi="仿宋" w:eastAsia="仿宋" w:cs="仿宋"/>
                <w:color w:val="auto"/>
                <w:lang w:val="en-US" w:eastAsia="zh-CN"/>
              </w:rPr>
              <w:t>扫描件</w:t>
            </w:r>
          </w:p>
        </w:tc>
      </w:tr>
      <w:tr w14:paraId="164B0ABF">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2794B22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3</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43AF12CE">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财务状况报告：提供2025年经审计的财务审计报告（成立时间至提交磋商响应文件截止时间不足一年的可提供成立后任意时段的资产负债表）或开标前6个月内其基本账户开户银行出具的资信证明</w:t>
            </w:r>
          </w:p>
        </w:tc>
      </w:tr>
      <w:tr w14:paraId="72C32319">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267D4FBF">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4</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70FF390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税收缴纳证明：提供递交响应文件截止之日前半年内已缴纳的任意一个月的纳税证明或完税证明（纳税证明或完税证明上应有代收机构或税务机关的公章或业务章），依法免税的单位应提供相关证明材料</w:t>
            </w:r>
          </w:p>
        </w:tc>
      </w:tr>
      <w:tr w14:paraId="152B38A1">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D51B90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5</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3028D40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社会保障资金缴纳证明：提供递交响应文件截止之日前半年内已缴纳的任意一个月的社会保障资金缴存单据或社保机构开具的社会保险参保缴费情况证明，依法不需要缴纳社会保障资金的应提供相关证明材料</w:t>
            </w:r>
          </w:p>
        </w:tc>
      </w:tr>
      <w:tr w14:paraId="00BCBCFA">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2FD5669">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6</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30420E2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书面声明：参加本次政府采购活动前三年内在经营活动中没有重大违法记录，以及未被列入失信被执行人、重大税收违法失信主体、政府采购严重违法失信行为记录名单的书面声明（最终结果以开标现场在信用中国及中国政府采购网查询公示结果为准）</w:t>
            </w:r>
          </w:p>
        </w:tc>
      </w:tr>
      <w:tr w14:paraId="0715244E">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318C80C">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7</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77F1EEDC">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供应商应具有履行本合同所必需的设备和专业技术能力的证明，须附相关证明材料或书面声明</w:t>
            </w:r>
          </w:p>
        </w:tc>
      </w:tr>
      <w:tr w14:paraId="656F38F1">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4A2646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8</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2C95971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供应商须具备建设行政主管部门核发的工程监理综合资质或市政公用工程监理乙级及以上资质</w:t>
            </w:r>
          </w:p>
        </w:tc>
      </w:tr>
      <w:tr w14:paraId="5ED8616E">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4C95BCF">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9</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1818C85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拟派总监理工程师具备有效的市政公用工程专业注册监理工程师资格，须在本单位注册且在监工程不得超过2个</w:t>
            </w:r>
          </w:p>
        </w:tc>
      </w:tr>
      <w:tr w14:paraId="0F7DC584">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273E24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10</w:t>
            </w:r>
          </w:p>
        </w:tc>
        <w:tc>
          <w:tcPr>
            <w:tcW w:w="760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753E578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本项目专门面向中小企业采购，供应商应为中型企业、小型企业、微型企业或监狱企业或残疾人福利性单位，应提供中小企业声明函（残疾人福利性单位提供《残疾人福利性单位声明函》；监狱企业提供省级以上监狱管理局、戒毒管理局（含新疆生产建设兵团）出具的证明文件）</w:t>
            </w:r>
          </w:p>
        </w:tc>
      </w:tr>
      <w:tr w14:paraId="4950C79B">
        <w:tblPrEx>
          <w:tblCellMar>
            <w:top w:w="0" w:type="dxa"/>
            <w:left w:w="108" w:type="dxa"/>
            <w:bottom w:w="0" w:type="dxa"/>
            <w:right w:w="108" w:type="dxa"/>
          </w:tblCellMar>
        </w:tblPrEx>
        <w:trPr>
          <w:trHeight w:val="0" w:hRule="atLeast"/>
          <w:jc w:val="center"/>
        </w:trPr>
        <w:tc>
          <w:tcPr>
            <w:tcW w:w="92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025F081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11</w:t>
            </w:r>
          </w:p>
        </w:tc>
        <w:tc>
          <w:tcPr>
            <w:tcW w:w="7602" w:type="dxa"/>
            <w:tcBorders>
              <w:top w:val="single" w:color="000000" w:sz="4" w:space="0"/>
              <w:left w:val="single" w:color="000000" w:sz="4" w:space="0"/>
              <w:bottom w:val="single" w:color="000000" w:sz="4" w:space="0"/>
              <w:right w:val="single" w:color="000000" w:sz="4" w:space="0"/>
            </w:tcBorders>
            <w:noWrap w:val="0"/>
            <w:tcMar>
              <w:top w:w="80" w:type="dxa"/>
              <w:left w:w="100" w:type="dxa"/>
              <w:bottom w:w="80" w:type="dxa"/>
              <w:right w:w="100" w:type="dxa"/>
            </w:tcMar>
            <w:vAlign w:val="center"/>
          </w:tcPr>
          <w:p w14:paraId="6E5C15A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本项目不接受联合体投标</w:t>
            </w:r>
          </w:p>
        </w:tc>
      </w:tr>
    </w:tbl>
    <w:p w14:paraId="1A2F746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注：以上资格性审查内容，不得缺项。必备资质中缺一项或某项达不到要求，按无效响应处理，且不得进入下一轮评审。</w:t>
      </w:r>
    </w:p>
    <w:p w14:paraId="60CAD13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20.3</w:t>
      </w:r>
      <w:r>
        <w:rPr>
          <w:rFonts w:hint="eastAsia" w:ascii="仿宋" w:hAnsi="仿宋" w:eastAsia="仿宋" w:cs="仿宋"/>
          <w:color w:val="auto"/>
          <w:lang w:eastAsia="zh-CN"/>
        </w:rPr>
        <w:t>符合性审查：依据磋商文件规定，从响应文件的有效性、完整性和对磋商文件的响应程度进行审查，以确定是否对磋商文件的实质性内容做出响应。</w:t>
      </w:r>
    </w:p>
    <w:tbl>
      <w:tblPr>
        <w:tblStyle w:val="36"/>
        <w:tblW w:w="8528" w:type="dxa"/>
        <w:jc w:val="center"/>
        <w:tblLayout w:type="autofit"/>
        <w:tblCellMar>
          <w:top w:w="0" w:type="dxa"/>
          <w:left w:w="108" w:type="dxa"/>
          <w:bottom w:w="0" w:type="dxa"/>
          <w:right w:w="108" w:type="dxa"/>
        </w:tblCellMar>
      </w:tblPr>
      <w:tblGrid>
        <w:gridCol w:w="928"/>
        <w:gridCol w:w="2838"/>
        <w:gridCol w:w="4762"/>
      </w:tblGrid>
      <w:tr w14:paraId="0794CD1C">
        <w:tblPrEx>
          <w:tblCellMar>
            <w:top w:w="0" w:type="dxa"/>
            <w:left w:w="108" w:type="dxa"/>
            <w:bottom w:w="0" w:type="dxa"/>
            <w:right w:w="108" w:type="dxa"/>
          </w:tblCellMar>
        </w:tblPrEx>
        <w:trPr>
          <w:trHeight w:val="0" w:hRule="atLeast"/>
          <w:tblHeader/>
          <w:jc w:val="center"/>
        </w:trPr>
        <w:tc>
          <w:tcPr>
            <w:tcW w:w="928"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18CEDF32">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序号</w:t>
            </w:r>
          </w:p>
        </w:tc>
        <w:tc>
          <w:tcPr>
            <w:tcW w:w="2838"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82EC424">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审查因素</w:t>
            </w:r>
          </w:p>
        </w:tc>
        <w:tc>
          <w:tcPr>
            <w:tcW w:w="4762" w:type="dxa"/>
            <w:tcBorders>
              <w:top w:val="single" w:color="000000" w:sz="4" w:space="0"/>
              <w:left w:val="single" w:color="000000" w:sz="4" w:space="0"/>
              <w:bottom w:val="nil"/>
              <w:right w:val="single" w:color="000000" w:sz="4" w:space="0"/>
            </w:tcBorders>
            <w:shd w:val="clear" w:color="auto" w:fill="F0F0F0"/>
            <w:noWrap w:val="0"/>
            <w:tcMar>
              <w:top w:w="80" w:type="dxa"/>
              <w:left w:w="100" w:type="dxa"/>
              <w:bottom w:w="80" w:type="dxa"/>
              <w:right w:w="100" w:type="dxa"/>
            </w:tcMar>
            <w:vAlign w:val="center"/>
          </w:tcPr>
          <w:p w14:paraId="4DDF404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审查标准</w:t>
            </w:r>
          </w:p>
        </w:tc>
      </w:tr>
      <w:tr w14:paraId="1EFBCA42">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427412E9">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1</w:t>
            </w:r>
          </w:p>
        </w:tc>
        <w:tc>
          <w:tcPr>
            <w:tcW w:w="283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AA1C69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供应商名称</w:t>
            </w:r>
          </w:p>
        </w:tc>
        <w:tc>
          <w:tcPr>
            <w:tcW w:w="476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6D3D5C0B">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供应商名称与营业执照（统一社会信用代码）一致</w:t>
            </w:r>
          </w:p>
        </w:tc>
      </w:tr>
      <w:tr w14:paraId="34F9E93C">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1B0658B">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2</w:t>
            </w:r>
          </w:p>
        </w:tc>
        <w:tc>
          <w:tcPr>
            <w:tcW w:w="283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49A6E6F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响应文件标注、签字、盖章</w:t>
            </w:r>
          </w:p>
        </w:tc>
        <w:tc>
          <w:tcPr>
            <w:tcW w:w="476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02A5FE3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符合磋商文件要求</w:t>
            </w:r>
          </w:p>
        </w:tc>
      </w:tr>
      <w:tr w14:paraId="79FBD17C">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7440CCE">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3</w:t>
            </w:r>
          </w:p>
        </w:tc>
        <w:tc>
          <w:tcPr>
            <w:tcW w:w="283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946702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响应文件格式</w:t>
            </w:r>
          </w:p>
        </w:tc>
        <w:tc>
          <w:tcPr>
            <w:tcW w:w="476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355E5E2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符合磋商文件要求</w:t>
            </w:r>
          </w:p>
        </w:tc>
      </w:tr>
      <w:tr w14:paraId="7A08E768">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390C7E5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4</w:t>
            </w:r>
          </w:p>
        </w:tc>
        <w:tc>
          <w:tcPr>
            <w:tcW w:w="283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92B0CE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报价唯一</w:t>
            </w:r>
          </w:p>
        </w:tc>
        <w:tc>
          <w:tcPr>
            <w:tcW w:w="476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4A208AE4">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只能有一个有效报价</w:t>
            </w:r>
          </w:p>
        </w:tc>
      </w:tr>
      <w:tr w14:paraId="15845917">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E873F1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5</w:t>
            </w:r>
          </w:p>
        </w:tc>
        <w:tc>
          <w:tcPr>
            <w:tcW w:w="2838"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440C084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响应内容</w:t>
            </w:r>
          </w:p>
        </w:tc>
        <w:tc>
          <w:tcPr>
            <w:tcW w:w="4762" w:type="dxa"/>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43E06F3F">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符合磋商文件规定</w:t>
            </w:r>
          </w:p>
        </w:tc>
      </w:tr>
      <w:tr w14:paraId="5FD882A8">
        <w:tblPrEx>
          <w:tblCellMar>
            <w:top w:w="0" w:type="dxa"/>
            <w:left w:w="108" w:type="dxa"/>
            <w:bottom w:w="0" w:type="dxa"/>
            <w:right w:w="108" w:type="dxa"/>
          </w:tblCellMar>
        </w:tblPrEx>
        <w:trPr>
          <w:trHeight w:val="0" w:hRule="atLeast"/>
          <w:jc w:val="center"/>
        </w:trPr>
        <w:tc>
          <w:tcPr>
            <w:tcW w:w="928"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561EE24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r>
              <w:rPr>
                <w:rFonts w:hint="eastAsia" w:ascii="仿宋" w:hAnsi="仿宋" w:eastAsia="仿宋" w:cs="仿宋"/>
                <w:color w:val="auto"/>
              </w:rPr>
              <w:t>6</w:t>
            </w:r>
          </w:p>
        </w:tc>
        <w:tc>
          <w:tcPr>
            <w:tcW w:w="2838"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0B6CA9E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响应有效期</w:t>
            </w:r>
          </w:p>
        </w:tc>
        <w:tc>
          <w:tcPr>
            <w:tcW w:w="4762" w:type="dxa"/>
            <w:tcBorders>
              <w:top w:val="single" w:color="000000" w:sz="4" w:space="0"/>
              <w:left w:val="single" w:color="000000" w:sz="4" w:space="0"/>
              <w:bottom w:val="single" w:color="000000" w:sz="4" w:space="0"/>
              <w:right w:val="single" w:color="000000" w:sz="4" w:space="0"/>
            </w:tcBorders>
            <w:noWrap w:val="0"/>
            <w:tcMar>
              <w:top w:w="80" w:type="dxa"/>
              <w:left w:w="100" w:type="dxa"/>
              <w:bottom w:w="80" w:type="dxa"/>
              <w:right w:w="100" w:type="dxa"/>
            </w:tcMar>
            <w:vAlign w:val="center"/>
          </w:tcPr>
          <w:p w14:paraId="4E056C5E">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符合磋商文件规定</w:t>
            </w:r>
          </w:p>
        </w:tc>
      </w:tr>
    </w:tbl>
    <w:p w14:paraId="7FFC359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注：按照审查因素中的要求逐项审查，某项达不到要求，按无效文件处理。</w:t>
      </w:r>
    </w:p>
    <w:p w14:paraId="6D09DBF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20.4</w:t>
      </w:r>
      <w:r>
        <w:rPr>
          <w:rFonts w:hint="eastAsia" w:ascii="仿宋" w:hAnsi="仿宋" w:eastAsia="仿宋" w:cs="仿宋"/>
          <w:color w:val="auto"/>
          <w:lang w:eastAsia="zh-CN"/>
        </w:rPr>
        <w:t>所谓实质上响应，是指响应文件应与磋商文件的所有实质性条款、条件和要求相符，无显著差异或保留；或者对合同中约定的采购人的权利和供应商的义务方面造成重大的限制，纠正这些显著差异或保留其重大的限制将会对其他实质上响应磋商文件要求的供应商的竞争地位产生不公正的影响。如果响应文件实质上不响应磋商文件的各项要求，或响应文件的内容与磋商文件的要求有重大偏差，经磋商小组认定，供应商不得进入下一步评审，并且不允许供应商通过修改或撤销其不符合要求的差异或保留，使之成为具有响应性的响应。</w:t>
      </w:r>
    </w:p>
    <w:p w14:paraId="5A991EB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20.5</w:t>
      </w:r>
      <w:r>
        <w:rPr>
          <w:rFonts w:hint="eastAsia" w:ascii="仿宋" w:hAnsi="仿宋" w:eastAsia="仿宋" w:cs="仿宋"/>
          <w:color w:val="auto"/>
          <w:lang w:eastAsia="zh-CN"/>
        </w:rPr>
        <w:t>磋商小组在对磋商响应文件的有效性、完整性和响应程度进行审查时，可以要求供应商对磋商响应文件中含义不明确、同类问题表述不一致或者有明显文字和计算错误的内容等做出必要的澄清、说明或者更正。供应商的澄清、说明或者更正不得超出磋商响应文件的范围或者改变磋商响应文件的实质性内容。磋商小组要求供应商澄清、说明或者更正磋商响应文件应当以书面形式做出。供应商的澄清、说明或者更正应当由法定代表人或其授权代表签字或者加盖公章。由授权代表签字的，应当附法定代表人授权书。供应商为自然人的，应由本人签字并附身份证明。</w:t>
      </w:r>
    </w:p>
    <w:p w14:paraId="57BA24E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20.6</w:t>
      </w:r>
      <w:r>
        <w:rPr>
          <w:rFonts w:hint="eastAsia" w:ascii="仿宋" w:hAnsi="仿宋" w:eastAsia="仿宋" w:cs="仿宋"/>
          <w:color w:val="auto"/>
          <w:lang w:eastAsia="zh-CN"/>
        </w:rPr>
        <w:t>异常低价审查：依据《财政部关于推动解决政府采购异常低价问题的通知》（财库〔</w:t>
      </w:r>
      <w:r>
        <w:rPr>
          <w:rFonts w:hint="eastAsia" w:ascii="仿宋" w:hAnsi="仿宋" w:eastAsia="仿宋" w:cs="仿宋"/>
          <w:color w:val="auto"/>
        </w:rPr>
        <w:t>2026</w:t>
      </w: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号，自</w:t>
      </w: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rPr>
        <w:t>2</w:t>
      </w:r>
      <w:r>
        <w:rPr>
          <w:rFonts w:hint="eastAsia" w:ascii="仿宋" w:hAnsi="仿宋" w:eastAsia="仿宋" w:cs="仿宋"/>
          <w:color w:val="auto"/>
          <w:lang w:eastAsia="zh-CN"/>
        </w:rPr>
        <w:t>月</w:t>
      </w:r>
      <w:r>
        <w:rPr>
          <w:rFonts w:hint="eastAsia" w:ascii="仿宋" w:hAnsi="仿宋" w:eastAsia="仿宋" w:cs="仿宋"/>
          <w:color w:val="auto"/>
        </w:rPr>
        <w:t>1</w:t>
      </w:r>
      <w:r>
        <w:rPr>
          <w:rFonts w:hint="eastAsia" w:ascii="仿宋" w:hAnsi="仿宋" w:eastAsia="仿宋" w:cs="仿宋"/>
          <w:color w:val="auto"/>
          <w:lang w:eastAsia="zh-CN"/>
        </w:rPr>
        <w:t>日起施行），磋商小组发现供应商最后报价出现下列情形之一的，应当启动异常低价审查程序：（</w:t>
      </w:r>
      <w:r>
        <w:rPr>
          <w:rFonts w:hint="eastAsia" w:ascii="仿宋" w:hAnsi="仿宋" w:eastAsia="仿宋" w:cs="仿宋"/>
          <w:color w:val="auto"/>
        </w:rPr>
        <w:t>1</w:t>
      </w:r>
      <w:r>
        <w:rPr>
          <w:rFonts w:hint="eastAsia" w:ascii="仿宋" w:hAnsi="仿宋" w:eastAsia="仿宋" w:cs="仿宋"/>
          <w:color w:val="auto"/>
          <w:lang w:eastAsia="zh-CN"/>
        </w:rPr>
        <w:t>）报价低于通过符合性审查的其他供应商报价算术平均值的</w:t>
      </w:r>
      <w:r>
        <w:rPr>
          <w:rFonts w:hint="eastAsia" w:ascii="仿宋" w:hAnsi="仿宋" w:eastAsia="仿宋" w:cs="仿宋"/>
          <w:color w:val="auto"/>
        </w:rPr>
        <w:t>50%</w:t>
      </w: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）报价低于通过符合性审查的其他供应商报价次低价的</w:t>
      </w:r>
      <w:r>
        <w:rPr>
          <w:rFonts w:hint="eastAsia" w:ascii="仿宋" w:hAnsi="仿宋" w:eastAsia="仿宋" w:cs="仿宋"/>
          <w:color w:val="auto"/>
        </w:rPr>
        <w:t>50%</w:t>
      </w: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）报价低于本项目最高限价的</w:t>
      </w:r>
      <w:r>
        <w:rPr>
          <w:rFonts w:hint="eastAsia" w:ascii="仿宋" w:hAnsi="仿宋" w:eastAsia="仿宋" w:cs="仿宋"/>
          <w:color w:val="auto"/>
        </w:rPr>
        <w:t>45%</w:t>
      </w: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）磋商小组基于专业知识、采购需求、市场行情等专业判断认为报价明显异常，可能影响产品质量或者不能诚信履约的。被启动审查的供应商应当在磋商小组规定的合理时间（不少于</w:t>
      </w:r>
      <w:r>
        <w:rPr>
          <w:rFonts w:hint="eastAsia" w:ascii="仿宋" w:hAnsi="仿宋" w:eastAsia="仿宋" w:cs="仿宋"/>
          <w:color w:val="auto"/>
        </w:rPr>
        <w:t>30</w:t>
      </w:r>
      <w:r>
        <w:rPr>
          <w:rFonts w:hint="eastAsia" w:ascii="仿宋" w:hAnsi="仿宋" w:eastAsia="仿宋" w:cs="仿宋"/>
          <w:color w:val="auto"/>
          <w:lang w:eastAsia="zh-CN"/>
        </w:rPr>
        <w:t>分钟）内提供书面说明并提交相关证明材料（含成本测算依据）；供应商不能证明其报价合理性的，磋商小组应当将其响应作为无效处理。启动异常低价审查的原因、审查过程、审查意见及审查结果应当记入评审报告并存档备查。</w:t>
      </w:r>
    </w:p>
    <w:p w14:paraId="353C92C2">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21.磋商过程</w:t>
      </w:r>
    </w:p>
    <w:p w14:paraId="6BEEA2F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21.1</w:t>
      </w:r>
      <w:r>
        <w:rPr>
          <w:rFonts w:hint="eastAsia" w:ascii="仿宋" w:hAnsi="仿宋" w:eastAsia="仿宋" w:cs="仿宋"/>
          <w:color w:val="auto"/>
          <w:lang w:eastAsia="zh-CN"/>
        </w:rPr>
        <w:t>磋商小组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14:paraId="0C7A9B0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21.2</w:t>
      </w:r>
      <w:r>
        <w:rPr>
          <w:rFonts w:hint="eastAsia" w:ascii="仿宋" w:hAnsi="仿宋" w:eastAsia="仿宋" w:cs="仿宋"/>
          <w:color w:val="auto"/>
          <w:lang w:eastAsia="zh-CN"/>
        </w:rPr>
        <w:t>对磋商文件作出的实质性变动是磋商文件的有效组成部分，磋商小组以书面形式同时通知所有参加磋商的供应商。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22CF774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21.3</w:t>
      </w:r>
      <w:r>
        <w:rPr>
          <w:rFonts w:hint="eastAsia" w:ascii="仿宋" w:hAnsi="仿宋" w:eastAsia="仿宋" w:cs="仿宋"/>
          <w:color w:val="auto"/>
          <w:lang w:eastAsia="zh-CN"/>
        </w:rPr>
        <w:t>最终报价：磋商文件能够详细列明采购项目的技术、服务要求的，磋商结束后，所有实质性响应的供应商应在规定时间内提交最后报价。最后报价是供应商磋商响应文件的有效组成部分。</w:t>
      </w:r>
    </w:p>
    <w:p w14:paraId="5B06A09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22.磋商响应文件的详细评审</w:t>
      </w:r>
    </w:p>
    <w:p w14:paraId="1837D0B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22.1</w:t>
      </w:r>
      <w:r>
        <w:rPr>
          <w:rFonts w:hint="eastAsia" w:ascii="仿宋" w:hAnsi="仿宋" w:eastAsia="仿宋" w:cs="仿宋"/>
          <w:color w:val="auto"/>
          <w:lang w:eastAsia="zh-CN"/>
        </w:rPr>
        <w:t>经磋商确定最终采购需求和供应商提交最终报价后，由磋商小组采用综合评分法对提交最后报价的供应商的磋商响应文件和最后报价进行综合评分。</w:t>
      </w:r>
    </w:p>
    <w:p w14:paraId="71C8570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22.2</w:t>
      </w:r>
      <w:r>
        <w:rPr>
          <w:rFonts w:hint="eastAsia" w:ascii="仿宋" w:hAnsi="仿宋" w:eastAsia="仿宋" w:cs="仿宋"/>
          <w:color w:val="auto"/>
          <w:lang w:eastAsia="zh-CN"/>
        </w:rPr>
        <w:t>评价和比较以磋商响应文件为依据，对所有实质上响应的响应文件分别从最终报价、类似业绩、</w:t>
      </w:r>
      <w:r>
        <w:rPr>
          <w:rFonts w:hint="eastAsia" w:ascii="仿宋" w:hAnsi="仿宋" w:eastAsia="仿宋" w:cs="仿宋"/>
          <w:color w:val="auto"/>
          <w:lang w:val="en-US" w:eastAsia="zh-CN"/>
        </w:rPr>
        <w:t>服务</w:t>
      </w:r>
      <w:r>
        <w:rPr>
          <w:rFonts w:hint="eastAsia" w:ascii="仿宋" w:hAnsi="仿宋" w:eastAsia="仿宋" w:cs="仿宋"/>
          <w:color w:val="auto"/>
          <w:lang w:eastAsia="zh-CN"/>
        </w:rPr>
        <w:t>方案、</w:t>
      </w:r>
      <w:r>
        <w:rPr>
          <w:rFonts w:hint="eastAsia" w:ascii="仿宋" w:hAnsi="仿宋" w:eastAsia="仿宋" w:cs="仿宋"/>
          <w:color w:val="auto"/>
          <w:lang w:val="en-US" w:eastAsia="zh-CN"/>
        </w:rPr>
        <w:t>项目部组成、拟投入设备</w:t>
      </w:r>
      <w:r>
        <w:rPr>
          <w:rFonts w:hint="eastAsia" w:ascii="仿宋" w:hAnsi="仿宋" w:eastAsia="仿宋" w:cs="仿宋"/>
          <w:color w:val="auto"/>
          <w:lang w:eastAsia="zh-CN"/>
        </w:rPr>
        <w:t>等方面进行评审赋分。评审总分值为</w:t>
      </w:r>
      <w:r>
        <w:rPr>
          <w:rFonts w:hint="eastAsia" w:ascii="仿宋" w:hAnsi="仿宋" w:eastAsia="仿宋" w:cs="仿宋"/>
          <w:color w:val="auto"/>
        </w:rPr>
        <w:t>100</w:t>
      </w:r>
      <w:r>
        <w:rPr>
          <w:rFonts w:hint="eastAsia" w:ascii="仿宋" w:hAnsi="仿宋" w:eastAsia="仿宋" w:cs="仿宋"/>
          <w:color w:val="auto"/>
          <w:lang w:eastAsia="zh-CN"/>
        </w:rPr>
        <w:t>分，具体分值如下：</w:t>
      </w:r>
    </w:p>
    <w:tbl>
      <w:tblPr>
        <w:tblStyle w:val="36"/>
        <w:tblW w:w="9030" w:type="dxa"/>
        <w:jc w:val="center"/>
        <w:tblLayout w:type="autofit"/>
        <w:tblCellMar>
          <w:top w:w="0" w:type="dxa"/>
          <w:left w:w="108" w:type="dxa"/>
          <w:bottom w:w="0" w:type="dxa"/>
          <w:right w:w="108" w:type="dxa"/>
        </w:tblCellMar>
      </w:tblPr>
      <w:tblGrid>
        <w:gridCol w:w="1275"/>
        <w:gridCol w:w="750"/>
        <w:gridCol w:w="5"/>
        <w:gridCol w:w="7000"/>
      </w:tblGrid>
      <w:tr w14:paraId="1FDBF14D">
        <w:tblPrEx>
          <w:tblCellMar>
            <w:top w:w="0" w:type="dxa"/>
            <w:left w:w="108" w:type="dxa"/>
            <w:bottom w:w="0" w:type="dxa"/>
            <w:right w:w="108" w:type="dxa"/>
          </w:tblCellMar>
        </w:tblPrEx>
        <w:trPr>
          <w:trHeight w:val="0" w:hRule="atLeast"/>
          <w:tblHeader/>
          <w:jc w:val="center"/>
        </w:trPr>
        <w:tc>
          <w:tcPr>
            <w:tcW w:w="1275"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3E112C5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评审内容</w:t>
            </w:r>
          </w:p>
        </w:tc>
        <w:tc>
          <w:tcPr>
            <w:tcW w:w="750"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02250073">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分值</w:t>
            </w:r>
          </w:p>
        </w:tc>
        <w:tc>
          <w:tcPr>
            <w:tcW w:w="7005" w:type="dxa"/>
            <w:gridSpan w:val="2"/>
            <w:tcBorders>
              <w:top w:val="single" w:color="000000" w:sz="4" w:space="0"/>
              <w:left w:val="single" w:color="000000" w:sz="4" w:space="0"/>
              <w:bottom w:val="nil"/>
              <w:right w:val="single" w:color="000000" w:sz="4" w:space="0"/>
            </w:tcBorders>
            <w:shd w:val="clear" w:color="auto" w:fill="F0F0F0"/>
            <w:noWrap w:val="0"/>
            <w:tcMar>
              <w:top w:w="80" w:type="dxa"/>
              <w:left w:w="100" w:type="dxa"/>
              <w:bottom w:w="80" w:type="dxa"/>
              <w:right w:w="100" w:type="dxa"/>
            </w:tcMar>
            <w:vAlign w:val="center"/>
          </w:tcPr>
          <w:p w14:paraId="5F74898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评审标准</w:t>
            </w:r>
          </w:p>
        </w:tc>
      </w:tr>
      <w:tr w14:paraId="0CBAFD22">
        <w:tblPrEx>
          <w:tblCellMar>
            <w:top w:w="0" w:type="dxa"/>
            <w:left w:w="108" w:type="dxa"/>
            <w:bottom w:w="0" w:type="dxa"/>
            <w:right w:w="108" w:type="dxa"/>
          </w:tblCellMar>
        </w:tblPrEx>
        <w:trPr>
          <w:trHeight w:val="0" w:hRule="atLeast"/>
          <w:jc w:val="center"/>
        </w:trPr>
        <w:tc>
          <w:tcPr>
            <w:tcW w:w="1275"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37A383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报价得分</w:t>
            </w: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20E5A31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15分</w:t>
            </w:r>
          </w:p>
        </w:tc>
        <w:tc>
          <w:tcPr>
            <w:tcW w:w="7005" w:type="dxa"/>
            <w:gridSpan w:val="2"/>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37100B9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1.经初审合格的磋商响应文件，其磋商报价为有效磋商报价。本项目专门面向中小企业采购，不再执行价格扣除，各供应商均以最后报价直接进入价格评审。</w:t>
            </w:r>
            <w:r>
              <w:rPr>
                <w:rFonts w:hint="eastAsia" w:ascii="仿宋" w:hAnsi="仿宋" w:eastAsia="仿宋" w:cs="仿宋"/>
                <w:color w:val="auto"/>
              </w:rPr>
              <w:br w:type="textWrapping"/>
            </w:r>
            <w:r>
              <w:rPr>
                <w:rFonts w:hint="eastAsia" w:ascii="仿宋" w:hAnsi="仿宋" w:eastAsia="仿宋" w:cs="仿宋"/>
                <w:color w:val="auto"/>
              </w:rPr>
              <w:t>2.满足磋商文件实质性要求且最后报价最低的供应商的价格为磋商基准价，其价格分为满分15分。</w:t>
            </w:r>
            <w:r>
              <w:rPr>
                <w:rFonts w:hint="eastAsia" w:ascii="仿宋" w:hAnsi="仿宋" w:eastAsia="仿宋" w:cs="仿宋"/>
                <w:color w:val="auto"/>
              </w:rPr>
              <w:br w:type="textWrapping"/>
            </w:r>
            <w:r>
              <w:rPr>
                <w:rFonts w:hint="eastAsia" w:ascii="仿宋" w:hAnsi="仿宋" w:eastAsia="仿宋" w:cs="仿宋"/>
                <w:color w:val="auto"/>
              </w:rPr>
              <w:t>3.磋商报价得分=（磋商基准价/最终磋商报价）×15，公式计算得分保留小数点后两位（第三位四舍五入）。</w:t>
            </w:r>
            <w:r>
              <w:rPr>
                <w:rFonts w:hint="eastAsia" w:ascii="仿宋" w:hAnsi="仿宋" w:eastAsia="仿宋" w:cs="仿宋"/>
                <w:color w:val="auto"/>
              </w:rPr>
              <w:br w:type="textWrapping"/>
            </w:r>
            <w:r>
              <w:rPr>
                <w:rFonts w:hint="eastAsia" w:ascii="仿宋" w:hAnsi="仿宋" w:eastAsia="仿宋" w:cs="仿宋"/>
                <w:color w:val="auto"/>
              </w:rPr>
              <w:t>4.磋商报价不完整的，不进入评审标准价的计算，本项得0分。</w:t>
            </w:r>
            <w:r>
              <w:rPr>
                <w:rFonts w:hint="eastAsia" w:ascii="仿宋" w:hAnsi="仿宋" w:eastAsia="仿宋" w:cs="仿宋"/>
                <w:color w:val="auto"/>
              </w:rPr>
              <w:br w:type="textWrapping"/>
            </w:r>
            <w:r>
              <w:rPr>
                <w:rFonts w:hint="eastAsia" w:ascii="仿宋" w:hAnsi="仿宋" w:eastAsia="仿宋" w:cs="仿宋"/>
                <w:color w:val="auto"/>
              </w:rPr>
              <w:t>5.经磋商小组认定属于异常低价情形的，按本须知第20.6条处理；不能证明其报价合理性的，作为无效磋商处理，其响应将被拒绝。</w:t>
            </w:r>
          </w:p>
          <w:p w14:paraId="4EA94F52">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eastAsia="仿宋"/>
                <w:lang w:eastAsia="zh-CN"/>
              </w:rPr>
            </w:pPr>
            <w:r>
              <w:rPr>
                <w:rFonts w:hint="eastAsia" w:ascii="仿宋" w:hAnsi="仿宋" w:eastAsia="仿宋" w:cs="仿宋"/>
                <w:color w:val="auto"/>
                <w:lang w:val="en-US" w:eastAsia="zh-CN"/>
              </w:rPr>
              <w:t>6.</w:t>
            </w:r>
            <w:r>
              <w:rPr>
                <w:rFonts w:hint="eastAsia" w:ascii="仿宋" w:hAnsi="仿宋" w:eastAsia="仿宋" w:cs="仿宋"/>
                <w:color w:val="auto"/>
              </w:rPr>
              <w:t>报价得分以按工程估算价2000万元折算后的报价金额（＝2000万元×报价费率）为评审依据</w:t>
            </w:r>
            <w:r>
              <w:rPr>
                <w:rFonts w:hint="eastAsia" w:ascii="仿宋" w:hAnsi="仿宋" w:eastAsia="仿宋" w:cs="仿宋"/>
                <w:color w:val="auto"/>
                <w:lang w:eastAsia="zh-CN"/>
              </w:rPr>
              <w:t>。</w:t>
            </w:r>
          </w:p>
        </w:tc>
      </w:tr>
      <w:tr w14:paraId="0973569A">
        <w:tblPrEx>
          <w:tblCellMar>
            <w:top w:w="0" w:type="dxa"/>
            <w:left w:w="108" w:type="dxa"/>
            <w:bottom w:w="0" w:type="dxa"/>
            <w:right w:w="108" w:type="dxa"/>
          </w:tblCellMar>
        </w:tblPrEx>
        <w:trPr>
          <w:trHeight w:val="0" w:hRule="atLeast"/>
          <w:jc w:val="center"/>
        </w:trPr>
        <w:tc>
          <w:tcPr>
            <w:tcW w:w="1275" w:type="dxa"/>
            <w:vMerge w:val="restart"/>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064FBAB">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监理方案与技术服务能力</w:t>
            </w: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7D07E5F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8分</w:t>
            </w:r>
          </w:p>
        </w:tc>
        <w:tc>
          <w:tcPr>
            <w:tcW w:w="7005" w:type="dxa"/>
            <w:gridSpan w:val="2"/>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12F3B292">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监理依据、服务目标：列明监理工作遵循的各类文件和标准（含《建设工程监理规范》GB/T 50319），明确质量、进度、投资、安全控制目标。目标制定科学详细、切实可行，满足项目需求得5-8分；较为详细基本合理但细节不足得2-5分；内容简单，基本满足需求，得0-2分；不提供不得分。</w:t>
            </w:r>
          </w:p>
        </w:tc>
      </w:tr>
      <w:tr w14:paraId="2D46C395">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5D481C64">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67B229C">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8分</w:t>
            </w:r>
          </w:p>
        </w:tc>
        <w:tc>
          <w:tcPr>
            <w:tcW w:w="7005" w:type="dxa"/>
            <w:gridSpan w:val="2"/>
            <w:tcBorders>
              <w:top w:val="single" w:color="000000" w:sz="4" w:space="0"/>
              <w:left w:val="single" w:color="000000" w:sz="4" w:space="0"/>
              <w:bottom w:val="nil"/>
              <w:right w:val="single" w:color="000000" w:sz="4" w:space="0"/>
            </w:tcBorders>
            <w:noWrap w:val="0"/>
            <w:tcMar>
              <w:top w:w="-1" w:type="dxa"/>
              <w:left w:w="-1" w:type="dxa"/>
              <w:bottom w:w="-1" w:type="dxa"/>
              <w:right w:w="-1" w:type="dxa"/>
            </w:tcMar>
            <w:vAlign w:val="center"/>
          </w:tcPr>
          <w:p w14:paraId="21C3339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质量与安全监理措施：质量控制方案（如材料检验、工序验收流程）完善，安全监理措施（如沟槽开挖支护安全、顶管施工安全、有限空间作业安全、风险排查、应急处理）科学详细、切实可行、操作性强，得5-8分；措施较科学详细、具有可行性和操作性得2-5分；措施内容简单但可以满足项目需求得0-2分；未提供不得分。</w:t>
            </w:r>
          </w:p>
        </w:tc>
      </w:tr>
      <w:tr w14:paraId="639563D1">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2E16606A">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0A4CBF2F">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8分</w:t>
            </w:r>
          </w:p>
        </w:tc>
        <w:tc>
          <w:tcPr>
            <w:tcW w:w="7005" w:type="dxa"/>
            <w:gridSpan w:val="2"/>
            <w:tcBorders>
              <w:top w:val="single" w:color="000000" w:sz="4" w:space="0"/>
              <w:left w:val="single" w:color="000000" w:sz="4" w:space="0"/>
              <w:bottom w:val="nil"/>
              <w:right w:val="single" w:color="000000" w:sz="4" w:space="0"/>
            </w:tcBorders>
            <w:noWrap w:val="0"/>
            <w:tcMar>
              <w:top w:w="-1" w:type="dxa"/>
              <w:left w:w="-1" w:type="dxa"/>
              <w:bottom w:w="-1" w:type="dxa"/>
              <w:right w:w="-1" w:type="dxa"/>
            </w:tcMar>
            <w:vAlign w:val="center"/>
          </w:tcPr>
          <w:p w14:paraId="2F78C44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进度与合同管理方案：进度跟踪机制（如周报、里程碑节点管控）清晰，合同履约管理（如变更、索赔处理），方案完整详细、科学合理、可行性强得5-8分；方案较为详细具体，具有可行性得2-5分；方案内容简单，但基本满足采购需求得0-2分；未提供不得分。</w:t>
            </w:r>
          </w:p>
        </w:tc>
      </w:tr>
      <w:tr w14:paraId="580CE937">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331C6AB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033A06A4">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8分</w:t>
            </w:r>
          </w:p>
        </w:tc>
        <w:tc>
          <w:tcPr>
            <w:tcW w:w="7005" w:type="dxa"/>
            <w:gridSpan w:val="2"/>
            <w:tcBorders>
              <w:top w:val="single" w:color="000000" w:sz="4" w:space="0"/>
              <w:left w:val="single" w:color="000000" w:sz="4" w:space="0"/>
              <w:bottom w:val="nil"/>
              <w:right w:val="single" w:color="000000" w:sz="4" w:space="0"/>
            </w:tcBorders>
            <w:noWrap w:val="0"/>
            <w:tcMar>
              <w:top w:w="-1" w:type="dxa"/>
              <w:left w:w="-1" w:type="dxa"/>
              <w:bottom w:w="-1" w:type="dxa"/>
              <w:right w:w="-1" w:type="dxa"/>
            </w:tcMar>
            <w:vAlign w:val="center"/>
          </w:tcPr>
          <w:p w14:paraId="7D4FF1F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监理设施与资源配置：为完成监理工作需配备的资源，如检测设备、办公设施及资料软件等。资源配置全面，切合实际，能有效满足项目需求，得5-8分；资源配置较为合理但细节不足，得2-5分；资源配置简单，但基本满足项目需求，得0-2分；不提供不得分。</w:t>
            </w:r>
          </w:p>
        </w:tc>
      </w:tr>
      <w:tr w14:paraId="55C3B3B3">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5888345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0" w:type="dxa"/>
            <w:tcBorders>
              <w:top w:val="single" w:color="000000" w:sz="4" w:space="0"/>
              <w:left w:val="single" w:color="000000" w:sz="4" w:space="0"/>
              <w:bottom w:val="nil"/>
              <w:right w:val="single" w:color="auto" w:sz="4" w:space="0"/>
            </w:tcBorders>
            <w:noWrap w:val="0"/>
            <w:tcMar>
              <w:top w:w="80" w:type="dxa"/>
              <w:left w:w="100" w:type="dxa"/>
              <w:bottom w:w="80" w:type="dxa"/>
              <w:right w:w="100" w:type="dxa"/>
            </w:tcMar>
            <w:vAlign w:val="center"/>
          </w:tcPr>
          <w:p w14:paraId="7447ECD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8分</w:t>
            </w:r>
          </w:p>
        </w:tc>
        <w:tc>
          <w:tcPr>
            <w:tcW w:w="7005" w:type="dxa"/>
            <w:gridSpan w:val="2"/>
            <w:tcBorders>
              <w:top w:val="single" w:color="000000" w:sz="4" w:space="0"/>
              <w:left w:val="single" w:color="auto" w:sz="4" w:space="0"/>
              <w:bottom w:val="nil"/>
              <w:right w:val="single" w:color="000000" w:sz="4" w:space="0"/>
            </w:tcBorders>
            <w:noWrap w:val="0"/>
            <w:tcMar>
              <w:top w:w="-1" w:type="dxa"/>
              <w:left w:w="-1" w:type="dxa"/>
              <w:bottom w:w="-1" w:type="dxa"/>
              <w:right w:w="-1" w:type="dxa"/>
            </w:tcMar>
            <w:vAlign w:val="center"/>
          </w:tcPr>
          <w:p w14:paraId="16F8FB9F">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针对项目重点部位和关键工序的监理措施：针对本项目雨水主管道（D500～D1200）敷设、D1200钢筋混凝土顶管施工及工作坑（接收坑）、检查井及雨水口砌筑、沟槽土方开挖与回填、旧管井破除、道路破除及恢复等重点部位和关键工序的监理措施科学详细、切实可行、操作性强，得5-8分；措施较科学详细、具有可行性和操作性得2-5分；措施内容简单但可以满足项目需求得0-2分；未提供不得分。</w:t>
            </w:r>
          </w:p>
        </w:tc>
      </w:tr>
      <w:tr w14:paraId="7E5F0E7E">
        <w:tblPrEx>
          <w:tblCellMar>
            <w:top w:w="0" w:type="dxa"/>
            <w:left w:w="108" w:type="dxa"/>
            <w:bottom w:w="0" w:type="dxa"/>
            <w:right w:w="108" w:type="dxa"/>
          </w:tblCellMar>
        </w:tblPrEx>
        <w:trPr>
          <w:trHeight w:val="0" w:hRule="atLeast"/>
          <w:jc w:val="center"/>
        </w:trPr>
        <w:tc>
          <w:tcPr>
            <w:tcW w:w="1275" w:type="dxa"/>
            <w:vMerge w:val="restart"/>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1927A86">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监理部组成</w:t>
            </w:r>
          </w:p>
        </w:tc>
        <w:tc>
          <w:tcPr>
            <w:tcW w:w="755" w:type="dxa"/>
            <w:gridSpan w:val="2"/>
            <w:tcBorders>
              <w:top w:val="single" w:color="000000" w:sz="4" w:space="0"/>
              <w:left w:val="single" w:color="000000" w:sz="4" w:space="0"/>
              <w:bottom w:val="nil"/>
              <w:right w:val="single" w:color="auto" w:sz="4" w:space="0"/>
            </w:tcBorders>
            <w:noWrap w:val="0"/>
            <w:tcMar>
              <w:top w:w="80" w:type="dxa"/>
              <w:left w:w="100" w:type="dxa"/>
              <w:bottom w:w="80" w:type="dxa"/>
              <w:right w:w="100" w:type="dxa"/>
            </w:tcMar>
            <w:vAlign w:val="center"/>
          </w:tcPr>
          <w:p w14:paraId="504CE54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8分</w:t>
            </w:r>
          </w:p>
        </w:tc>
        <w:tc>
          <w:tcPr>
            <w:tcW w:w="7000" w:type="dxa"/>
            <w:tcBorders>
              <w:top w:val="single" w:color="000000" w:sz="4" w:space="0"/>
              <w:left w:val="single" w:color="auto" w:sz="4" w:space="0"/>
              <w:bottom w:val="nil"/>
              <w:right w:val="single" w:color="000000" w:sz="4" w:space="0"/>
            </w:tcBorders>
            <w:noWrap w:val="0"/>
            <w:tcMar>
              <w:top w:w="80" w:type="dxa"/>
              <w:left w:w="100" w:type="dxa"/>
              <w:bottom w:w="80" w:type="dxa"/>
              <w:right w:w="100" w:type="dxa"/>
            </w:tcMar>
            <w:vAlign w:val="center"/>
          </w:tcPr>
          <w:p w14:paraId="1A61550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人员配置满足采购需求最低要求</w:t>
            </w:r>
            <w:r>
              <w:rPr>
                <w:rFonts w:hint="eastAsia" w:ascii="仿宋" w:hAnsi="仿宋" w:eastAsia="仿宋" w:cs="仿宋"/>
                <w:color w:val="auto"/>
                <w:lang w:eastAsia="zh-CN"/>
              </w:rPr>
              <w:t>：</w:t>
            </w:r>
            <w:r>
              <w:rPr>
                <w:rFonts w:hint="eastAsia" w:ascii="仿宋" w:hAnsi="仿宋" w:eastAsia="仿宋" w:cs="仿宋"/>
                <w:color w:val="auto"/>
              </w:rPr>
              <w:t>拟派项目部人员组成</w:t>
            </w:r>
            <w:r>
              <w:rPr>
                <w:rFonts w:hint="eastAsia" w:ascii="仿宋" w:hAnsi="仿宋" w:eastAsia="仿宋" w:cs="仿宋"/>
                <w:color w:val="auto"/>
                <w:lang w:val="en-US" w:eastAsia="zh-CN"/>
              </w:rPr>
              <w:t>至少</w:t>
            </w:r>
            <w:r>
              <w:rPr>
                <w:rFonts w:hint="eastAsia" w:ascii="仿宋" w:hAnsi="仿宋" w:eastAsia="仿宋" w:cs="仿宋"/>
                <w:color w:val="auto"/>
              </w:rPr>
              <w:t>包括总监理工程师1名、专业监理工程师1名、监理员1人，得8分。总人数不足3人的不得分。</w:t>
            </w:r>
          </w:p>
        </w:tc>
      </w:tr>
      <w:tr w14:paraId="6B5C59E7">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01EF9A10">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5" w:type="dxa"/>
            <w:gridSpan w:val="2"/>
            <w:tcBorders>
              <w:top w:val="single" w:color="000000" w:sz="4" w:space="0"/>
              <w:left w:val="single" w:color="000000" w:sz="4" w:space="0"/>
              <w:bottom w:val="nil"/>
              <w:right w:val="single" w:color="auto" w:sz="4" w:space="0"/>
            </w:tcBorders>
            <w:noWrap w:val="0"/>
            <w:tcMar>
              <w:top w:w="-1" w:type="dxa"/>
              <w:left w:w="-1" w:type="dxa"/>
              <w:bottom w:w="-1" w:type="dxa"/>
              <w:right w:w="-1" w:type="dxa"/>
            </w:tcMar>
            <w:vAlign w:val="center"/>
          </w:tcPr>
          <w:p w14:paraId="61B622E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9分</w:t>
            </w:r>
          </w:p>
        </w:tc>
        <w:tc>
          <w:tcPr>
            <w:tcW w:w="7000" w:type="dxa"/>
            <w:tcBorders>
              <w:top w:val="single" w:color="000000" w:sz="4" w:space="0"/>
              <w:left w:val="single" w:color="auto" w:sz="4" w:space="0"/>
              <w:bottom w:val="nil"/>
              <w:right w:val="single" w:color="000000" w:sz="4" w:space="0"/>
            </w:tcBorders>
            <w:noWrap w:val="0"/>
            <w:tcMar>
              <w:top w:w="-1" w:type="dxa"/>
              <w:left w:w="-1" w:type="dxa"/>
              <w:bottom w:w="-1" w:type="dxa"/>
              <w:right w:w="-1" w:type="dxa"/>
            </w:tcMar>
            <w:vAlign w:val="center"/>
          </w:tcPr>
          <w:p w14:paraId="11B2C2C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总监理工程师：①具有中级及以上职称的计5分，其他不计分；②提供自2023年</w:t>
            </w:r>
            <w:r>
              <w:rPr>
                <w:rFonts w:hint="eastAsia" w:ascii="仿宋" w:hAnsi="仿宋" w:eastAsia="仿宋" w:cs="仿宋"/>
                <w:color w:val="auto"/>
                <w:lang w:val="en-US" w:eastAsia="zh-CN"/>
              </w:rPr>
              <w:t>10</w:t>
            </w:r>
            <w:r>
              <w:rPr>
                <w:rFonts w:hint="eastAsia" w:ascii="仿宋" w:hAnsi="仿宋" w:eastAsia="仿宋" w:cs="仿宋"/>
                <w:color w:val="auto"/>
              </w:rPr>
              <w:t>月1日至今类似项目业绩，每提供一个有效业绩，计2分，最高得4分（需提供加盖公章的监理合同，未提供的不得分）</w:t>
            </w:r>
          </w:p>
        </w:tc>
      </w:tr>
      <w:tr w14:paraId="66132F8E">
        <w:tblPrEx>
          <w:tblCellMar>
            <w:top w:w="0" w:type="dxa"/>
            <w:left w:w="108" w:type="dxa"/>
            <w:bottom w:w="0" w:type="dxa"/>
            <w:right w:w="108" w:type="dxa"/>
          </w:tblCellMar>
        </w:tblPrEx>
        <w:trPr>
          <w:trHeight w:val="0" w:hRule="atLeast"/>
          <w:jc w:val="center"/>
        </w:trPr>
        <w:tc>
          <w:tcPr>
            <w:tcW w:w="1275" w:type="dxa"/>
            <w:vMerge w:val="continue"/>
            <w:tcBorders>
              <w:top w:val="single" w:color="auto" w:sz="4" w:space="0"/>
              <w:left w:val="single" w:color="auto" w:sz="4" w:space="0"/>
              <w:bottom w:val="nil"/>
              <w:right w:val="nil"/>
            </w:tcBorders>
            <w:noWrap w:val="0"/>
            <w:tcMar>
              <w:top w:w="-1" w:type="dxa"/>
              <w:left w:w="-1" w:type="dxa"/>
              <w:bottom w:w="-1" w:type="dxa"/>
              <w:right w:w="-1" w:type="dxa"/>
            </w:tcMar>
            <w:vAlign w:val="center"/>
          </w:tcPr>
          <w:p w14:paraId="030394D4">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p>
        </w:tc>
        <w:tc>
          <w:tcPr>
            <w:tcW w:w="755" w:type="dxa"/>
            <w:gridSpan w:val="2"/>
            <w:tcBorders>
              <w:top w:val="single" w:color="000000" w:sz="4" w:space="0"/>
              <w:left w:val="single" w:color="000000" w:sz="4" w:space="0"/>
              <w:bottom w:val="nil"/>
              <w:right w:val="single" w:color="auto" w:sz="4" w:space="0"/>
            </w:tcBorders>
            <w:noWrap w:val="0"/>
            <w:tcMar>
              <w:top w:w="-1" w:type="dxa"/>
              <w:left w:w="-1" w:type="dxa"/>
              <w:bottom w:w="-1" w:type="dxa"/>
              <w:right w:w="-1" w:type="dxa"/>
            </w:tcMar>
            <w:vAlign w:val="center"/>
          </w:tcPr>
          <w:p w14:paraId="333E34E5">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8分</w:t>
            </w:r>
          </w:p>
        </w:tc>
        <w:tc>
          <w:tcPr>
            <w:tcW w:w="7000" w:type="dxa"/>
            <w:tcBorders>
              <w:top w:val="single" w:color="000000" w:sz="4" w:space="0"/>
              <w:left w:val="single" w:color="auto" w:sz="4" w:space="0"/>
              <w:bottom w:val="nil"/>
              <w:right w:val="single" w:color="000000" w:sz="4" w:space="0"/>
            </w:tcBorders>
            <w:noWrap w:val="0"/>
            <w:tcMar>
              <w:top w:w="-1" w:type="dxa"/>
              <w:left w:w="-1" w:type="dxa"/>
              <w:bottom w:w="-1" w:type="dxa"/>
              <w:right w:w="-1" w:type="dxa"/>
            </w:tcMar>
            <w:vAlign w:val="center"/>
          </w:tcPr>
          <w:p w14:paraId="3C04B1B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专业监理人员：提供市政专业的专业监理工程师从业证书得4分；监理员：提供监理员从业证书得4分。</w:t>
            </w:r>
          </w:p>
        </w:tc>
      </w:tr>
      <w:tr w14:paraId="38E899FD">
        <w:tblPrEx>
          <w:tblCellMar>
            <w:top w:w="0" w:type="dxa"/>
            <w:left w:w="108" w:type="dxa"/>
            <w:bottom w:w="0" w:type="dxa"/>
            <w:right w:w="108" w:type="dxa"/>
          </w:tblCellMar>
        </w:tblPrEx>
        <w:trPr>
          <w:trHeight w:val="0" w:hRule="atLeast"/>
          <w:jc w:val="center"/>
        </w:trPr>
        <w:tc>
          <w:tcPr>
            <w:tcW w:w="1275"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5D993DDD">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监理部拟投入的设备</w:t>
            </w: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0DE081D9">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5分</w:t>
            </w:r>
          </w:p>
        </w:tc>
        <w:tc>
          <w:tcPr>
            <w:tcW w:w="7005" w:type="dxa"/>
            <w:gridSpan w:val="2"/>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3934849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针对本项目提供拟投入的主要监理设备，包含：全站仪、经纬仪、水准仪、计算机、监理管理软件等，齐全得5分，缺1项扣1分，扣完为止。</w:t>
            </w:r>
          </w:p>
        </w:tc>
      </w:tr>
      <w:tr w14:paraId="34EF704D">
        <w:tblPrEx>
          <w:tblCellMar>
            <w:top w:w="0" w:type="dxa"/>
            <w:left w:w="108" w:type="dxa"/>
            <w:bottom w:w="0" w:type="dxa"/>
            <w:right w:w="108" w:type="dxa"/>
          </w:tblCellMar>
        </w:tblPrEx>
        <w:trPr>
          <w:trHeight w:val="0" w:hRule="atLeast"/>
          <w:jc w:val="center"/>
        </w:trPr>
        <w:tc>
          <w:tcPr>
            <w:tcW w:w="1275"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1BDB4E5B">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服务承诺</w:t>
            </w:r>
          </w:p>
        </w:tc>
        <w:tc>
          <w:tcPr>
            <w:tcW w:w="750" w:type="dxa"/>
            <w:tcBorders>
              <w:top w:val="single" w:color="000000" w:sz="4" w:space="0"/>
              <w:left w:val="single" w:color="000000" w:sz="4" w:space="0"/>
              <w:bottom w:val="nil"/>
              <w:right w:val="nil"/>
            </w:tcBorders>
            <w:noWrap w:val="0"/>
            <w:tcMar>
              <w:top w:w="80" w:type="dxa"/>
              <w:left w:w="100" w:type="dxa"/>
              <w:bottom w:w="80" w:type="dxa"/>
              <w:right w:w="100" w:type="dxa"/>
            </w:tcMar>
            <w:vAlign w:val="center"/>
          </w:tcPr>
          <w:p w14:paraId="6DEDA1BC">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5分</w:t>
            </w:r>
          </w:p>
        </w:tc>
        <w:tc>
          <w:tcPr>
            <w:tcW w:w="7005" w:type="dxa"/>
            <w:gridSpan w:val="2"/>
            <w:tcBorders>
              <w:top w:val="single" w:color="000000" w:sz="4" w:space="0"/>
              <w:left w:val="single" w:color="000000" w:sz="4" w:space="0"/>
              <w:bottom w:val="nil"/>
              <w:right w:val="single" w:color="000000" w:sz="4" w:space="0"/>
            </w:tcBorders>
            <w:noWrap w:val="0"/>
            <w:tcMar>
              <w:top w:w="80" w:type="dxa"/>
              <w:left w:w="100" w:type="dxa"/>
              <w:bottom w:w="80" w:type="dxa"/>
              <w:right w:w="100" w:type="dxa"/>
            </w:tcMar>
            <w:vAlign w:val="center"/>
          </w:tcPr>
          <w:p w14:paraId="588F2CD8">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承诺紧急情况（如质量问题、安全隐患）1小时内到场响应，日常问题24小时内反馈解决方案。提供相应服务承诺得5分，未提供不得分。</w:t>
            </w:r>
          </w:p>
        </w:tc>
      </w:tr>
      <w:tr w14:paraId="507CC101">
        <w:tblPrEx>
          <w:tblCellMar>
            <w:top w:w="0" w:type="dxa"/>
            <w:left w:w="108" w:type="dxa"/>
            <w:bottom w:w="0" w:type="dxa"/>
            <w:right w:w="108" w:type="dxa"/>
          </w:tblCellMar>
        </w:tblPrEx>
        <w:trPr>
          <w:trHeight w:val="0" w:hRule="atLeast"/>
          <w:jc w:val="center"/>
        </w:trPr>
        <w:tc>
          <w:tcPr>
            <w:tcW w:w="1275"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4522E081">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业绩</w:t>
            </w:r>
          </w:p>
        </w:tc>
        <w:tc>
          <w:tcPr>
            <w:tcW w:w="750"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3B059AB7">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10分</w:t>
            </w:r>
          </w:p>
        </w:tc>
        <w:tc>
          <w:tcPr>
            <w:tcW w:w="7005" w:type="dxa"/>
            <w:gridSpan w:val="2"/>
            <w:tcBorders>
              <w:top w:val="single" w:color="000000" w:sz="4" w:space="0"/>
              <w:left w:val="single" w:color="000000" w:sz="4" w:space="0"/>
              <w:bottom w:val="single" w:color="000000" w:sz="4" w:space="0"/>
              <w:right w:val="single" w:color="000000" w:sz="4" w:space="0"/>
            </w:tcBorders>
            <w:noWrap w:val="0"/>
            <w:tcMar>
              <w:top w:w="80" w:type="dxa"/>
              <w:left w:w="100" w:type="dxa"/>
              <w:bottom w:w="80" w:type="dxa"/>
              <w:right w:w="100" w:type="dxa"/>
            </w:tcMar>
            <w:vAlign w:val="center"/>
          </w:tcPr>
          <w:p w14:paraId="4E1662D2">
            <w:pPr>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color w:val="auto"/>
              </w:rPr>
            </w:pPr>
            <w:r>
              <w:rPr>
                <w:rFonts w:hint="eastAsia" w:ascii="仿宋" w:hAnsi="仿宋" w:eastAsia="仿宋" w:cs="仿宋"/>
                <w:color w:val="auto"/>
              </w:rPr>
              <w:t>提供自2023年</w:t>
            </w:r>
            <w:r>
              <w:rPr>
                <w:rFonts w:hint="eastAsia" w:ascii="仿宋" w:hAnsi="仿宋" w:eastAsia="仿宋" w:cs="仿宋"/>
                <w:color w:val="auto"/>
                <w:lang w:val="en-US" w:eastAsia="zh-CN"/>
              </w:rPr>
              <w:t>10</w:t>
            </w:r>
            <w:r>
              <w:rPr>
                <w:rFonts w:hint="eastAsia" w:ascii="仿宋" w:hAnsi="仿宋" w:eastAsia="仿宋" w:cs="仿宋"/>
                <w:color w:val="auto"/>
              </w:rPr>
              <w:t>月1日至今类似项目业绩，每提供一个有效业绩，计5分，共10分（需提供加盖公章的合同复印件，未提供的不得分）。</w:t>
            </w:r>
          </w:p>
        </w:tc>
      </w:tr>
    </w:tbl>
    <w:p w14:paraId="226FF39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评审说明：</w:t>
      </w:r>
    </w:p>
    <w:p w14:paraId="52E9F83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1</w:t>
      </w:r>
      <w:r>
        <w:rPr>
          <w:rFonts w:hint="eastAsia" w:ascii="仿宋" w:hAnsi="仿宋" w:eastAsia="仿宋" w:cs="仿宋"/>
          <w:color w:val="auto"/>
          <w:lang w:eastAsia="zh-CN"/>
        </w:rPr>
        <w:t>若出现综合得分并列时，按照最后报价由低到高排序；评审得分且最后报价相同的，按照技术指标优劣进行排序，如果还相同，则由全体磋商小组成员无记名投票，以得票高者排序在先。</w:t>
      </w:r>
    </w:p>
    <w:p w14:paraId="5F4DB90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2</w:t>
      </w:r>
      <w:r>
        <w:rPr>
          <w:rFonts w:hint="eastAsia" w:ascii="仿宋" w:hAnsi="仿宋" w:eastAsia="仿宋" w:cs="仿宋"/>
          <w:color w:val="auto"/>
          <w:lang w:eastAsia="zh-CN"/>
        </w:rPr>
        <w:t>评审专家打分超过得分界限或未按本方法赋分时，该评审专家的打分按作废处理。</w:t>
      </w:r>
    </w:p>
    <w:p w14:paraId="66967A7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3</w:t>
      </w:r>
      <w:r>
        <w:rPr>
          <w:rFonts w:hint="eastAsia" w:ascii="仿宋" w:hAnsi="仿宋" w:eastAsia="仿宋" w:cs="仿宋"/>
          <w:color w:val="auto"/>
          <w:lang w:eastAsia="zh-CN"/>
        </w:rPr>
        <w:t>磋商小组发现存在《政府采购法》第七十七条、《政府采购法实施条例》第七十四条规定情形的，应当按无效响应处理，并将相关线索书面报告安康市财政局。</w:t>
      </w:r>
    </w:p>
    <w:p w14:paraId="79E22AD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4</w:t>
      </w:r>
      <w:r>
        <w:rPr>
          <w:rFonts w:hint="eastAsia" w:ascii="仿宋" w:hAnsi="仿宋" w:eastAsia="仿宋" w:cs="仿宋"/>
          <w:color w:val="auto"/>
          <w:lang w:eastAsia="zh-CN"/>
        </w:rPr>
        <w:t>由于磋商响应文件有矛盾，造成对供应商不利的评审结果，由供应商自负。</w:t>
      </w:r>
    </w:p>
    <w:p w14:paraId="3F1A092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5</w:t>
      </w:r>
      <w:r>
        <w:rPr>
          <w:rFonts w:hint="eastAsia" w:ascii="仿宋" w:hAnsi="仿宋" w:eastAsia="仿宋" w:cs="仿宋"/>
          <w:color w:val="auto"/>
          <w:lang w:eastAsia="zh-CN"/>
        </w:rPr>
        <w:t>评审过程中，若出现特殊情况时，将暂停评审，有关情况的处理待磋商小组确认后，再行评定。</w:t>
      </w:r>
    </w:p>
    <w:p w14:paraId="547343A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22.2.</w:t>
      </w:r>
      <w:r>
        <w:rPr>
          <w:rFonts w:hint="eastAsia" w:ascii="仿宋" w:hAnsi="仿宋" w:eastAsia="仿宋" w:cs="仿宋"/>
          <w:color w:val="auto"/>
        </w:rPr>
        <w:t>6</w:t>
      </w:r>
      <w:r>
        <w:rPr>
          <w:rFonts w:hint="eastAsia" w:ascii="仿宋" w:hAnsi="仿宋" w:eastAsia="仿宋" w:cs="仿宋"/>
          <w:color w:val="auto"/>
          <w:lang w:eastAsia="zh-CN"/>
        </w:rPr>
        <w:t>各种计算采用插入法，数字均保留两位小数，第三位</w:t>
      </w:r>
      <w:r>
        <w:rPr>
          <w:rFonts w:hint="eastAsia" w:ascii="仿宋" w:hAnsi="仿宋" w:eastAsia="仿宋" w:cs="仿宋"/>
          <w:color w:val="auto"/>
        </w:rPr>
        <w:t>"</w:t>
      </w:r>
      <w:r>
        <w:rPr>
          <w:rFonts w:hint="eastAsia" w:ascii="仿宋" w:hAnsi="仿宋" w:eastAsia="仿宋" w:cs="仿宋"/>
          <w:color w:val="auto"/>
          <w:lang w:eastAsia="zh-CN"/>
        </w:rPr>
        <w:t>四舍五入</w:t>
      </w:r>
      <w:r>
        <w:rPr>
          <w:rFonts w:hint="eastAsia" w:ascii="仿宋" w:hAnsi="仿宋" w:eastAsia="仿宋" w:cs="仿宋"/>
          <w:color w:val="auto"/>
        </w:rPr>
        <w:t>"</w:t>
      </w:r>
      <w:r>
        <w:rPr>
          <w:rFonts w:hint="eastAsia" w:ascii="仿宋" w:hAnsi="仿宋" w:eastAsia="仿宋" w:cs="仿宋"/>
          <w:color w:val="auto"/>
          <w:lang w:eastAsia="zh-CN"/>
        </w:rPr>
        <w:t>。</w:t>
      </w:r>
    </w:p>
    <w:p w14:paraId="32ECE40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22.3</w:t>
      </w:r>
      <w:r>
        <w:rPr>
          <w:rFonts w:hint="eastAsia" w:ascii="仿宋" w:hAnsi="仿宋" w:eastAsia="仿宋" w:cs="仿宋"/>
          <w:color w:val="auto"/>
          <w:lang w:eastAsia="zh-CN"/>
        </w:rPr>
        <w:t>供应商的磋商响应文件中须提供与以上评分因素相关的证明材料。如果发现有弄虚作假的，磋商小组将取消其磋商资格。</w:t>
      </w:r>
    </w:p>
    <w:p w14:paraId="115C8159">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23.本项目需要落实的政府采购政策</w:t>
      </w:r>
    </w:p>
    <w:p w14:paraId="7FDC1AC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23.1</w:t>
      </w:r>
      <w:r>
        <w:rPr>
          <w:rFonts w:hint="eastAsia" w:ascii="仿宋" w:hAnsi="仿宋" w:eastAsia="仿宋" w:cs="仿宋"/>
          <w:color w:val="auto"/>
          <w:lang w:eastAsia="zh-CN"/>
        </w:rPr>
        <w:t>中小企业：本项目专门面向中小企业采购，不执行价格扣除。依据《政府采购促进中小企业发展管理办法》（财库〔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号）、《陕西省中小企业政府采购信用融资办法》（陕财办采〔</w:t>
      </w:r>
      <w:r>
        <w:rPr>
          <w:rFonts w:hint="eastAsia" w:ascii="仿宋" w:hAnsi="仿宋" w:eastAsia="仿宋" w:cs="仿宋"/>
          <w:color w:val="auto"/>
        </w:rPr>
        <w:t>2018</w:t>
      </w:r>
      <w:r>
        <w:rPr>
          <w:rFonts w:hint="eastAsia" w:ascii="仿宋" w:hAnsi="仿宋" w:eastAsia="仿宋" w:cs="仿宋"/>
          <w:color w:val="auto"/>
          <w:lang w:eastAsia="zh-CN"/>
        </w:rPr>
        <w:t>〕</w:t>
      </w:r>
      <w:r>
        <w:rPr>
          <w:rFonts w:hint="eastAsia" w:ascii="仿宋" w:hAnsi="仿宋" w:eastAsia="仿宋" w:cs="仿宋"/>
          <w:color w:val="auto"/>
        </w:rPr>
        <w:t>23</w:t>
      </w:r>
      <w:r>
        <w:rPr>
          <w:rFonts w:hint="eastAsia" w:ascii="仿宋" w:hAnsi="仿宋" w:eastAsia="仿宋" w:cs="仿宋"/>
          <w:color w:val="auto"/>
          <w:lang w:eastAsia="zh-CN"/>
        </w:rPr>
        <w:t>号）、《陕西省财政厅关于落实政府采购支持中小企业政策有关事项的通知》（陕财办采函〔</w:t>
      </w:r>
      <w:r>
        <w:rPr>
          <w:rFonts w:hint="eastAsia" w:ascii="仿宋" w:hAnsi="仿宋" w:eastAsia="仿宋" w:cs="仿宋"/>
          <w:color w:val="auto"/>
        </w:rPr>
        <w:t>2022</w:t>
      </w:r>
      <w:r>
        <w:rPr>
          <w:rFonts w:hint="eastAsia" w:ascii="仿宋" w:hAnsi="仿宋" w:eastAsia="仿宋" w:cs="仿宋"/>
          <w:color w:val="auto"/>
          <w:lang w:eastAsia="zh-CN"/>
        </w:rPr>
        <w:t>〕</w:t>
      </w:r>
      <w:r>
        <w:rPr>
          <w:rFonts w:hint="eastAsia" w:ascii="仿宋" w:hAnsi="仿宋" w:eastAsia="仿宋" w:cs="仿宋"/>
          <w:color w:val="auto"/>
        </w:rPr>
        <w:t>10</w:t>
      </w:r>
      <w:r>
        <w:rPr>
          <w:rFonts w:hint="eastAsia" w:ascii="仿宋" w:hAnsi="仿宋" w:eastAsia="仿宋" w:cs="仿宋"/>
          <w:color w:val="auto"/>
          <w:lang w:eastAsia="zh-CN"/>
        </w:rPr>
        <w:t>号）执行。</w:t>
      </w:r>
    </w:p>
    <w:p w14:paraId="47A21ED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23.2</w:t>
      </w:r>
      <w:r>
        <w:rPr>
          <w:rFonts w:hint="eastAsia" w:ascii="仿宋" w:hAnsi="仿宋" w:eastAsia="仿宋" w:cs="仿宋"/>
          <w:color w:val="auto"/>
          <w:lang w:eastAsia="zh-CN"/>
        </w:rPr>
        <w:t>监狱和戒毒企业：应符合《财政部司法部关于政府采购支持监狱企业发展有关问题的通知》（财库〔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68</w:t>
      </w:r>
      <w:r>
        <w:rPr>
          <w:rFonts w:hint="eastAsia" w:ascii="仿宋" w:hAnsi="仿宋" w:eastAsia="仿宋" w:cs="仿宋"/>
          <w:color w:val="auto"/>
          <w:lang w:eastAsia="zh-CN"/>
        </w:rPr>
        <w:t>号），并提供由省级以上监狱管理局、戒毒管理局（含新疆生产建设兵团）出具的属于监狱企业的证明。</w:t>
      </w:r>
    </w:p>
    <w:p w14:paraId="6E74DF3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23.3</w:t>
      </w:r>
      <w:r>
        <w:rPr>
          <w:rFonts w:hint="eastAsia" w:ascii="仿宋" w:hAnsi="仿宋" w:eastAsia="仿宋" w:cs="仿宋"/>
          <w:color w:val="auto"/>
          <w:lang w:eastAsia="zh-CN"/>
        </w:rPr>
        <w:t>残疾人福利性单位：依据《三部门联合发布关于促进残疾人就业政府采购政策的通知》（财库〔</w:t>
      </w:r>
      <w:r>
        <w:rPr>
          <w:rFonts w:hint="eastAsia" w:ascii="仿宋" w:hAnsi="仿宋" w:eastAsia="仿宋" w:cs="仿宋"/>
          <w:color w:val="auto"/>
        </w:rPr>
        <w:t>2017</w:t>
      </w:r>
      <w:r>
        <w:rPr>
          <w:rFonts w:hint="eastAsia" w:ascii="仿宋" w:hAnsi="仿宋" w:eastAsia="仿宋" w:cs="仿宋"/>
          <w:color w:val="auto"/>
          <w:lang w:eastAsia="zh-CN"/>
        </w:rPr>
        <w:t>〕</w:t>
      </w:r>
      <w:r>
        <w:rPr>
          <w:rFonts w:hint="eastAsia" w:ascii="仿宋" w:hAnsi="仿宋" w:eastAsia="仿宋" w:cs="仿宋"/>
          <w:color w:val="auto"/>
        </w:rPr>
        <w:t>141</w:t>
      </w:r>
      <w:r>
        <w:rPr>
          <w:rFonts w:hint="eastAsia" w:ascii="仿宋" w:hAnsi="仿宋" w:eastAsia="仿宋" w:cs="仿宋"/>
          <w:color w:val="auto"/>
          <w:lang w:eastAsia="zh-CN"/>
        </w:rPr>
        <w:t>号）规定，提供本单位承担的服务，或者提供其他残疾人福利性单位承接的服务。供应商须按照财库〔</w:t>
      </w:r>
      <w:r>
        <w:rPr>
          <w:rFonts w:hint="eastAsia" w:ascii="仿宋" w:hAnsi="仿宋" w:eastAsia="仿宋" w:cs="仿宋"/>
          <w:color w:val="auto"/>
        </w:rPr>
        <w:t>2017</w:t>
      </w:r>
      <w:r>
        <w:rPr>
          <w:rFonts w:hint="eastAsia" w:ascii="仿宋" w:hAnsi="仿宋" w:eastAsia="仿宋" w:cs="仿宋"/>
          <w:color w:val="auto"/>
          <w:lang w:eastAsia="zh-CN"/>
        </w:rPr>
        <w:t>〕</w:t>
      </w:r>
      <w:r>
        <w:rPr>
          <w:rFonts w:hint="eastAsia" w:ascii="仿宋" w:hAnsi="仿宋" w:eastAsia="仿宋" w:cs="仿宋"/>
          <w:color w:val="auto"/>
        </w:rPr>
        <w:t>141</w:t>
      </w:r>
      <w:r>
        <w:rPr>
          <w:rFonts w:hint="eastAsia" w:ascii="仿宋" w:hAnsi="仿宋" w:eastAsia="仿宋" w:cs="仿宋"/>
          <w:color w:val="auto"/>
          <w:lang w:eastAsia="zh-CN"/>
        </w:rPr>
        <w:t>号规定，提供《残疾人福利性单位声明函》，并对声明的真实性负责。成交供应商为残疾人福利性单位的，采购人或者其委托的采购代理机构应当随成交结果同时公告其《残疾人福利性单位声明函》，接受社会监督。</w:t>
      </w:r>
    </w:p>
    <w:p w14:paraId="745B210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23.4</w:t>
      </w:r>
      <w:r>
        <w:rPr>
          <w:rFonts w:hint="eastAsia" w:ascii="仿宋" w:hAnsi="仿宋" w:eastAsia="仿宋" w:cs="仿宋"/>
          <w:color w:val="auto"/>
          <w:lang w:eastAsia="zh-CN"/>
        </w:rPr>
        <w:t>供应商应如实提供以上证明文件，如存在虚假应标，将取消其磋商资格。</w:t>
      </w:r>
    </w:p>
    <w:p w14:paraId="5B1B8D1C">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24.推荐顺序</w:t>
      </w:r>
    </w:p>
    <w:p w14:paraId="06F43D6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磋商小组应当根据综合评分情况，按照评审得分由高到低顺序推荐</w:t>
      </w:r>
      <w:r>
        <w:rPr>
          <w:rFonts w:hint="eastAsia" w:ascii="仿宋" w:hAnsi="仿宋" w:eastAsia="仿宋" w:cs="仿宋"/>
          <w:color w:val="auto"/>
        </w:rPr>
        <w:t>3</w:t>
      </w:r>
      <w:r>
        <w:rPr>
          <w:rFonts w:hint="eastAsia" w:ascii="仿宋" w:hAnsi="仿宋" w:eastAsia="仿宋" w:cs="仿宋"/>
          <w:color w:val="auto"/>
          <w:lang w:eastAsia="zh-CN"/>
        </w:rPr>
        <w:t>名以上成交候选供应商，并编写评审报告报采购人。评审得分相同的，按照最后报价由低到高的顺序推荐。评审得分且最后报价相同的，按照技术指标优劣顺序推荐。</w:t>
      </w:r>
    </w:p>
    <w:p w14:paraId="28DE8406">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25.确定成交单位</w:t>
      </w:r>
    </w:p>
    <w:p w14:paraId="3067612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采购人按照磋商小组推荐的成交候选人排名顺序确定成交单位。采购代理机构将成交结果通知所有未成交的供应商。</w:t>
      </w:r>
    </w:p>
    <w:p w14:paraId="0F479338">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七、授予合同</w:t>
      </w:r>
    </w:p>
    <w:p w14:paraId="24345504">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26.成交通知书</w:t>
      </w:r>
    </w:p>
    <w:p w14:paraId="2F0515A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26.1</w:t>
      </w:r>
      <w:r>
        <w:rPr>
          <w:rFonts w:hint="eastAsia" w:ascii="仿宋" w:hAnsi="仿宋" w:eastAsia="仿宋" w:cs="仿宋"/>
          <w:color w:val="auto"/>
          <w:lang w:eastAsia="zh-CN"/>
        </w:rPr>
        <w:t>采购代理机构在收到采购人的成交复函后，按程序在陕西省政府采购网上和陕西省公共资源交易平台发布成交公告，并在规定时间内向成交人发出成交通知书。</w:t>
      </w:r>
    </w:p>
    <w:p w14:paraId="6A2D46B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26.2</w:t>
      </w:r>
      <w:r>
        <w:rPr>
          <w:rFonts w:hint="eastAsia" w:ascii="仿宋" w:hAnsi="仿宋" w:eastAsia="仿宋" w:cs="仿宋"/>
          <w:color w:val="auto"/>
          <w:lang w:eastAsia="zh-CN"/>
        </w:rPr>
        <w:t>成交通知书是合同的组成部分。</w:t>
      </w:r>
    </w:p>
    <w:p w14:paraId="50E3BE62">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27.成交服务费</w:t>
      </w:r>
    </w:p>
    <w:p w14:paraId="53B2029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成交人应按约定向陕西中源项目管理有限公司缴纳采购代理服务费。收费参照《国家发展改革委关于进一步放开建设项目专业服务价格的通知》（发改价格〔</w:t>
      </w:r>
      <w:r>
        <w:rPr>
          <w:rFonts w:hint="eastAsia" w:ascii="仿宋" w:hAnsi="仿宋" w:eastAsia="仿宋" w:cs="仿宋"/>
          <w:color w:val="auto"/>
        </w:rPr>
        <w:t>2015</w:t>
      </w:r>
      <w:r>
        <w:rPr>
          <w:rFonts w:hint="eastAsia" w:ascii="仿宋" w:hAnsi="仿宋" w:eastAsia="仿宋" w:cs="仿宋"/>
          <w:color w:val="auto"/>
          <w:lang w:eastAsia="zh-CN"/>
        </w:rPr>
        <w:t>〕</w:t>
      </w:r>
      <w:r>
        <w:rPr>
          <w:rFonts w:hint="eastAsia" w:ascii="仿宋" w:hAnsi="仿宋" w:eastAsia="仿宋" w:cs="仿宋"/>
          <w:color w:val="auto"/>
        </w:rPr>
        <w:t>299</w:t>
      </w:r>
      <w:r>
        <w:rPr>
          <w:rFonts w:hint="eastAsia" w:ascii="仿宋" w:hAnsi="仿宋" w:eastAsia="仿宋" w:cs="仿宋"/>
          <w:color w:val="auto"/>
          <w:lang w:eastAsia="zh-CN"/>
        </w:rPr>
        <w:t>号）市场化调节价执行，</w:t>
      </w:r>
      <w:r>
        <w:rPr>
          <w:rFonts w:hint="eastAsia" w:ascii="仿宋" w:hAnsi="仿宋" w:eastAsia="仿宋" w:cs="仿宋"/>
          <w:color w:val="auto"/>
          <w:lang w:val="en-US" w:eastAsia="zh-CN"/>
        </w:rPr>
        <w:t>服务类按照中标价的1.5%收取</w:t>
      </w:r>
      <w:r>
        <w:rPr>
          <w:rFonts w:hint="eastAsia" w:ascii="仿宋" w:hAnsi="仿宋" w:eastAsia="仿宋" w:cs="仿宋"/>
          <w:color w:val="auto"/>
          <w:lang w:eastAsia="zh-CN"/>
        </w:rPr>
        <w:t>。</w:t>
      </w:r>
    </w:p>
    <w:p w14:paraId="51BEE001">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28.签订合同</w:t>
      </w:r>
    </w:p>
    <w:p w14:paraId="5548588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28.1</w:t>
      </w:r>
      <w:r>
        <w:rPr>
          <w:rFonts w:hint="eastAsia" w:ascii="仿宋" w:hAnsi="仿宋" w:eastAsia="仿宋" w:cs="仿宋"/>
          <w:color w:val="auto"/>
          <w:lang w:eastAsia="zh-CN"/>
        </w:rPr>
        <w:t>成交人应按《成交通知书》指定的时间、地点与采购人签订合同。</w:t>
      </w:r>
    </w:p>
    <w:p w14:paraId="54D49F2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28.2</w:t>
      </w:r>
      <w:r>
        <w:rPr>
          <w:rFonts w:hint="eastAsia" w:ascii="仿宋" w:hAnsi="仿宋" w:eastAsia="仿宋" w:cs="仿宋"/>
          <w:color w:val="auto"/>
          <w:lang w:eastAsia="zh-CN"/>
        </w:rPr>
        <w:t>如果成交人没有按照上述第</w:t>
      </w:r>
      <w:r>
        <w:rPr>
          <w:rFonts w:hint="eastAsia" w:ascii="仿宋" w:hAnsi="仿宋" w:eastAsia="仿宋" w:cs="仿宋"/>
          <w:color w:val="auto"/>
        </w:rPr>
        <w:t>27</w:t>
      </w:r>
      <w:r>
        <w:rPr>
          <w:rFonts w:hint="eastAsia" w:ascii="仿宋" w:hAnsi="仿宋" w:eastAsia="仿宋" w:cs="仿宋"/>
          <w:color w:val="auto"/>
          <w:lang w:eastAsia="zh-CN"/>
        </w:rPr>
        <w:t>条或第</w:t>
      </w:r>
      <w:r>
        <w:rPr>
          <w:rFonts w:hint="eastAsia" w:ascii="仿宋" w:hAnsi="仿宋" w:eastAsia="仿宋" w:cs="仿宋"/>
          <w:color w:val="auto"/>
        </w:rPr>
        <w:t>28.1</w:t>
      </w:r>
      <w:r>
        <w:rPr>
          <w:rFonts w:hint="eastAsia" w:ascii="仿宋" w:hAnsi="仿宋" w:eastAsia="仿宋" w:cs="仿宋"/>
          <w:color w:val="auto"/>
          <w:lang w:eastAsia="zh-CN"/>
        </w:rPr>
        <w:t>条规定执行，采购人将有充分理由取消该成交决定。在此情况下，采购人可将合同授予综合得分排序名列下一个的供应商，或重新采购。</w:t>
      </w:r>
    </w:p>
    <w:p w14:paraId="021E51D1">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29.拒绝商业贿赂</w:t>
      </w:r>
    </w:p>
    <w:p w14:paraId="16524E7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供应商须填写《供应商拒绝政府采购领域商业贿赂承诺书》（格式见第五章），编制在磋商响应文件中。</w:t>
      </w:r>
    </w:p>
    <w:p w14:paraId="11162EE7">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八、质疑与投诉</w:t>
      </w:r>
    </w:p>
    <w:p w14:paraId="157EF374">
      <w:pPr>
        <w:pStyle w:val="9"/>
        <w:pageBreakBefore w:val="0"/>
        <w:widowControl/>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color w:val="auto"/>
        </w:rPr>
      </w:pPr>
      <w:r>
        <w:rPr>
          <w:rFonts w:hint="eastAsia" w:ascii="仿宋" w:hAnsi="仿宋" w:eastAsia="仿宋" w:cs="仿宋"/>
          <w:color w:val="auto"/>
          <w:sz w:val="24"/>
          <w:lang w:eastAsia="zh-CN"/>
        </w:rPr>
        <w:t>30.质疑及投诉</w:t>
      </w:r>
    </w:p>
    <w:p w14:paraId="0F25975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30.1</w:t>
      </w:r>
      <w:r>
        <w:rPr>
          <w:rFonts w:hint="eastAsia" w:ascii="仿宋" w:hAnsi="仿宋" w:eastAsia="仿宋" w:cs="仿宋"/>
          <w:color w:val="auto"/>
          <w:lang w:eastAsia="zh-CN"/>
        </w:rPr>
        <w:t>质疑：供应商认为采购文件、采购过程、中标或者成交结果使自己的权益受到损害的，可以在知道或者应知其权益受到损害之日起</w:t>
      </w:r>
      <w:r>
        <w:rPr>
          <w:rFonts w:hint="eastAsia" w:ascii="仿宋" w:hAnsi="仿宋" w:eastAsia="仿宋" w:cs="仿宋"/>
          <w:color w:val="auto"/>
        </w:rPr>
        <w:t>7</w:t>
      </w:r>
      <w:r>
        <w:rPr>
          <w:rFonts w:hint="eastAsia" w:ascii="仿宋" w:hAnsi="仿宋" w:eastAsia="仿宋" w:cs="仿宋"/>
          <w:color w:val="auto"/>
          <w:lang w:eastAsia="zh-CN"/>
        </w:rPr>
        <w:t>个工作日内，以书面形式向采购人、采购代理机构当面提出质疑。针对同一采购程序环节的质疑应在法定质疑期内一次性提出。</w:t>
      </w:r>
    </w:p>
    <w:p w14:paraId="60711C6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提出质疑的供应商应当是参与本项目采购活动的供应商。潜在供应商已依法获取其可质疑的采购文件的，可以对该文件提出质疑，对采购文件提出质疑的，应当在获取采购文件起</w:t>
      </w:r>
      <w:r>
        <w:rPr>
          <w:rFonts w:hint="eastAsia" w:ascii="仿宋" w:hAnsi="仿宋" w:eastAsia="仿宋" w:cs="仿宋"/>
          <w:color w:val="auto"/>
        </w:rPr>
        <w:t>7</w:t>
      </w:r>
      <w:r>
        <w:rPr>
          <w:rFonts w:hint="eastAsia" w:ascii="仿宋" w:hAnsi="仿宋" w:eastAsia="仿宋" w:cs="仿宋"/>
          <w:color w:val="auto"/>
          <w:lang w:eastAsia="zh-CN"/>
        </w:rPr>
        <w:t>个工作日内提出。</w:t>
      </w:r>
    </w:p>
    <w:p w14:paraId="6ABD8DD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供应商提出质疑应当提交质疑函和必要的证明材料，质疑函应当包括下列内容：（</w:t>
      </w:r>
      <w:r>
        <w:rPr>
          <w:rFonts w:hint="eastAsia" w:ascii="仿宋" w:hAnsi="仿宋" w:eastAsia="仿宋" w:cs="仿宋"/>
          <w:color w:val="auto"/>
        </w:rPr>
        <w:t>1</w:t>
      </w:r>
      <w:r>
        <w:rPr>
          <w:rFonts w:hint="eastAsia" w:ascii="仿宋" w:hAnsi="仿宋" w:eastAsia="仿宋" w:cs="仿宋"/>
          <w:color w:val="auto"/>
          <w:lang w:eastAsia="zh-CN"/>
        </w:rPr>
        <w:t>）供应商的姓名或者名称、地址、邮编、联系人及联系电话；（</w:t>
      </w:r>
      <w:r>
        <w:rPr>
          <w:rFonts w:hint="eastAsia" w:ascii="仿宋" w:hAnsi="仿宋" w:eastAsia="仿宋" w:cs="仿宋"/>
          <w:color w:val="auto"/>
        </w:rPr>
        <w:t>2</w:t>
      </w:r>
      <w:r>
        <w:rPr>
          <w:rFonts w:hint="eastAsia" w:ascii="仿宋" w:hAnsi="仿宋" w:eastAsia="仿宋" w:cs="仿宋"/>
          <w:color w:val="auto"/>
          <w:lang w:eastAsia="zh-CN"/>
        </w:rPr>
        <w:t>）质疑项目的名称、编号；（</w:t>
      </w:r>
      <w:r>
        <w:rPr>
          <w:rFonts w:hint="eastAsia" w:ascii="仿宋" w:hAnsi="仿宋" w:eastAsia="仿宋" w:cs="仿宋"/>
          <w:color w:val="auto"/>
        </w:rPr>
        <w:t>3</w:t>
      </w:r>
      <w:r>
        <w:rPr>
          <w:rFonts w:hint="eastAsia" w:ascii="仿宋" w:hAnsi="仿宋" w:eastAsia="仿宋" w:cs="仿宋"/>
          <w:color w:val="auto"/>
          <w:lang w:eastAsia="zh-CN"/>
        </w:rPr>
        <w:t>）具体、明确的质疑事项和与质疑事项相关的请求；（</w:t>
      </w:r>
      <w:r>
        <w:rPr>
          <w:rFonts w:hint="eastAsia" w:ascii="仿宋" w:hAnsi="仿宋" w:eastAsia="仿宋" w:cs="仿宋"/>
          <w:color w:val="auto"/>
        </w:rPr>
        <w:t>4</w:t>
      </w:r>
      <w:r>
        <w:rPr>
          <w:rFonts w:hint="eastAsia" w:ascii="仿宋" w:hAnsi="仿宋" w:eastAsia="仿宋" w:cs="仿宋"/>
          <w:color w:val="auto"/>
          <w:lang w:eastAsia="zh-CN"/>
        </w:rPr>
        <w:t>）事实依据；（</w:t>
      </w:r>
      <w:r>
        <w:rPr>
          <w:rFonts w:hint="eastAsia" w:ascii="仿宋" w:hAnsi="仿宋" w:eastAsia="仿宋" w:cs="仿宋"/>
          <w:color w:val="auto"/>
        </w:rPr>
        <w:t>5</w:t>
      </w:r>
      <w:r>
        <w:rPr>
          <w:rFonts w:hint="eastAsia" w:ascii="仿宋" w:hAnsi="仿宋" w:eastAsia="仿宋" w:cs="仿宋"/>
          <w:color w:val="auto"/>
          <w:lang w:eastAsia="zh-CN"/>
        </w:rPr>
        <w:t>）必要的法律依据；（</w:t>
      </w:r>
      <w:r>
        <w:rPr>
          <w:rFonts w:hint="eastAsia" w:ascii="仿宋" w:hAnsi="仿宋" w:eastAsia="仿宋" w:cs="仿宋"/>
          <w:color w:val="auto"/>
        </w:rPr>
        <w:t>6</w:t>
      </w:r>
      <w:r>
        <w:rPr>
          <w:rFonts w:hint="eastAsia" w:ascii="仿宋" w:hAnsi="仿宋" w:eastAsia="仿宋" w:cs="仿宋"/>
          <w:color w:val="auto"/>
          <w:lang w:eastAsia="zh-CN"/>
        </w:rPr>
        <w:t>）提出质疑的日期。</w:t>
      </w:r>
    </w:p>
    <w:p w14:paraId="4AE5D08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为自然人的，应当由本人签字；供应商为法人或者其他组织的，应当由法定代表人、主要负责人，或者其授权代表签字或者盖章并加盖公章。供应商可以委托代理人进行质疑和投诉，其授权委托书应当载明代理人的姓名或者名称、代理事项、具体权限、期限和相关事项。</w:t>
      </w:r>
    </w:p>
    <w:p w14:paraId="7BDF7D3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采购人负责供应商质疑答复，采购人委托采购代理机构采购的，采购代理机构在委托授权范围内作出答复。</w:t>
      </w:r>
    </w:p>
    <w:p w14:paraId="797208C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接收质疑函的方式和联系方式：可以在本项目采购公告、结果公告发布之日起</w:t>
      </w:r>
      <w:r>
        <w:rPr>
          <w:rFonts w:hint="eastAsia" w:ascii="仿宋" w:hAnsi="仿宋" w:eastAsia="仿宋" w:cs="仿宋"/>
          <w:color w:val="auto"/>
        </w:rPr>
        <w:t>7</w:t>
      </w:r>
      <w:r>
        <w:rPr>
          <w:rFonts w:hint="eastAsia" w:ascii="仿宋" w:hAnsi="仿宋" w:eastAsia="仿宋" w:cs="仿宋"/>
          <w:color w:val="auto"/>
          <w:lang w:eastAsia="zh-CN"/>
        </w:rPr>
        <w:t>个工作日内，以书面形式（陕西省政府采购网上政府采购供应商质疑函范本）一次性向采购代理机构当面递交，在此之后提出的询问和质疑均为无效，采购代理机构不予受理。</w:t>
      </w:r>
    </w:p>
    <w:p w14:paraId="22968B6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采购人名称：安康市住房和城乡建设局</w:t>
      </w:r>
    </w:p>
    <w:p w14:paraId="091BED6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地址：安康市滨江大道</w:t>
      </w:r>
    </w:p>
    <w:p w14:paraId="4174296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联系方式：</w:t>
      </w:r>
      <w:r>
        <w:rPr>
          <w:rFonts w:hint="eastAsia" w:ascii="仿宋" w:hAnsi="仿宋" w:eastAsia="仿宋" w:cs="仿宋"/>
          <w:color w:val="auto"/>
        </w:rPr>
        <w:t>0915-3230552</w:t>
      </w:r>
    </w:p>
    <w:p w14:paraId="3220A2F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采购代理机构：陕西中源项目管理有限公司</w:t>
      </w:r>
    </w:p>
    <w:p w14:paraId="5DEA056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地址：安康市汉滨区木竹桥安置点一栋三楼</w:t>
      </w:r>
    </w:p>
    <w:p w14:paraId="7CDD91E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联系方式：徐工</w:t>
      </w:r>
      <w:r>
        <w:rPr>
          <w:rFonts w:hint="eastAsia" w:ascii="仿宋" w:hAnsi="仿宋" w:eastAsia="仿宋" w:cs="仿宋"/>
          <w:color w:val="auto"/>
        </w:rPr>
        <w:t>16609151911</w:t>
      </w:r>
    </w:p>
    <w:p w14:paraId="459CCE7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30.2</w:t>
      </w:r>
      <w:r>
        <w:rPr>
          <w:rFonts w:hint="eastAsia" w:ascii="仿宋" w:hAnsi="仿宋" w:eastAsia="仿宋" w:cs="仿宋"/>
          <w:color w:val="auto"/>
          <w:lang w:eastAsia="zh-CN"/>
        </w:rPr>
        <w:t>投诉：质疑供应商对采购人、采购代理机构的答复不满意，或者采购人、采购代理机构未在规定时间内作出答复的，可以在答复期满后</w:t>
      </w:r>
      <w:r>
        <w:rPr>
          <w:rFonts w:hint="eastAsia" w:ascii="仿宋" w:hAnsi="仿宋" w:eastAsia="仿宋" w:cs="仿宋"/>
          <w:color w:val="auto"/>
        </w:rPr>
        <w:t>15</w:t>
      </w:r>
      <w:r>
        <w:rPr>
          <w:rFonts w:hint="eastAsia" w:ascii="仿宋" w:hAnsi="仿宋" w:eastAsia="仿宋" w:cs="仿宋"/>
          <w:color w:val="auto"/>
          <w:lang w:eastAsia="zh-CN"/>
        </w:rPr>
        <w:t>个工作日内向同级财政部门提起投诉。</w:t>
      </w:r>
    </w:p>
    <w:p w14:paraId="3E33357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投诉人投诉时，应当提交投诉书和必要的证明材料，并按照被投诉采购人、采购代理机构（以下简称被投诉人）和与投诉事项有关的供应商数量提供投诉书的副本。投诉书应当包括下列内容：（</w:t>
      </w:r>
      <w:r>
        <w:rPr>
          <w:rFonts w:hint="eastAsia" w:ascii="仿宋" w:hAnsi="仿宋" w:eastAsia="仿宋" w:cs="仿宋"/>
          <w:color w:val="auto"/>
        </w:rPr>
        <w:t>1</w:t>
      </w:r>
      <w:r>
        <w:rPr>
          <w:rFonts w:hint="eastAsia" w:ascii="仿宋" w:hAnsi="仿宋" w:eastAsia="仿宋" w:cs="仿宋"/>
          <w:color w:val="auto"/>
          <w:lang w:eastAsia="zh-CN"/>
        </w:rPr>
        <w:t>）投诉人和被投诉人的姓名或者名称、通讯地址、邮编、联系人及联系电话；（</w:t>
      </w:r>
      <w:r>
        <w:rPr>
          <w:rFonts w:hint="eastAsia" w:ascii="仿宋" w:hAnsi="仿宋" w:eastAsia="仿宋" w:cs="仿宋"/>
          <w:color w:val="auto"/>
        </w:rPr>
        <w:t>2</w:t>
      </w:r>
      <w:r>
        <w:rPr>
          <w:rFonts w:hint="eastAsia" w:ascii="仿宋" w:hAnsi="仿宋" w:eastAsia="仿宋" w:cs="仿宋"/>
          <w:color w:val="auto"/>
          <w:lang w:eastAsia="zh-CN"/>
        </w:rPr>
        <w:t>）质疑和质疑答复情况说明及相关证明材料；（</w:t>
      </w:r>
      <w:r>
        <w:rPr>
          <w:rFonts w:hint="eastAsia" w:ascii="仿宋" w:hAnsi="仿宋" w:eastAsia="仿宋" w:cs="仿宋"/>
          <w:color w:val="auto"/>
        </w:rPr>
        <w:t>3</w:t>
      </w:r>
      <w:r>
        <w:rPr>
          <w:rFonts w:hint="eastAsia" w:ascii="仿宋" w:hAnsi="仿宋" w:eastAsia="仿宋" w:cs="仿宋"/>
          <w:color w:val="auto"/>
          <w:lang w:eastAsia="zh-CN"/>
        </w:rPr>
        <w:t>）具体、明确的投诉事项和与投诉事项相关的投诉请求；（</w:t>
      </w:r>
      <w:r>
        <w:rPr>
          <w:rFonts w:hint="eastAsia" w:ascii="仿宋" w:hAnsi="仿宋" w:eastAsia="仿宋" w:cs="仿宋"/>
          <w:color w:val="auto"/>
        </w:rPr>
        <w:t>4</w:t>
      </w:r>
      <w:r>
        <w:rPr>
          <w:rFonts w:hint="eastAsia" w:ascii="仿宋" w:hAnsi="仿宋" w:eastAsia="仿宋" w:cs="仿宋"/>
          <w:color w:val="auto"/>
          <w:lang w:eastAsia="zh-CN"/>
        </w:rPr>
        <w:t>）事实依据；（</w:t>
      </w:r>
      <w:r>
        <w:rPr>
          <w:rFonts w:hint="eastAsia" w:ascii="仿宋" w:hAnsi="仿宋" w:eastAsia="仿宋" w:cs="仿宋"/>
          <w:color w:val="auto"/>
        </w:rPr>
        <w:t>5</w:t>
      </w:r>
      <w:r>
        <w:rPr>
          <w:rFonts w:hint="eastAsia" w:ascii="仿宋" w:hAnsi="仿宋" w:eastAsia="仿宋" w:cs="仿宋"/>
          <w:color w:val="auto"/>
          <w:lang w:eastAsia="zh-CN"/>
        </w:rPr>
        <w:t>）法律依据；（</w:t>
      </w:r>
      <w:r>
        <w:rPr>
          <w:rFonts w:hint="eastAsia" w:ascii="仿宋" w:hAnsi="仿宋" w:eastAsia="仿宋" w:cs="仿宋"/>
          <w:color w:val="auto"/>
        </w:rPr>
        <w:t>6</w:t>
      </w:r>
      <w:r>
        <w:rPr>
          <w:rFonts w:hint="eastAsia" w:ascii="仿宋" w:hAnsi="仿宋" w:eastAsia="仿宋" w:cs="仿宋"/>
          <w:color w:val="auto"/>
          <w:lang w:eastAsia="zh-CN"/>
        </w:rPr>
        <w:t>）提起投诉的日期。</w:t>
      </w:r>
    </w:p>
    <w:p w14:paraId="18DA71F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投诉人提起投诉应当符合《政府采购质疑和投诉办法》（财政部令第</w:t>
      </w:r>
      <w:r>
        <w:rPr>
          <w:rFonts w:hint="eastAsia" w:ascii="仿宋" w:hAnsi="仿宋" w:eastAsia="仿宋" w:cs="仿宋"/>
          <w:color w:val="auto"/>
        </w:rPr>
        <w:t>94</w:t>
      </w:r>
      <w:r>
        <w:rPr>
          <w:rFonts w:hint="eastAsia" w:ascii="仿宋" w:hAnsi="仿宋" w:eastAsia="仿宋" w:cs="仿宋"/>
          <w:color w:val="auto"/>
          <w:lang w:eastAsia="zh-CN"/>
        </w:rPr>
        <w:t>号）规定的条件；供应商投诉的事项不得超出已质疑事项的范围，但基于质疑答复内容提出的投诉事项除外。</w:t>
      </w:r>
    </w:p>
    <w:p w14:paraId="6A4C03A5">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九、陕西省中小企业政府采购信用融资</w:t>
      </w:r>
    </w:p>
    <w:p w14:paraId="2218AB7C">
      <w:pPr>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rPr>
        <w:sectPr>
          <w:pgSz w:w="11906" w:h="16838"/>
          <w:pgMar w:top="1440" w:right="1797" w:bottom="1440" w:left="1797" w:header="720" w:footer="720" w:gutter="0"/>
          <w:pgNumType w:fmt="decimal"/>
          <w:cols w:space="720" w:num="1"/>
        </w:sectPr>
      </w:pPr>
      <w:r>
        <w:rPr>
          <w:rFonts w:hint="eastAsia" w:ascii="仿宋" w:hAnsi="仿宋" w:eastAsia="仿宋" w:cs="仿宋"/>
          <w:color w:val="auto"/>
          <w:lang w:eastAsia="zh-CN"/>
        </w:rPr>
        <w:t>依据《陕西省中小企业政府采购信用融资办法》（陕财办采〔</w:t>
      </w:r>
      <w:r>
        <w:rPr>
          <w:rFonts w:hint="eastAsia" w:ascii="仿宋" w:hAnsi="仿宋" w:eastAsia="仿宋" w:cs="仿宋"/>
          <w:color w:val="auto"/>
        </w:rPr>
        <w:t>2018</w:t>
      </w:r>
      <w:r>
        <w:rPr>
          <w:rFonts w:hint="eastAsia" w:ascii="仿宋" w:hAnsi="仿宋" w:eastAsia="仿宋" w:cs="仿宋"/>
          <w:color w:val="auto"/>
          <w:lang w:eastAsia="zh-CN"/>
        </w:rPr>
        <w:t>〕</w:t>
      </w:r>
      <w:r>
        <w:rPr>
          <w:rFonts w:hint="eastAsia" w:ascii="仿宋" w:hAnsi="仿宋" w:eastAsia="仿宋" w:cs="仿宋"/>
          <w:color w:val="auto"/>
        </w:rPr>
        <w:t>23</w:t>
      </w:r>
      <w:r>
        <w:rPr>
          <w:rFonts w:hint="eastAsia" w:ascii="仿宋" w:hAnsi="仿宋" w:eastAsia="仿宋" w:cs="仿宋"/>
          <w:color w:val="auto"/>
          <w:lang w:eastAsia="zh-CN"/>
        </w:rPr>
        <w:t>号），政府采购信用融资是指银行业金融机构以政府采购诚信考核和信用审查为基础，凭借政府采购合同，按优于一般中小企业的贷款利率直接向申请贷款的供应商发放贷款的一种融资方式。中小企业获得政府采购合同后，可凭政府采购合同向银行提出融资申请；银行原则上不得要求供应商提供财产抵押或第三方担保。对拟用于信用融资的政府采购合同，供应商在签署合同时应当向采购单位或采购代理机构申明或提示该合同将用于申请信用融资，并在合同中注明融资银行名称及在该银行开设的收款账号信息。相关银行产品信息、授信额度、贷款期限及利率可登录陕西省政府采购网（</w:t>
      </w:r>
      <w:r>
        <w:rPr>
          <w:rFonts w:hint="eastAsia" w:ascii="仿宋" w:hAnsi="仿宋" w:eastAsia="仿宋" w:cs="仿宋"/>
          <w:color w:val="auto"/>
        </w:rPr>
        <w:t>http://www.ccgpshaanxi.gov.cn/</w:t>
      </w:r>
      <w:r>
        <w:rPr>
          <w:rFonts w:hint="eastAsia" w:ascii="仿宋" w:hAnsi="仿宋" w:eastAsia="仿宋" w:cs="仿宋"/>
          <w:color w:val="auto"/>
          <w:lang w:eastAsia="zh-CN"/>
        </w:rPr>
        <w:t>）重要通知专栏查询了解。供应商弄虚作假或以伪造政府采购合同等方式违规获取政府采购信用融资的，除按融资合同约定承担违约责任外，同级财政部门应当将其行为按</w:t>
      </w:r>
      <w:r>
        <w:rPr>
          <w:rFonts w:hint="eastAsia" w:ascii="仿宋" w:hAnsi="仿宋" w:eastAsia="仿宋" w:cs="仿宋"/>
          <w:color w:val="auto"/>
        </w:rPr>
        <w:t>"</w:t>
      </w:r>
      <w:r>
        <w:rPr>
          <w:rFonts w:hint="eastAsia" w:ascii="仿宋" w:hAnsi="仿宋" w:eastAsia="仿宋" w:cs="仿宋"/>
          <w:color w:val="auto"/>
          <w:lang w:eastAsia="zh-CN"/>
        </w:rPr>
        <w:t>不良行为</w:t>
      </w:r>
      <w:r>
        <w:rPr>
          <w:rFonts w:hint="eastAsia" w:ascii="仿宋" w:hAnsi="仿宋" w:eastAsia="仿宋" w:cs="仿宋"/>
          <w:color w:val="auto"/>
        </w:rPr>
        <w:t>"</w:t>
      </w:r>
      <w:r>
        <w:rPr>
          <w:rFonts w:hint="eastAsia" w:ascii="仿宋" w:hAnsi="仿宋" w:eastAsia="仿宋" w:cs="仿宋"/>
          <w:color w:val="auto"/>
          <w:lang w:eastAsia="zh-CN"/>
        </w:rPr>
        <w:t>记入供应商诚信档案；情节严重的，应记入供应商</w:t>
      </w:r>
      <w:r>
        <w:rPr>
          <w:rFonts w:hint="eastAsia" w:ascii="仿宋" w:hAnsi="仿宋" w:eastAsia="仿宋" w:cs="仿宋"/>
          <w:color w:val="auto"/>
        </w:rPr>
        <w:t>"</w:t>
      </w:r>
      <w:r>
        <w:rPr>
          <w:rFonts w:hint="eastAsia" w:ascii="仿宋" w:hAnsi="仿宋" w:eastAsia="仿宋" w:cs="仿宋"/>
          <w:color w:val="auto"/>
          <w:lang w:eastAsia="zh-CN"/>
        </w:rPr>
        <w:t>黑名单</w:t>
      </w:r>
      <w:r>
        <w:rPr>
          <w:rFonts w:hint="eastAsia" w:ascii="仿宋" w:hAnsi="仿宋" w:eastAsia="仿宋" w:cs="仿宋"/>
          <w:color w:val="auto"/>
        </w:rPr>
        <w:t>"</w:t>
      </w:r>
      <w:r>
        <w:rPr>
          <w:rFonts w:hint="eastAsia" w:ascii="仿宋" w:hAnsi="仿宋" w:eastAsia="仿宋" w:cs="仿宋"/>
          <w:color w:val="auto"/>
          <w:lang w:eastAsia="zh-CN"/>
        </w:rPr>
        <w:t>；涉嫌犯罪的，移送司法机关处理。</w:t>
      </w:r>
    </w:p>
    <w:p w14:paraId="1E608E06">
      <w:pPr>
        <w:pStyle w:val="7"/>
        <w:ind w:left="0" w:leftChars="0" w:firstLine="0" w:firstLineChars="0"/>
        <w:jc w:val="center"/>
        <w:rPr>
          <w:rFonts w:hint="eastAsia" w:ascii="仿宋" w:hAnsi="仿宋" w:eastAsia="仿宋" w:cs="仿宋"/>
          <w:color w:val="auto"/>
        </w:rPr>
      </w:pPr>
      <w:r>
        <w:rPr>
          <w:rFonts w:hint="eastAsia" w:ascii="仿宋" w:hAnsi="仿宋" w:eastAsia="仿宋" w:cs="仿宋"/>
          <w:color w:val="auto"/>
          <w:sz w:val="32"/>
          <w:lang w:eastAsia="zh-CN"/>
        </w:rPr>
        <w:t>第</w:t>
      </w:r>
      <w:r>
        <w:rPr>
          <w:rFonts w:hint="eastAsia" w:ascii="仿宋" w:hAnsi="仿宋" w:eastAsia="仿宋" w:cs="仿宋"/>
          <w:color w:val="auto"/>
          <w:sz w:val="32"/>
          <w:lang w:val="en-US" w:eastAsia="zh-CN"/>
        </w:rPr>
        <w:t>三</w:t>
      </w:r>
      <w:r>
        <w:rPr>
          <w:rFonts w:hint="eastAsia" w:ascii="仿宋" w:hAnsi="仿宋" w:eastAsia="仿宋" w:cs="仿宋"/>
          <w:color w:val="auto"/>
          <w:sz w:val="32"/>
          <w:lang w:eastAsia="zh-CN"/>
        </w:rPr>
        <w:t>章</w:t>
      </w: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lang w:eastAsia="zh-CN"/>
        </w:rPr>
        <w:t>采购需求</w:t>
      </w:r>
    </w:p>
    <w:p w14:paraId="4A221FA5">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一、项目概况</w:t>
      </w:r>
    </w:p>
    <w:p w14:paraId="382FA18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基本情况：本项目位于安康市江北城区，西起安旬路口，设计管道沿江北大道敷设，东至芳蒋路，全长约</w:t>
      </w:r>
      <w:r>
        <w:rPr>
          <w:rFonts w:hint="eastAsia" w:ascii="仿宋" w:hAnsi="仿宋" w:eastAsia="仿宋" w:cs="仿宋"/>
          <w:color w:val="auto"/>
        </w:rPr>
        <w:t>1.8km</w:t>
      </w:r>
      <w:r>
        <w:rPr>
          <w:rFonts w:hint="eastAsia" w:ascii="仿宋" w:hAnsi="仿宋" w:eastAsia="仿宋" w:cs="仿宋"/>
          <w:color w:val="auto"/>
          <w:lang w:eastAsia="zh-CN"/>
        </w:rPr>
        <w:t>。主要内容包含</w:t>
      </w:r>
      <w:r>
        <w:rPr>
          <w:rFonts w:hint="eastAsia" w:ascii="仿宋" w:hAnsi="仿宋" w:eastAsia="仿宋" w:cs="仿宋"/>
          <w:color w:val="auto"/>
        </w:rPr>
        <w:t>D500</w:t>
      </w:r>
      <w:r>
        <w:rPr>
          <w:rFonts w:hint="eastAsia" w:ascii="仿宋" w:hAnsi="仿宋" w:eastAsia="仿宋" w:cs="仿宋"/>
          <w:color w:val="auto"/>
          <w:lang w:eastAsia="zh-CN"/>
        </w:rPr>
        <w:t>～</w:t>
      </w:r>
      <w:r>
        <w:rPr>
          <w:rFonts w:hint="eastAsia" w:ascii="仿宋" w:hAnsi="仿宋" w:eastAsia="仿宋" w:cs="仿宋"/>
          <w:color w:val="auto"/>
        </w:rPr>
        <w:t>D1200</w:t>
      </w:r>
      <w:r>
        <w:rPr>
          <w:rFonts w:hint="eastAsia" w:ascii="仿宋" w:hAnsi="仿宋" w:eastAsia="仿宋" w:cs="仿宋"/>
          <w:color w:val="auto"/>
          <w:lang w:eastAsia="zh-CN"/>
        </w:rPr>
        <w:t>钢筋混凝土雨水主管道共</w:t>
      </w:r>
      <w:r>
        <w:rPr>
          <w:rFonts w:hint="eastAsia" w:ascii="仿宋" w:hAnsi="仿宋" w:eastAsia="仿宋" w:cs="仿宋"/>
          <w:color w:val="auto"/>
        </w:rPr>
        <w:t>2295m</w:t>
      </w:r>
      <w:r>
        <w:rPr>
          <w:rFonts w:hint="eastAsia" w:ascii="仿宋" w:hAnsi="仿宋" w:eastAsia="仿宋" w:cs="仿宋"/>
          <w:color w:val="auto"/>
          <w:lang w:eastAsia="zh-CN"/>
        </w:rPr>
        <w:t>，</w:t>
      </w:r>
      <w:r>
        <w:rPr>
          <w:rFonts w:hint="eastAsia" w:ascii="仿宋" w:hAnsi="仿宋" w:eastAsia="仿宋" w:cs="仿宋"/>
          <w:color w:val="auto"/>
        </w:rPr>
        <w:t>D300</w:t>
      </w:r>
      <w:r>
        <w:rPr>
          <w:rFonts w:hint="eastAsia" w:ascii="仿宋" w:hAnsi="仿宋" w:eastAsia="仿宋" w:cs="仿宋"/>
          <w:color w:val="auto"/>
          <w:lang w:eastAsia="zh-CN"/>
        </w:rPr>
        <w:t>雨水口连接管</w:t>
      </w:r>
      <w:r>
        <w:rPr>
          <w:rFonts w:hint="eastAsia" w:ascii="仿宋" w:hAnsi="仿宋" w:eastAsia="仿宋" w:cs="仿宋"/>
          <w:color w:val="auto"/>
        </w:rPr>
        <w:t>1020m</w:t>
      </w:r>
      <w:r>
        <w:rPr>
          <w:rFonts w:hint="eastAsia" w:ascii="仿宋" w:hAnsi="仿宋" w:eastAsia="仿宋" w:cs="仿宋"/>
          <w:color w:val="auto"/>
          <w:lang w:eastAsia="zh-CN"/>
        </w:rPr>
        <w:t>，</w:t>
      </w:r>
      <w:r>
        <w:rPr>
          <w:rFonts w:hint="eastAsia" w:ascii="仿宋" w:hAnsi="仿宋" w:eastAsia="仿宋" w:cs="仿宋"/>
          <w:color w:val="auto"/>
        </w:rPr>
        <w:t>D1200</w:t>
      </w:r>
      <w:r>
        <w:rPr>
          <w:rFonts w:hint="eastAsia" w:ascii="仿宋" w:hAnsi="仿宋" w:eastAsia="仿宋" w:cs="仿宋"/>
          <w:color w:val="auto"/>
          <w:lang w:eastAsia="zh-CN"/>
        </w:rPr>
        <w:t>钢筋混凝土顶管施工</w:t>
      </w:r>
      <w:r>
        <w:rPr>
          <w:rFonts w:hint="eastAsia" w:ascii="仿宋" w:hAnsi="仿宋" w:eastAsia="仿宋" w:cs="仿宋"/>
          <w:color w:val="auto"/>
        </w:rPr>
        <w:t>22m</w:t>
      </w:r>
      <w:r>
        <w:rPr>
          <w:rFonts w:hint="eastAsia" w:ascii="仿宋" w:hAnsi="仿宋" w:eastAsia="仿宋" w:cs="仿宋"/>
          <w:color w:val="auto"/>
          <w:lang w:eastAsia="zh-CN"/>
        </w:rPr>
        <w:t>，钢筋混凝土检查井共</w:t>
      </w:r>
      <w:r>
        <w:rPr>
          <w:rFonts w:hint="eastAsia" w:ascii="仿宋" w:hAnsi="仿宋" w:eastAsia="仿宋" w:cs="仿宋"/>
          <w:color w:val="auto"/>
        </w:rPr>
        <w:t>55</w:t>
      </w:r>
      <w:r>
        <w:rPr>
          <w:rFonts w:hint="eastAsia" w:ascii="仿宋" w:hAnsi="仿宋" w:eastAsia="仿宋" w:cs="仿宋"/>
          <w:color w:val="auto"/>
          <w:lang w:eastAsia="zh-CN"/>
        </w:rPr>
        <w:t>座，雨水口共</w:t>
      </w:r>
      <w:r>
        <w:rPr>
          <w:rFonts w:hint="eastAsia" w:ascii="仿宋" w:hAnsi="仿宋" w:eastAsia="仿宋" w:cs="仿宋"/>
          <w:color w:val="auto"/>
        </w:rPr>
        <w:t>94</w:t>
      </w:r>
      <w:r>
        <w:rPr>
          <w:rFonts w:hint="eastAsia" w:ascii="仿宋" w:hAnsi="仿宋" w:eastAsia="仿宋" w:cs="仿宋"/>
          <w:color w:val="auto"/>
          <w:lang w:eastAsia="zh-CN"/>
        </w:rPr>
        <w:t>座，顶管工作坑及接收坑各</w:t>
      </w:r>
      <w:r>
        <w:rPr>
          <w:rFonts w:hint="eastAsia" w:ascii="仿宋" w:hAnsi="仿宋" w:eastAsia="仿宋" w:cs="仿宋"/>
          <w:color w:val="auto"/>
        </w:rPr>
        <w:t>1</w:t>
      </w:r>
      <w:r>
        <w:rPr>
          <w:rFonts w:hint="eastAsia" w:ascii="仿宋" w:hAnsi="仿宋" w:eastAsia="仿宋" w:cs="仿宋"/>
          <w:color w:val="auto"/>
          <w:lang w:eastAsia="zh-CN"/>
        </w:rPr>
        <w:t>座、相应道路破除及恢复、沟槽土方、旧管井破除等。工程估算价约</w:t>
      </w:r>
      <w:r>
        <w:rPr>
          <w:rFonts w:hint="eastAsia" w:ascii="仿宋" w:hAnsi="仿宋" w:eastAsia="仿宋" w:cs="仿宋"/>
          <w:color w:val="auto"/>
          <w:lang w:val="en-US" w:eastAsia="zh-CN"/>
        </w:rPr>
        <w:t>2000</w:t>
      </w:r>
      <w:r>
        <w:rPr>
          <w:rFonts w:hint="eastAsia" w:ascii="仿宋" w:hAnsi="仿宋" w:eastAsia="仿宋" w:cs="仿宋"/>
          <w:color w:val="auto"/>
          <w:lang w:eastAsia="zh-CN"/>
        </w:rPr>
        <w:t>万元。</w:t>
      </w:r>
    </w:p>
    <w:p w14:paraId="1CC2A75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采购内容：安康中心城区易涝点整治工程（四期）监理服务项目。</w:t>
      </w:r>
    </w:p>
    <w:p w14:paraId="5701615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采购预算（最高限价）：肆拾万元整（￥</w:t>
      </w:r>
      <w:r>
        <w:rPr>
          <w:rFonts w:hint="eastAsia" w:ascii="仿宋" w:hAnsi="仿宋" w:eastAsia="仿宋" w:cs="仿宋"/>
          <w:color w:val="auto"/>
        </w:rPr>
        <w:t>400000.00</w:t>
      </w:r>
      <w:r>
        <w:rPr>
          <w:rFonts w:hint="eastAsia" w:ascii="仿宋" w:hAnsi="仿宋" w:eastAsia="仿宋" w:cs="仿宋"/>
          <w:color w:val="auto"/>
          <w:lang w:eastAsia="zh-CN"/>
        </w:rPr>
        <w:t>元）。</w:t>
      </w:r>
    </w:p>
    <w:p w14:paraId="18D3048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费率上限：</w:t>
      </w:r>
      <w:r>
        <w:rPr>
          <w:rFonts w:hint="eastAsia" w:ascii="仿宋" w:hAnsi="仿宋" w:eastAsia="仿宋" w:cs="仿宋"/>
          <w:color w:val="auto"/>
          <w:lang w:val="en-US" w:eastAsia="zh-CN"/>
        </w:rPr>
        <w:t>2</w:t>
      </w:r>
      <w:r>
        <w:rPr>
          <w:rFonts w:hint="eastAsia" w:ascii="仿宋" w:hAnsi="仿宋" w:eastAsia="仿宋" w:cs="仿宋"/>
          <w:color w:val="auto"/>
        </w:rPr>
        <w:t>%</w:t>
      </w:r>
      <w:r>
        <w:rPr>
          <w:rFonts w:hint="eastAsia" w:ascii="仿宋" w:hAnsi="仿宋" w:eastAsia="仿宋" w:cs="仿宋"/>
          <w:color w:val="auto"/>
          <w:lang w:eastAsia="zh-CN"/>
        </w:rPr>
        <w:t>。</w:t>
      </w:r>
    </w:p>
    <w:p w14:paraId="7733003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注：供应商报价时需以费率进行报价，根据工程估算价得出报价金额，最终结算费用按工程结算价</w:t>
      </w:r>
      <w:r>
        <w:rPr>
          <w:rFonts w:hint="eastAsia" w:ascii="仿宋" w:hAnsi="仿宋" w:eastAsia="仿宋" w:cs="仿宋"/>
          <w:color w:val="auto"/>
        </w:rPr>
        <w:t>×</w:t>
      </w:r>
      <w:r>
        <w:rPr>
          <w:rFonts w:hint="eastAsia" w:ascii="仿宋" w:hAnsi="仿宋" w:eastAsia="仿宋" w:cs="仿宋"/>
          <w:color w:val="auto"/>
          <w:lang w:eastAsia="zh-CN"/>
        </w:rPr>
        <w:t>报价费率计算。</w:t>
      </w:r>
    </w:p>
    <w:p w14:paraId="3CE6237B">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二、服务要求</w:t>
      </w:r>
    </w:p>
    <w:p w14:paraId="3EE0DF0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监理人应具有国家建设主管部门颁发的资质证书，并在证书许可范围内承担工程监理工作，监理人不得转让或挂靠监理业务。</w:t>
      </w:r>
    </w:p>
    <w:p w14:paraId="4F2719D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监理人除了按照国家现行规定组建现场监理部外，监理单位应建立健全内部管理机制，加强对现场监理工作的检查指导和考核评估。监理单位应在组建监理部后向建设方报备现场监理工作的检查指导（考核评估）方案，并就重大事宜的处理同建设方建立相应的工作机制。</w:t>
      </w:r>
    </w:p>
    <w:p w14:paraId="05393D5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监理人应按照响应文件载明的人员名单组建项目部，确保监理人员能够根据工程进展及时到位。派驻现场的监理人员应趋于固定化，不得擅自变更或调换监理人员；对于不合格的监理人员，应在接到建设方要求后</w:t>
      </w:r>
      <w:r>
        <w:rPr>
          <w:rFonts w:hint="eastAsia" w:ascii="仿宋" w:hAnsi="仿宋" w:eastAsia="仿宋" w:cs="仿宋"/>
          <w:color w:val="auto"/>
        </w:rPr>
        <w:t>15</w:t>
      </w:r>
      <w:r>
        <w:rPr>
          <w:rFonts w:hint="eastAsia" w:ascii="仿宋" w:hAnsi="仿宋" w:eastAsia="仿宋" w:cs="仿宋"/>
          <w:color w:val="auto"/>
          <w:lang w:eastAsia="zh-CN"/>
        </w:rPr>
        <w:t>日内予以调换。</w:t>
      </w:r>
    </w:p>
    <w:p w14:paraId="193DD39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现场监理人员应具有相应的专业技术基础、熟悉监理工作流程、敬业爱岗、自觉主动履行职责，恪守监理职业道德。</w:t>
      </w:r>
    </w:p>
    <w:p w14:paraId="5A05C6C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现场监理部应根据建设方要求以及合同约定，建立健全各类工作流程、现场管理制度以及内部管理机制，加大日常巡视监督力度，对于存在的质量安全隐患或危险行为，应积极主动予以制止，切实做好现场监理工作。</w:t>
      </w:r>
    </w:p>
    <w:p w14:paraId="5F7F1EC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本项目的质量控制目标、进度控制目标、投资控制目标、安全控制目标等需满足监理规范。</w:t>
      </w:r>
    </w:p>
    <w:p w14:paraId="1B7BF67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本项目的质量控制、材料检验、工序验收流程等安全监理措施需满足监理规范。</w:t>
      </w:r>
    </w:p>
    <w:p w14:paraId="5ACE6F07">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三、监理工作依据</w:t>
      </w:r>
    </w:p>
    <w:p w14:paraId="197D488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本工程的监理磋商文件、磋商响应文件、监理合同、经建设单位批准的《监理规划》，经总监审批的各专业监理实施细则；</w:t>
      </w:r>
    </w:p>
    <w:p w14:paraId="76DC65A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本工程的磋商文件、磋商响应文件、监理合同；</w:t>
      </w:r>
    </w:p>
    <w:p w14:paraId="55B6472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完整的工程项目施工图纸及技术说明（包括设计交底、会审记录、设计变更）；</w:t>
      </w:r>
    </w:p>
    <w:p w14:paraId="1985E57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施工单位编制的经其技术负责人批准并经建设单位、监理单位审查同意的《施工组织设计》；</w:t>
      </w:r>
    </w:p>
    <w:p w14:paraId="29C9A15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建设单位和监理单位以书面形式确认的其他决议、备忘录等；</w:t>
      </w:r>
    </w:p>
    <w:p w14:paraId="2BE564D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监理单位与施工单位在工程实施过程中有关会议记录、函电及其他有效的文字记录，现场项目监理部监理工程师发出的有关通知书和指令等；</w:t>
      </w:r>
    </w:p>
    <w:p w14:paraId="5528D42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与工程项目质量有关的规范、规程、技术标准和强制性条文；</w:t>
      </w:r>
    </w:p>
    <w:p w14:paraId="35F426F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w:t>
      </w:r>
      <w:r>
        <w:rPr>
          <w:rFonts w:hint="eastAsia" w:ascii="仿宋" w:hAnsi="仿宋" w:eastAsia="仿宋" w:cs="仿宋"/>
          <w:color w:val="auto"/>
          <w:lang w:eastAsia="zh-CN"/>
        </w:rPr>
        <w:t>《建设工程监理规范》（</w:t>
      </w:r>
      <w:r>
        <w:rPr>
          <w:rFonts w:hint="eastAsia" w:ascii="仿宋" w:hAnsi="仿宋" w:eastAsia="仿宋" w:cs="仿宋"/>
          <w:color w:val="auto"/>
        </w:rPr>
        <w:t>GB/T 50319</w:t>
      </w:r>
      <w:r>
        <w:rPr>
          <w:rFonts w:hint="eastAsia" w:ascii="仿宋" w:hAnsi="仿宋" w:eastAsia="仿宋" w:cs="仿宋"/>
          <w:color w:val="auto"/>
          <w:lang w:eastAsia="zh-CN"/>
        </w:rPr>
        <w:t>）及国家、行业现行有关标准规范。</w:t>
      </w:r>
    </w:p>
    <w:p w14:paraId="34BC9A03">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四、组织机构和人员</w:t>
      </w:r>
    </w:p>
    <w:p w14:paraId="1336E84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监理单位有健全的组织机构，有资格齐全、专业齐备的监理人员。</w:t>
      </w:r>
    </w:p>
    <w:p w14:paraId="6E699F6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有合格的、经验丰富的现场工程师。派驻现场的监理人员要熟悉所从事的业务，具备胜任监理业务的能力，具有良好的沟通、协调能力。总监理工程师具有现场处理复杂问题能力和水平。</w:t>
      </w:r>
    </w:p>
    <w:p w14:paraId="1A449931">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五、设施设备要求</w:t>
      </w:r>
    </w:p>
    <w:p w14:paraId="521AB40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监理单位须配备完成本项目的检测设备（全站仪、经纬仪、水准仪等）、办公设施、资料软件等硬件设备。</w:t>
      </w:r>
    </w:p>
    <w:p w14:paraId="3B594628">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六、商务要求</w:t>
      </w:r>
    </w:p>
    <w:p w14:paraId="52563D4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服务期限：自工程开工之日起至竣工验收合格之日。</w:t>
      </w:r>
    </w:p>
    <w:p w14:paraId="4550F04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服务地点：陕西省安康市。</w:t>
      </w:r>
    </w:p>
    <w:p w14:paraId="4E6347B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质量标准：符合国家、行业相关技术规范、标准、规程且满足采购方相关要求。</w:t>
      </w:r>
    </w:p>
    <w:p w14:paraId="1EE16EE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付款方式：</w:t>
      </w:r>
    </w:p>
    <w:p w14:paraId="74B45DD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①</w:t>
      </w:r>
      <w:r>
        <w:rPr>
          <w:rFonts w:hint="eastAsia" w:ascii="仿宋" w:hAnsi="仿宋" w:eastAsia="仿宋" w:cs="仿宋"/>
          <w:color w:val="auto"/>
          <w:lang w:eastAsia="zh-CN"/>
        </w:rPr>
        <w:t>自合同签订、项目施工开始实施后，支付合同款项的</w:t>
      </w:r>
      <w:r>
        <w:rPr>
          <w:rFonts w:hint="eastAsia" w:ascii="仿宋" w:hAnsi="仿宋" w:eastAsia="仿宋" w:cs="仿宋"/>
          <w:color w:val="auto"/>
        </w:rPr>
        <w:t>40%</w:t>
      </w:r>
      <w:r>
        <w:rPr>
          <w:rFonts w:hint="eastAsia" w:ascii="仿宋" w:hAnsi="仿宋" w:eastAsia="仿宋" w:cs="仿宋"/>
          <w:color w:val="auto"/>
          <w:lang w:eastAsia="zh-CN"/>
        </w:rPr>
        <w:t>；</w:t>
      </w:r>
    </w:p>
    <w:p w14:paraId="0947819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②</w:t>
      </w:r>
      <w:r>
        <w:rPr>
          <w:rFonts w:hint="eastAsia" w:ascii="仿宋" w:hAnsi="仿宋" w:eastAsia="仿宋" w:cs="仿宋"/>
          <w:color w:val="auto"/>
          <w:lang w:eastAsia="zh-CN"/>
        </w:rPr>
        <w:t>待项目竣工并通过验收后，支付剩余合同款项；</w:t>
      </w:r>
    </w:p>
    <w:p w14:paraId="766EA3C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③</w:t>
      </w:r>
      <w:r>
        <w:rPr>
          <w:rFonts w:hint="eastAsia" w:ascii="仿宋" w:hAnsi="仿宋" w:eastAsia="仿宋" w:cs="仿宋"/>
          <w:color w:val="auto"/>
          <w:lang w:eastAsia="zh-CN"/>
        </w:rPr>
        <w:t>成交供应商承诺在采购人办理以上各期付款的支付手续前，为采购人出具等额的符合国家规定的发票。</w:t>
      </w:r>
    </w:p>
    <w:p w14:paraId="7B6A0C7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验收要求：成交供应商与采购人应严格按照监理合同、磋商文件、磋商响应文件、国家相关标准规范等要求进行验收。</w:t>
      </w:r>
    </w:p>
    <w:p w14:paraId="2F1ABBD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违约责任：依据《中华人民共和国民法典》《中华人民共和国政府采购法》的相关条款和本合同约定，成交供应商未全面履行合同义务或者发生违约，采购人会同采购代理机构有权终止合同，依法向成交供应商要求经济索赔，并报请政府采购监督管理机关进行相应的行政处罚。采购人违约的，应当赔偿给成交供应商造成的经济损失。</w:t>
      </w:r>
    </w:p>
    <w:p w14:paraId="33446D3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sectPr>
          <w:pgSz w:w="11906" w:h="16838"/>
          <w:pgMar w:top="1440" w:right="1797" w:bottom="1440" w:left="1797" w:header="720" w:footer="720" w:gutter="0"/>
          <w:pgNumType w:fmt="decimal"/>
          <w:cols w:space="720" w:num="1"/>
        </w:sectPr>
      </w:pPr>
    </w:p>
    <w:p w14:paraId="22E72922">
      <w:pPr>
        <w:pStyle w:val="7"/>
        <w:jc w:val="center"/>
        <w:rPr>
          <w:rFonts w:hint="eastAsia" w:ascii="仿宋" w:hAnsi="仿宋" w:eastAsia="仿宋" w:cs="仿宋"/>
          <w:color w:val="auto"/>
        </w:rPr>
      </w:pPr>
      <w:r>
        <w:rPr>
          <w:rFonts w:hint="eastAsia" w:ascii="仿宋" w:hAnsi="仿宋" w:eastAsia="仿宋" w:cs="仿宋"/>
          <w:color w:val="auto"/>
          <w:sz w:val="32"/>
          <w:lang w:eastAsia="zh-CN"/>
        </w:rPr>
        <w:t>第</w:t>
      </w:r>
      <w:r>
        <w:rPr>
          <w:rFonts w:hint="eastAsia" w:ascii="仿宋" w:hAnsi="仿宋" w:eastAsia="仿宋" w:cs="仿宋"/>
          <w:color w:val="auto"/>
          <w:sz w:val="32"/>
          <w:lang w:val="en-US" w:eastAsia="zh-CN"/>
        </w:rPr>
        <w:t>四</w:t>
      </w:r>
      <w:r>
        <w:rPr>
          <w:rFonts w:hint="eastAsia" w:ascii="仿宋" w:hAnsi="仿宋" w:eastAsia="仿宋" w:cs="仿宋"/>
          <w:color w:val="auto"/>
          <w:sz w:val="32"/>
          <w:lang w:eastAsia="zh-CN"/>
        </w:rPr>
        <w:t>章</w:t>
      </w: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lang w:eastAsia="zh-CN"/>
        </w:rPr>
        <w:t>拟签订合同主要条款</w:t>
      </w:r>
    </w:p>
    <w:p w14:paraId="0BADC340">
      <w:pPr>
        <w:spacing w:line="408" w:lineRule="auto"/>
        <w:ind w:firstLine="0"/>
        <w:rPr>
          <w:rFonts w:hint="eastAsia" w:ascii="仿宋" w:hAnsi="仿宋" w:eastAsia="仿宋" w:cs="仿宋"/>
          <w:color w:val="auto"/>
          <w:lang w:eastAsia="zh-CN"/>
        </w:rPr>
      </w:pPr>
    </w:p>
    <w:p w14:paraId="12C3870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委托人（全称）：安康市住房和城乡建设局</w:t>
      </w:r>
    </w:p>
    <w:p w14:paraId="4A2961B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监理人（全称）：</w:t>
      </w:r>
      <w:r>
        <w:rPr>
          <w:rFonts w:hint="eastAsia" w:ascii="仿宋" w:hAnsi="仿宋" w:eastAsia="仿宋" w:cs="仿宋"/>
          <w:color w:val="auto"/>
        </w:rPr>
        <w:t>______________________</w:t>
      </w:r>
    </w:p>
    <w:p w14:paraId="08ED580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根据《中华人民共和国民法典》《中华人民共和国建筑法》及其他有关法律法规，遵循平等、自愿、公平和诚信的原则，双方就下述工程委托监理与相关服务事项协商一致，订立本合同。</w:t>
      </w:r>
    </w:p>
    <w:p w14:paraId="4A9149E7">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一、工程概况</w:t>
      </w:r>
    </w:p>
    <w:p w14:paraId="63A66BF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工程名称：安康中心城区易涝点整治工程（四期）；</w:t>
      </w:r>
    </w:p>
    <w:p w14:paraId="1676FB9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工程地点：安康市江北城区（西起安旬路口，设计管道沿江北大道敷设，东至芳蒋路）；</w:t>
      </w:r>
    </w:p>
    <w:p w14:paraId="6383D63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工程规模：设计管道全长约</w:t>
      </w:r>
      <w:r>
        <w:rPr>
          <w:rFonts w:hint="eastAsia" w:ascii="仿宋" w:hAnsi="仿宋" w:eastAsia="仿宋" w:cs="仿宋"/>
          <w:color w:val="auto"/>
        </w:rPr>
        <w:t>1.8km</w:t>
      </w:r>
      <w:r>
        <w:rPr>
          <w:rFonts w:hint="eastAsia" w:ascii="仿宋" w:hAnsi="仿宋" w:eastAsia="仿宋" w:cs="仿宋"/>
          <w:color w:val="auto"/>
          <w:lang w:eastAsia="zh-CN"/>
        </w:rPr>
        <w:t>，主要包含</w:t>
      </w:r>
      <w:r>
        <w:rPr>
          <w:rFonts w:hint="eastAsia" w:ascii="仿宋" w:hAnsi="仿宋" w:eastAsia="仿宋" w:cs="仿宋"/>
          <w:color w:val="auto"/>
        </w:rPr>
        <w:t>D500</w:t>
      </w:r>
      <w:r>
        <w:rPr>
          <w:rFonts w:hint="eastAsia" w:ascii="仿宋" w:hAnsi="仿宋" w:eastAsia="仿宋" w:cs="仿宋"/>
          <w:color w:val="auto"/>
          <w:lang w:eastAsia="zh-CN"/>
        </w:rPr>
        <w:t>～</w:t>
      </w:r>
      <w:r>
        <w:rPr>
          <w:rFonts w:hint="eastAsia" w:ascii="仿宋" w:hAnsi="仿宋" w:eastAsia="仿宋" w:cs="仿宋"/>
          <w:color w:val="auto"/>
        </w:rPr>
        <w:t>D1200</w:t>
      </w:r>
      <w:r>
        <w:rPr>
          <w:rFonts w:hint="eastAsia" w:ascii="仿宋" w:hAnsi="仿宋" w:eastAsia="仿宋" w:cs="仿宋"/>
          <w:color w:val="auto"/>
          <w:lang w:eastAsia="zh-CN"/>
        </w:rPr>
        <w:t>钢筋混凝土雨水主管道共</w:t>
      </w:r>
      <w:r>
        <w:rPr>
          <w:rFonts w:hint="eastAsia" w:ascii="仿宋" w:hAnsi="仿宋" w:eastAsia="仿宋" w:cs="仿宋"/>
          <w:color w:val="auto"/>
        </w:rPr>
        <w:t>2295m</w:t>
      </w:r>
      <w:r>
        <w:rPr>
          <w:rFonts w:hint="eastAsia" w:ascii="仿宋" w:hAnsi="仿宋" w:eastAsia="仿宋" w:cs="仿宋"/>
          <w:color w:val="auto"/>
          <w:lang w:eastAsia="zh-CN"/>
        </w:rPr>
        <w:t>，</w:t>
      </w:r>
      <w:r>
        <w:rPr>
          <w:rFonts w:hint="eastAsia" w:ascii="仿宋" w:hAnsi="仿宋" w:eastAsia="仿宋" w:cs="仿宋"/>
          <w:color w:val="auto"/>
        </w:rPr>
        <w:t>D300</w:t>
      </w:r>
      <w:r>
        <w:rPr>
          <w:rFonts w:hint="eastAsia" w:ascii="仿宋" w:hAnsi="仿宋" w:eastAsia="仿宋" w:cs="仿宋"/>
          <w:color w:val="auto"/>
          <w:lang w:eastAsia="zh-CN"/>
        </w:rPr>
        <w:t>雨水口连接管</w:t>
      </w:r>
      <w:r>
        <w:rPr>
          <w:rFonts w:hint="eastAsia" w:ascii="仿宋" w:hAnsi="仿宋" w:eastAsia="仿宋" w:cs="仿宋"/>
          <w:color w:val="auto"/>
        </w:rPr>
        <w:t>1020m</w:t>
      </w:r>
      <w:r>
        <w:rPr>
          <w:rFonts w:hint="eastAsia" w:ascii="仿宋" w:hAnsi="仿宋" w:eastAsia="仿宋" w:cs="仿宋"/>
          <w:color w:val="auto"/>
          <w:lang w:eastAsia="zh-CN"/>
        </w:rPr>
        <w:t>，</w:t>
      </w:r>
      <w:r>
        <w:rPr>
          <w:rFonts w:hint="eastAsia" w:ascii="仿宋" w:hAnsi="仿宋" w:eastAsia="仿宋" w:cs="仿宋"/>
          <w:color w:val="auto"/>
        </w:rPr>
        <w:t>D1200</w:t>
      </w:r>
      <w:r>
        <w:rPr>
          <w:rFonts w:hint="eastAsia" w:ascii="仿宋" w:hAnsi="仿宋" w:eastAsia="仿宋" w:cs="仿宋"/>
          <w:color w:val="auto"/>
          <w:lang w:eastAsia="zh-CN"/>
        </w:rPr>
        <w:t>钢筋混凝土顶管施工</w:t>
      </w:r>
      <w:r>
        <w:rPr>
          <w:rFonts w:hint="eastAsia" w:ascii="仿宋" w:hAnsi="仿宋" w:eastAsia="仿宋" w:cs="仿宋"/>
          <w:color w:val="auto"/>
        </w:rPr>
        <w:t>22m</w:t>
      </w:r>
      <w:r>
        <w:rPr>
          <w:rFonts w:hint="eastAsia" w:ascii="仿宋" w:hAnsi="仿宋" w:eastAsia="仿宋" w:cs="仿宋"/>
          <w:color w:val="auto"/>
          <w:lang w:eastAsia="zh-CN"/>
        </w:rPr>
        <w:t>，钢筋混凝土检查井共</w:t>
      </w:r>
      <w:r>
        <w:rPr>
          <w:rFonts w:hint="eastAsia" w:ascii="仿宋" w:hAnsi="仿宋" w:eastAsia="仿宋" w:cs="仿宋"/>
          <w:color w:val="auto"/>
        </w:rPr>
        <w:t>55</w:t>
      </w:r>
      <w:r>
        <w:rPr>
          <w:rFonts w:hint="eastAsia" w:ascii="仿宋" w:hAnsi="仿宋" w:eastAsia="仿宋" w:cs="仿宋"/>
          <w:color w:val="auto"/>
          <w:lang w:eastAsia="zh-CN"/>
        </w:rPr>
        <w:t>座，雨水口共</w:t>
      </w:r>
      <w:r>
        <w:rPr>
          <w:rFonts w:hint="eastAsia" w:ascii="仿宋" w:hAnsi="仿宋" w:eastAsia="仿宋" w:cs="仿宋"/>
          <w:color w:val="auto"/>
        </w:rPr>
        <w:t>94</w:t>
      </w:r>
      <w:r>
        <w:rPr>
          <w:rFonts w:hint="eastAsia" w:ascii="仿宋" w:hAnsi="仿宋" w:eastAsia="仿宋" w:cs="仿宋"/>
          <w:color w:val="auto"/>
          <w:lang w:eastAsia="zh-CN"/>
        </w:rPr>
        <w:t>座，顶管工作坑及接收坑各</w:t>
      </w:r>
      <w:r>
        <w:rPr>
          <w:rFonts w:hint="eastAsia" w:ascii="仿宋" w:hAnsi="仿宋" w:eastAsia="仿宋" w:cs="仿宋"/>
          <w:color w:val="auto"/>
        </w:rPr>
        <w:t>1</w:t>
      </w:r>
      <w:r>
        <w:rPr>
          <w:rFonts w:hint="eastAsia" w:ascii="仿宋" w:hAnsi="仿宋" w:eastAsia="仿宋" w:cs="仿宋"/>
          <w:color w:val="auto"/>
          <w:lang w:eastAsia="zh-CN"/>
        </w:rPr>
        <w:t>座、相应道路破除及恢复、沟槽土方、旧管井破除等；</w:t>
      </w:r>
    </w:p>
    <w:p w14:paraId="6F10F6C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工程概算投资额或建筑安装工程费：</w:t>
      </w:r>
      <w:r>
        <w:rPr>
          <w:rFonts w:hint="eastAsia" w:ascii="仿宋" w:hAnsi="仿宋" w:eastAsia="仿宋" w:cs="仿宋"/>
          <w:color w:val="auto"/>
          <w:u w:val="single"/>
        </w:rPr>
        <w:t>_</w:t>
      </w:r>
      <w:r>
        <w:rPr>
          <w:rFonts w:hint="eastAsia" w:ascii="仿宋" w:hAnsi="仿宋" w:eastAsia="仿宋" w:cs="仿宋"/>
          <w:color w:val="auto"/>
          <w:u w:val="single"/>
          <w:lang w:val="en-US" w:eastAsia="zh-CN"/>
        </w:rPr>
        <w:t>约2000万</w:t>
      </w:r>
      <w:r>
        <w:rPr>
          <w:rFonts w:hint="eastAsia" w:ascii="仿宋" w:hAnsi="仿宋" w:eastAsia="仿宋" w:cs="仿宋"/>
          <w:color w:val="auto"/>
          <w:u w:val="single"/>
        </w:rPr>
        <w:t>_</w:t>
      </w:r>
      <w:r>
        <w:rPr>
          <w:rFonts w:hint="eastAsia" w:ascii="仿宋" w:hAnsi="仿宋" w:eastAsia="仿宋" w:cs="仿宋"/>
          <w:color w:val="auto"/>
          <w:lang w:eastAsia="zh-CN"/>
        </w:rPr>
        <w:t>。</w:t>
      </w:r>
    </w:p>
    <w:p w14:paraId="5F734B29">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二、词语限定</w:t>
      </w:r>
    </w:p>
    <w:p w14:paraId="193E4BC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协议书中相关词语的含义与通用条件中的定义与解释相同。</w:t>
      </w:r>
    </w:p>
    <w:p w14:paraId="00AD802C">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三、组成本合同的文件</w:t>
      </w:r>
    </w:p>
    <w:p w14:paraId="079E415D">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协议书；</w:t>
      </w:r>
      <w:r>
        <w:rPr>
          <w:rFonts w:hint="eastAsia" w:ascii="仿宋" w:hAnsi="仿宋" w:eastAsia="仿宋" w:cs="仿宋"/>
          <w:color w:val="auto"/>
        </w:rPr>
        <w:t>2.</w:t>
      </w:r>
      <w:r>
        <w:rPr>
          <w:rFonts w:hint="eastAsia" w:ascii="仿宋" w:hAnsi="仿宋" w:eastAsia="仿宋" w:cs="仿宋"/>
          <w:color w:val="auto"/>
          <w:lang w:eastAsia="zh-CN"/>
        </w:rPr>
        <w:t>成交通知书；</w:t>
      </w:r>
      <w:r>
        <w:rPr>
          <w:rFonts w:hint="eastAsia" w:ascii="仿宋" w:hAnsi="仿宋" w:eastAsia="仿宋" w:cs="仿宋"/>
          <w:color w:val="auto"/>
        </w:rPr>
        <w:t>3.</w:t>
      </w:r>
      <w:r>
        <w:rPr>
          <w:rFonts w:hint="eastAsia" w:ascii="仿宋" w:hAnsi="仿宋" w:eastAsia="仿宋" w:cs="仿宋"/>
          <w:color w:val="auto"/>
          <w:lang w:eastAsia="zh-CN"/>
        </w:rPr>
        <w:t>磋商响应文件（含监理与相关服务建议书）；</w:t>
      </w:r>
      <w:r>
        <w:rPr>
          <w:rFonts w:hint="eastAsia" w:ascii="仿宋" w:hAnsi="仿宋" w:eastAsia="仿宋" w:cs="仿宋"/>
          <w:color w:val="auto"/>
        </w:rPr>
        <w:t>4.</w:t>
      </w:r>
      <w:r>
        <w:rPr>
          <w:rFonts w:hint="eastAsia" w:ascii="仿宋" w:hAnsi="仿宋" w:eastAsia="仿宋" w:cs="仿宋"/>
          <w:color w:val="auto"/>
          <w:lang w:eastAsia="zh-CN"/>
        </w:rPr>
        <w:t>专用条件；</w:t>
      </w:r>
      <w:r>
        <w:rPr>
          <w:rFonts w:hint="eastAsia" w:ascii="仿宋" w:hAnsi="仿宋" w:eastAsia="仿宋" w:cs="仿宋"/>
          <w:color w:val="auto"/>
        </w:rPr>
        <w:t>5.</w:t>
      </w:r>
      <w:r>
        <w:rPr>
          <w:rFonts w:hint="eastAsia" w:ascii="仿宋" w:hAnsi="仿宋" w:eastAsia="仿宋" w:cs="仿宋"/>
          <w:color w:val="auto"/>
          <w:lang w:eastAsia="zh-CN"/>
        </w:rPr>
        <w:t>通用条件；</w:t>
      </w:r>
      <w:r>
        <w:rPr>
          <w:rFonts w:hint="eastAsia" w:ascii="仿宋" w:hAnsi="仿宋" w:eastAsia="仿宋" w:cs="仿宋"/>
          <w:color w:val="auto"/>
        </w:rPr>
        <w:t>6.</w:t>
      </w:r>
      <w:r>
        <w:rPr>
          <w:rFonts w:hint="eastAsia" w:ascii="仿宋" w:hAnsi="仿宋" w:eastAsia="仿宋" w:cs="仿宋"/>
          <w:color w:val="auto"/>
          <w:lang w:eastAsia="zh-CN"/>
        </w:rPr>
        <w:t>附录，即：附录</w:t>
      </w:r>
      <w:r>
        <w:rPr>
          <w:rFonts w:hint="eastAsia" w:ascii="仿宋" w:hAnsi="仿宋" w:eastAsia="仿宋" w:cs="仿宋"/>
          <w:color w:val="auto"/>
        </w:rPr>
        <w:t>A</w:t>
      </w:r>
      <w:r>
        <w:rPr>
          <w:rFonts w:hint="eastAsia" w:ascii="仿宋" w:hAnsi="仿宋" w:eastAsia="仿宋" w:cs="仿宋"/>
          <w:color w:val="auto"/>
          <w:lang w:eastAsia="zh-CN"/>
        </w:rPr>
        <w:t>相关服务的范围和内容；附录</w:t>
      </w:r>
      <w:r>
        <w:rPr>
          <w:rFonts w:hint="eastAsia" w:ascii="仿宋" w:hAnsi="仿宋" w:eastAsia="仿宋" w:cs="仿宋"/>
          <w:color w:val="auto"/>
        </w:rPr>
        <w:t>B</w:t>
      </w:r>
      <w:r>
        <w:rPr>
          <w:rFonts w:hint="eastAsia" w:ascii="仿宋" w:hAnsi="仿宋" w:eastAsia="仿宋" w:cs="仿宋"/>
          <w:color w:val="auto"/>
          <w:lang w:eastAsia="zh-CN"/>
        </w:rPr>
        <w:t>委托人派遣的人员和提供的房屋、资料、设备。</w:t>
      </w:r>
    </w:p>
    <w:p w14:paraId="7426FE3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本合同签订后，双方依法签订的补充协议也是本合同文件的组成部分。</w:t>
      </w:r>
    </w:p>
    <w:p w14:paraId="5A16CDC8">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四、总监理工程师</w:t>
      </w:r>
    </w:p>
    <w:p w14:paraId="3E82AC5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总监理工程师姓名：</w:t>
      </w:r>
      <w:r>
        <w:rPr>
          <w:rFonts w:hint="eastAsia" w:ascii="仿宋" w:hAnsi="仿宋" w:eastAsia="仿宋" w:cs="仿宋"/>
          <w:color w:val="auto"/>
        </w:rPr>
        <w:t>____________</w:t>
      </w:r>
      <w:r>
        <w:rPr>
          <w:rFonts w:hint="eastAsia" w:ascii="仿宋" w:hAnsi="仿宋" w:eastAsia="仿宋" w:cs="仿宋"/>
          <w:color w:val="auto"/>
          <w:lang w:eastAsia="zh-CN"/>
        </w:rPr>
        <w:t>，身份证号码：</w:t>
      </w:r>
      <w:r>
        <w:rPr>
          <w:rFonts w:hint="eastAsia" w:ascii="仿宋" w:hAnsi="仿宋" w:eastAsia="仿宋" w:cs="仿宋"/>
          <w:color w:val="auto"/>
        </w:rPr>
        <w:t>____________</w:t>
      </w:r>
      <w:r>
        <w:rPr>
          <w:rFonts w:hint="eastAsia" w:ascii="仿宋" w:hAnsi="仿宋" w:eastAsia="仿宋" w:cs="仿宋"/>
          <w:color w:val="auto"/>
          <w:lang w:eastAsia="zh-CN"/>
        </w:rPr>
        <w:t>，注册号：</w:t>
      </w:r>
      <w:r>
        <w:rPr>
          <w:rFonts w:hint="eastAsia" w:ascii="仿宋" w:hAnsi="仿宋" w:eastAsia="仿宋" w:cs="仿宋"/>
          <w:color w:val="auto"/>
        </w:rPr>
        <w:t>____________</w:t>
      </w:r>
      <w:r>
        <w:rPr>
          <w:rFonts w:hint="eastAsia" w:ascii="仿宋" w:hAnsi="仿宋" w:eastAsia="仿宋" w:cs="仿宋"/>
          <w:color w:val="auto"/>
          <w:lang w:eastAsia="zh-CN"/>
        </w:rPr>
        <w:t>。</w:t>
      </w:r>
    </w:p>
    <w:p w14:paraId="2D2A1A88">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五、签约酬金</w:t>
      </w:r>
    </w:p>
    <w:p w14:paraId="7C2A9FE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签约酬金（大写）：</w:t>
      </w:r>
      <w:r>
        <w:rPr>
          <w:rFonts w:hint="eastAsia" w:ascii="仿宋" w:hAnsi="仿宋" w:eastAsia="仿宋" w:cs="仿宋"/>
          <w:color w:val="auto"/>
        </w:rPr>
        <w:t>____________________</w:t>
      </w:r>
      <w:r>
        <w:rPr>
          <w:rFonts w:hint="eastAsia" w:ascii="仿宋" w:hAnsi="仿宋" w:eastAsia="仿宋" w:cs="仿宋"/>
          <w:color w:val="auto"/>
          <w:lang w:eastAsia="zh-CN"/>
        </w:rPr>
        <w:t>（￥</w:t>
      </w:r>
      <w:r>
        <w:rPr>
          <w:rFonts w:hint="eastAsia" w:ascii="仿宋" w:hAnsi="仿宋" w:eastAsia="仿宋" w:cs="仿宋"/>
          <w:color w:val="auto"/>
        </w:rPr>
        <w:t>________</w:t>
      </w:r>
      <w:r>
        <w:rPr>
          <w:rFonts w:hint="eastAsia" w:ascii="仿宋" w:hAnsi="仿宋" w:eastAsia="仿宋" w:cs="仿宋"/>
          <w:color w:val="auto"/>
          <w:lang w:eastAsia="zh-CN"/>
        </w:rPr>
        <w:t>）。包括：</w:t>
      </w:r>
    </w:p>
    <w:p w14:paraId="0805412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1.</w:t>
      </w:r>
      <w:r>
        <w:rPr>
          <w:rFonts w:hint="eastAsia" w:ascii="仿宋" w:hAnsi="仿宋" w:eastAsia="仿宋" w:cs="仿宋"/>
          <w:color w:val="auto"/>
          <w:lang w:eastAsia="zh-CN"/>
        </w:rPr>
        <w:t>监理酬金：</w:t>
      </w:r>
      <w:r>
        <w:rPr>
          <w:rFonts w:hint="eastAsia" w:ascii="仿宋" w:hAnsi="仿宋" w:eastAsia="仿宋" w:cs="仿宋"/>
          <w:color w:val="auto"/>
        </w:rPr>
        <w:t>____________________</w:t>
      </w:r>
      <w:r>
        <w:rPr>
          <w:rFonts w:hint="eastAsia" w:ascii="仿宋" w:hAnsi="仿宋" w:eastAsia="仿宋" w:cs="仿宋"/>
          <w:color w:val="auto"/>
          <w:lang w:eastAsia="zh-CN"/>
        </w:rPr>
        <w:t>。</w:t>
      </w:r>
    </w:p>
    <w:p w14:paraId="0F0B5F1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相关服务酬金：</w:t>
      </w:r>
      <w:r>
        <w:rPr>
          <w:rFonts w:hint="eastAsia" w:ascii="仿宋" w:hAnsi="仿宋" w:eastAsia="仿宋" w:cs="仿宋"/>
          <w:color w:val="auto"/>
        </w:rPr>
        <w:t>____________________</w:t>
      </w:r>
      <w:r>
        <w:rPr>
          <w:rFonts w:hint="eastAsia" w:ascii="仿宋" w:hAnsi="仿宋" w:eastAsia="仿宋" w:cs="仿宋"/>
          <w:color w:val="auto"/>
          <w:lang w:eastAsia="zh-CN"/>
        </w:rPr>
        <w:t>。</w:t>
      </w:r>
    </w:p>
    <w:p w14:paraId="604E771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其中：（</w:t>
      </w:r>
      <w:r>
        <w:rPr>
          <w:rFonts w:hint="eastAsia" w:ascii="仿宋" w:hAnsi="仿宋" w:eastAsia="仿宋" w:cs="仿宋"/>
          <w:color w:val="auto"/>
        </w:rPr>
        <w:t>1</w:t>
      </w:r>
      <w:r>
        <w:rPr>
          <w:rFonts w:hint="eastAsia" w:ascii="仿宋" w:hAnsi="仿宋" w:eastAsia="仿宋" w:cs="仿宋"/>
          <w:color w:val="auto"/>
          <w:lang w:eastAsia="zh-CN"/>
        </w:rPr>
        <w:t>）勘察阶段服务酬金：</w:t>
      </w:r>
      <w:r>
        <w:rPr>
          <w:rFonts w:hint="eastAsia" w:ascii="仿宋" w:hAnsi="仿宋" w:eastAsia="仿宋" w:cs="仿宋"/>
          <w:color w:val="auto"/>
        </w:rPr>
        <w:t>____________</w:t>
      </w:r>
      <w:r>
        <w:rPr>
          <w:rFonts w:hint="eastAsia" w:ascii="仿宋" w:hAnsi="仿宋" w:eastAsia="仿宋" w:cs="仿宋"/>
          <w:color w:val="auto"/>
          <w:lang w:eastAsia="zh-CN"/>
        </w:rPr>
        <w:t>；</w:t>
      </w:r>
    </w:p>
    <w:p w14:paraId="2E0D6BF4">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）设计阶段服务酬金：</w:t>
      </w:r>
      <w:r>
        <w:rPr>
          <w:rFonts w:hint="eastAsia" w:ascii="仿宋" w:hAnsi="仿宋" w:eastAsia="仿宋" w:cs="仿宋"/>
          <w:color w:val="auto"/>
        </w:rPr>
        <w:t>____________</w:t>
      </w:r>
      <w:r>
        <w:rPr>
          <w:rFonts w:hint="eastAsia" w:ascii="仿宋" w:hAnsi="仿宋" w:eastAsia="仿宋" w:cs="仿宋"/>
          <w:color w:val="auto"/>
          <w:lang w:eastAsia="zh-CN"/>
        </w:rPr>
        <w:t>；</w:t>
      </w:r>
    </w:p>
    <w:p w14:paraId="10DBB52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）保修阶段服务酬金：</w:t>
      </w:r>
      <w:r>
        <w:rPr>
          <w:rFonts w:hint="eastAsia" w:ascii="仿宋" w:hAnsi="仿宋" w:eastAsia="仿宋" w:cs="仿宋"/>
          <w:color w:val="auto"/>
        </w:rPr>
        <w:t>____________</w:t>
      </w:r>
      <w:r>
        <w:rPr>
          <w:rFonts w:hint="eastAsia" w:ascii="仿宋" w:hAnsi="仿宋" w:eastAsia="仿宋" w:cs="仿宋"/>
          <w:color w:val="auto"/>
          <w:lang w:eastAsia="zh-CN"/>
        </w:rPr>
        <w:t>；</w:t>
      </w:r>
    </w:p>
    <w:p w14:paraId="05DF85A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）其他相关服务酬金：</w:t>
      </w:r>
      <w:r>
        <w:rPr>
          <w:rFonts w:hint="eastAsia" w:ascii="仿宋" w:hAnsi="仿宋" w:eastAsia="仿宋" w:cs="仿宋"/>
          <w:color w:val="auto"/>
        </w:rPr>
        <w:t>____________</w:t>
      </w:r>
      <w:r>
        <w:rPr>
          <w:rFonts w:hint="eastAsia" w:ascii="仿宋" w:hAnsi="仿宋" w:eastAsia="仿宋" w:cs="仿宋"/>
          <w:color w:val="auto"/>
          <w:lang w:eastAsia="zh-CN"/>
        </w:rPr>
        <w:t>。</w:t>
      </w:r>
    </w:p>
    <w:p w14:paraId="13CB4B2F">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六、期限</w:t>
      </w:r>
    </w:p>
    <w:p w14:paraId="008540C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监理期限：自</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日始，至</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日止。</w:t>
      </w:r>
    </w:p>
    <w:p w14:paraId="4B6DB49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2.</w:t>
      </w:r>
      <w:r>
        <w:rPr>
          <w:rFonts w:hint="eastAsia" w:ascii="仿宋" w:hAnsi="仿宋" w:eastAsia="仿宋" w:cs="仿宋"/>
          <w:color w:val="auto"/>
          <w:lang w:eastAsia="zh-CN"/>
        </w:rPr>
        <w:t>相关服务期限：</w:t>
      </w:r>
    </w:p>
    <w:p w14:paraId="37952AF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）勘察阶段服务期限自</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日始，至</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日止；</w:t>
      </w:r>
    </w:p>
    <w:p w14:paraId="2842372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）设计阶段服务期限自</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日始，至</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日止；</w:t>
      </w:r>
    </w:p>
    <w:p w14:paraId="03BF3EFE">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）保修阶段服务期限自</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日始，至</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日止；</w:t>
      </w:r>
    </w:p>
    <w:p w14:paraId="43042D1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）其他相关服务期限自</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日始，至</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日止。</w:t>
      </w:r>
    </w:p>
    <w:p w14:paraId="0F8DB281">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七、双方承诺</w:t>
      </w:r>
    </w:p>
    <w:p w14:paraId="43F5FFB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监理人向委托人承诺，按照本合同约定提供监理与相关服务。</w:t>
      </w:r>
    </w:p>
    <w:p w14:paraId="20C51EB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委托人向监理人承诺，按照本合同约定派遣相应的人员，提供房屋、资料、设备，并按本合同约定支付酬金。</w:t>
      </w:r>
    </w:p>
    <w:p w14:paraId="433DBE93">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八、合同订立</w:t>
      </w:r>
    </w:p>
    <w:p w14:paraId="32E6DF1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1.</w:t>
      </w:r>
      <w:r>
        <w:rPr>
          <w:rFonts w:hint="eastAsia" w:ascii="仿宋" w:hAnsi="仿宋" w:eastAsia="仿宋" w:cs="仿宋"/>
          <w:color w:val="auto"/>
          <w:lang w:eastAsia="zh-CN"/>
        </w:rPr>
        <w:t>订立时间：</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w:t>
      </w:r>
      <w:r>
        <w:rPr>
          <w:rFonts w:hint="eastAsia" w:ascii="仿宋" w:hAnsi="仿宋" w:eastAsia="仿宋" w:cs="仿宋"/>
          <w:color w:val="auto"/>
          <w:lang w:eastAsia="zh-CN"/>
        </w:rPr>
        <w:t>月</w:t>
      </w:r>
      <w:r>
        <w:rPr>
          <w:rFonts w:hint="eastAsia" w:ascii="仿宋" w:hAnsi="仿宋" w:eastAsia="仿宋" w:cs="仿宋"/>
          <w:color w:val="auto"/>
        </w:rPr>
        <w:t>__</w:t>
      </w:r>
      <w:r>
        <w:rPr>
          <w:rFonts w:hint="eastAsia" w:ascii="仿宋" w:hAnsi="仿宋" w:eastAsia="仿宋" w:cs="仿宋"/>
          <w:color w:val="auto"/>
          <w:lang w:eastAsia="zh-CN"/>
        </w:rPr>
        <w:t>日。</w:t>
      </w:r>
    </w:p>
    <w:p w14:paraId="4326D007">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2.</w:t>
      </w:r>
      <w:r>
        <w:rPr>
          <w:rFonts w:hint="eastAsia" w:ascii="仿宋" w:hAnsi="仿宋" w:eastAsia="仿宋" w:cs="仿宋"/>
          <w:color w:val="auto"/>
          <w:lang w:eastAsia="zh-CN"/>
        </w:rPr>
        <w:t>订立地点：</w:t>
      </w:r>
      <w:r>
        <w:rPr>
          <w:rFonts w:hint="eastAsia" w:ascii="仿宋" w:hAnsi="仿宋" w:eastAsia="仿宋" w:cs="仿宋"/>
          <w:color w:val="auto"/>
        </w:rPr>
        <w:t>________________</w:t>
      </w:r>
      <w:r>
        <w:rPr>
          <w:rFonts w:hint="eastAsia" w:ascii="仿宋" w:hAnsi="仿宋" w:eastAsia="仿宋" w:cs="仿宋"/>
          <w:color w:val="auto"/>
          <w:lang w:eastAsia="zh-CN"/>
        </w:rPr>
        <w:t>。</w:t>
      </w:r>
    </w:p>
    <w:p w14:paraId="52EAC1F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本合同一式</w:t>
      </w:r>
      <w:r>
        <w:rPr>
          <w:rFonts w:hint="eastAsia" w:ascii="仿宋" w:hAnsi="仿宋" w:eastAsia="仿宋" w:cs="仿宋"/>
          <w:color w:val="auto"/>
        </w:rPr>
        <w:t>____</w:t>
      </w:r>
      <w:r>
        <w:rPr>
          <w:rFonts w:hint="eastAsia" w:ascii="仿宋" w:hAnsi="仿宋" w:eastAsia="仿宋" w:cs="仿宋"/>
          <w:color w:val="auto"/>
          <w:lang w:eastAsia="zh-CN"/>
        </w:rPr>
        <w:t>份，具有同等法律效力，双方各执</w:t>
      </w:r>
      <w:r>
        <w:rPr>
          <w:rFonts w:hint="eastAsia" w:ascii="仿宋" w:hAnsi="仿宋" w:eastAsia="仿宋" w:cs="仿宋"/>
          <w:color w:val="auto"/>
        </w:rPr>
        <w:t>____</w:t>
      </w:r>
      <w:r>
        <w:rPr>
          <w:rFonts w:hint="eastAsia" w:ascii="仿宋" w:hAnsi="仿宋" w:eastAsia="仿宋" w:cs="仿宋"/>
          <w:color w:val="auto"/>
          <w:lang w:eastAsia="zh-CN"/>
        </w:rPr>
        <w:t>份。</w:t>
      </w:r>
    </w:p>
    <w:tbl>
      <w:tblPr>
        <w:tblStyle w:val="36"/>
        <w:tblW w:w="5000" w:type="pct"/>
        <w:tblInd w:w="0" w:type="dxa"/>
        <w:tblLayout w:type="autofit"/>
        <w:tblCellMar>
          <w:top w:w="0" w:type="dxa"/>
          <w:left w:w="108" w:type="dxa"/>
          <w:bottom w:w="0" w:type="dxa"/>
          <w:right w:w="108" w:type="dxa"/>
        </w:tblCellMar>
      </w:tblPr>
      <w:tblGrid>
        <w:gridCol w:w="4256"/>
        <w:gridCol w:w="4256"/>
      </w:tblGrid>
      <w:tr w14:paraId="4A079782">
        <w:tblPrEx>
          <w:tblCellMar>
            <w:top w:w="0" w:type="dxa"/>
            <w:left w:w="108" w:type="dxa"/>
            <w:bottom w:w="0" w:type="dxa"/>
            <w:right w:w="108" w:type="dxa"/>
          </w:tblCellMar>
        </w:tblPrEx>
        <w:tc>
          <w:tcPr>
            <w:tcW w:w="2500" w:type="pct"/>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81EAC90">
            <w:pPr>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仿宋" w:hAnsi="仿宋" w:eastAsia="仿宋" w:cs="仿宋"/>
                <w:color w:val="auto"/>
              </w:rPr>
            </w:pPr>
            <w:r>
              <w:rPr>
                <w:rFonts w:hint="eastAsia" w:ascii="仿宋" w:hAnsi="仿宋" w:eastAsia="仿宋" w:cs="仿宋"/>
                <w:color w:val="auto"/>
              </w:rPr>
              <w:t>委托人：（盖章）</w:t>
            </w:r>
            <w:r>
              <w:rPr>
                <w:rFonts w:hint="eastAsia" w:ascii="仿宋" w:hAnsi="仿宋" w:eastAsia="仿宋" w:cs="仿宋"/>
                <w:color w:val="auto"/>
              </w:rPr>
              <w:br w:type="textWrapping"/>
            </w:r>
            <w:r>
              <w:rPr>
                <w:rFonts w:hint="eastAsia" w:ascii="仿宋" w:hAnsi="仿宋" w:eastAsia="仿宋" w:cs="仿宋"/>
                <w:color w:val="auto"/>
              </w:rPr>
              <w:t xml:space="preserve"> 住所：</w:t>
            </w:r>
            <w:r>
              <w:rPr>
                <w:rFonts w:hint="eastAsia" w:ascii="仿宋" w:hAnsi="仿宋" w:eastAsia="仿宋" w:cs="仿宋"/>
                <w:color w:val="auto"/>
              </w:rPr>
              <w:br w:type="textWrapping"/>
            </w:r>
            <w:r>
              <w:rPr>
                <w:rFonts w:hint="eastAsia" w:ascii="仿宋" w:hAnsi="仿宋" w:eastAsia="仿宋" w:cs="仿宋"/>
                <w:color w:val="auto"/>
              </w:rPr>
              <w:t xml:space="preserve"> 邮政编码：</w:t>
            </w:r>
            <w:r>
              <w:rPr>
                <w:rFonts w:hint="eastAsia" w:ascii="仿宋" w:hAnsi="仿宋" w:eastAsia="仿宋" w:cs="仿宋"/>
                <w:color w:val="auto"/>
              </w:rPr>
              <w:br w:type="textWrapping"/>
            </w:r>
            <w:r>
              <w:rPr>
                <w:rFonts w:hint="eastAsia" w:ascii="仿宋" w:hAnsi="仿宋" w:eastAsia="仿宋" w:cs="仿宋"/>
                <w:color w:val="auto"/>
              </w:rPr>
              <w:t xml:space="preserve"> 法定代表人或其授权的代理人：（签字）</w:t>
            </w:r>
            <w:r>
              <w:rPr>
                <w:rFonts w:hint="eastAsia" w:ascii="仿宋" w:hAnsi="仿宋" w:eastAsia="仿宋" w:cs="仿宋"/>
                <w:color w:val="auto"/>
              </w:rPr>
              <w:br w:type="textWrapping"/>
            </w:r>
            <w:r>
              <w:rPr>
                <w:rFonts w:hint="eastAsia" w:ascii="仿宋" w:hAnsi="仿宋" w:eastAsia="仿宋" w:cs="仿宋"/>
                <w:color w:val="auto"/>
              </w:rPr>
              <w:t xml:space="preserve"> 开户银行：</w:t>
            </w:r>
            <w:r>
              <w:rPr>
                <w:rFonts w:hint="eastAsia" w:ascii="仿宋" w:hAnsi="仿宋" w:eastAsia="仿宋" w:cs="仿宋"/>
                <w:color w:val="auto"/>
              </w:rPr>
              <w:br w:type="textWrapping"/>
            </w:r>
            <w:r>
              <w:rPr>
                <w:rFonts w:hint="eastAsia" w:ascii="仿宋" w:hAnsi="仿宋" w:eastAsia="仿宋" w:cs="仿宋"/>
                <w:color w:val="auto"/>
              </w:rPr>
              <w:t xml:space="preserve"> 账号：</w:t>
            </w:r>
            <w:r>
              <w:rPr>
                <w:rFonts w:hint="eastAsia" w:ascii="仿宋" w:hAnsi="仿宋" w:eastAsia="仿宋" w:cs="仿宋"/>
                <w:color w:val="auto"/>
              </w:rPr>
              <w:br w:type="textWrapping"/>
            </w:r>
            <w:r>
              <w:rPr>
                <w:rFonts w:hint="eastAsia" w:ascii="仿宋" w:hAnsi="仿宋" w:eastAsia="仿宋" w:cs="仿宋"/>
                <w:color w:val="auto"/>
              </w:rPr>
              <w:t xml:space="preserve"> 电话：</w:t>
            </w:r>
            <w:r>
              <w:rPr>
                <w:rFonts w:hint="eastAsia" w:ascii="仿宋" w:hAnsi="仿宋" w:eastAsia="仿宋" w:cs="仿宋"/>
                <w:color w:val="auto"/>
              </w:rPr>
              <w:br w:type="textWrapping"/>
            </w:r>
            <w:r>
              <w:rPr>
                <w:rFonts w:hint="eastAsia" w:ascii="仿宋" w:hAnsi="仿宋" w:eastAsia="仿宋" w:cs="仿宋"/>
                <w:color w:val="auto"/>
              </w:rPr>
              <w:t xml:space="preserve"> 传真：</w:t>
            </w:r>
            <w:r>
              <w:rPr>
                <w:rFonts w:hint="eastAsia" w:ascii="仿宋" w:hAnsi="仿宋" w:eastAsia="仿宋" w:cs="仿宋"/>
                <w:color w:val="auto"/>
              </w:rPr>
              <w:br w:type="textWrapping"/>
            </w:r>
            <w:r>
              <w:rPr>
                <w:rFonts w:hint="eastAsia" w:ascii="仿宋" w:hAnsi="仿宋" w:eastAsia="仿宋" w:cs="仿宋"/>
                <w:color w:val="auto"/>
              </w:rPr>
              <w:t xml:space="preserve"> 电子邮箱：</w:t>
            </w:r>
          </w:p>
        </w:tc>
        <w:tc>
          <w:tcPr>
            <w:tcW w:w="2500" w:type="pct"/>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FB1824A">
            <w:pPr>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仿宋" w:hAnsi="仿宋" w:eastAsia="仿宋" w:cs="仿宋"/>
                <w:color w:val="auto"/>
              </w:rPr>
            </w:pPr>
            <w:r>
              <w:rPr>
                <w:rFonts w:hint="eastAsia" w:ascii="仿宋" w:hAnsi="仿宋" w:eastAsia="仿宋" w:cs="仿宋"/>
                <w:color w:val="auto"/>
              </w:rPr>
              <w:t>监理人：（盖章）</w:t>
            </w:r>
            <w:r>
              <w:rPr>
                <w:rFonts w:hint="eastAsia" w:ascii="仿宋" w:hAnsi="仿宋" w:eastAsia="仿宋" w:cs="仿宋"/>
                <w:color w:val="auto"/>
              </w:rPr>
              <w:br w:type="textWrapping"/>
            </w:r>
            <w:r>
              <w:rPr>
                <w:rFonts w:hint="eastAsia" w:ascii="仿宋" w:hAnsi="仿宋" w:eastAsia="仿宋" w:cs="仿宋"/>
                <w:color w:val="auto"/>
              </w:rPr>
              <w:t xml:space="preserve"> 住所：</w:t>
            </w:r>
            <w:r>
              <w:rPr>
                <w:rFonts w:hint="eastAsia" w:ascii="仿宋" w:hAnsi="仿宋" w:eastAsia="仿宋" w:cs="仿宋"/>
                <w:color w:val="auto"/>
              </w:rPr>
              <w:br w:type="textWrapping"/>
            </w:r>
            <w:r>
              <w:rPr>
                <w:rFonts w:hint="eastAsia" w:ascii="仿宋" w:hAnsi="仿宋" w:eastAsia="仿宋" w:cs="仿宋"/>
                <w:color w:val="auto"/>
              </w:rPr>
              <w:t xml:space="preserve"> 邮政编码：</w:t>
            </w:r>
            <w:r>
              <w:rPr>
                <w:rFonts w:hint="eastAsia" w:ascii="仿宋" w:hAnsi="仿宋" w:eastAsia="仿宋" w:cs="仿宋"/>
                <w:color w:val="auto"/>
              </w:rPr>
              <w:br w:type="textWrapping"/>
            </w:r>
            <w:r>
              <w:rPr>
                <w:rFonts w:hint="eastAsia" w:ascii="仿宋" w:hAnsi="仿宋" w:eastAsia="仿宋" w:cs="仿宋"/>
                <w:color w:val="auto"/>
              </w:rPr>
              <w:t xml:space="preserve"> 法定代表人或其授权的代理人：（签字）</w:t>
            </w:r>
            <w:r>
              <w:rPr>
                <w:rFonts w:hint="eastAsia" w:ascii="仿宋" w:hAnsi="仿宋" w:eastAsia="仿宋" w:cs="仿宋"/>
                <w:color w:val="auto"/>
              </w:rPr>
              <w:br w:type="textWrapping"/>
            </w:r>
            <w:r>
              <w:rPr>
                <w:rFonts w:hint="eastAsia" w:ascii="仿宋" w:hAnsi="仿宋" w:eastAsia="仿宋" w:cs="仿宋"/>
                <w:color w:val="auto"/>
              </w:rPr>
              <w:t xml:space="preserve"> 开户银行：</w:t>
            </w:r>
            <w:r>
              <w:rPr>
                <w:rFonts w:hint="eastAsia" w:ascii="仿宋" w:hAnsi="仿宋" w:eastAsia="仿宋" w:cs="仿宋"/>
                <w:color w:val="auto"/>
              </w:rPr>
              <w:br w:type="textWrapping"/>
            </w:r>
            <w:r>
              <w:rPr>
                <w:rFonts w:hint="eastAsia" w:ascii="仿宋" w:hAnsi="仿宋" w:eastAsia="仿宋" w:cs="仿宋"/>
                <w:color w:val="auto"/>
              </w:rPr>
              <w:t xml:space="preserve"> 账号：</w:t>
            </w:r>
            <w:r>
              <w:rPr>
                <w:rFonts w:hint="eastAsia" w:ascii="仿宋" w:hAnsi="仿宋" w:eastAsia="仿宋" w:cs="仿宋"/>
                <w:color w:val="auto"/>
              </w:rPr>
              <w:br w:type="textWrapping"/>
            </w:r>
            <w:r>
              <w:rPr>
                <w:rFonts w:hint="eastAsia" w:ascii="仿宋" w:hAnsi="仿宋" w:eastAsia="仿宋" w:cs="仿宋"/>
                <w:color w:val="auto"/>
              </w:rPr>
              <w:t xml:space="preserve"> 电话：</w:t>
            </w:r>
            <w:r>
              <w:rPr>
                <w:rFonts w:hint="eastAsia" w:ascii="仿宋" w:hAnsi="仿宋" w:eastAsia="仿宋" w:cs="仿宋"/>
                <w:color w:val="auto"/>
              </w:rPr>
              <w:br w:type="textWrapping"/>
            </w:r>
            <w:r>
              <w:rPr>
                <w:rFonts w:hint="eastAsia" w:ascii="仿宋" w:hAnsi="仿宋" w:eastAsia="仿宋" w:cs="仿宋"/>
                <w:color w:val="auto"/>
              </w:rPr>
              <w:t xml:space="preserve"> 传真：</w:t>
            </w:r>
            <w:r>
              <w:rPr>
                <w:rFonts w:hint="eastAsia" w:ascii="仿宋" w:hAnsi="仿宋" w:eastAsia="仿宋" w:cs="仿宋"/>
                <w:color w:val="auto"/>
              </w:rPr>
              <w:br w:type="textWrapping"/>
            </w:r>
            <w:r>
              <w:rPr>
                <w:rFonts w:hint="eastAsia" w:ascii="仿宋" w:hAnsi="仿宋" w:eastAsia="仿宋" w:cs="仿宋"/>
                <w:color w:val="auto"/>
              </w:rPr>
              <w:t xml:space="preserve"> 电子邮箱：</w:t>
            </w:r>
          </w:p>
        </w:tc>
      </w:tr>
    </w:tbl>
    <w:p w14:paraId="64E632B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p>
    <w:p w14:paraId="7479A38C">
      <w:pPr>
        <w:rPr>
          <w:rFonts w:hint="eastAsia" w:ascii="仿宋" w:hAnsi="仿宋" w:eastAsia="仿宋" w:cs="仿宋"/>
          <w:color w:val="auto"/>
          <w:sz w:val="32"/>
          <w:lang w:eastAsia="zh-CN"/>
        </w:rPr>
      </w:pPr>
      <w:r>
        <w:rPr>
          <w:rFonts w:hint="eastAsia" w:ascii="仿宋" w:hAnsi="仿宋" w:eastAsia="仿宋" w:cs="仿宋"/>
          <w:color w:val="auto"/>
          <w:sz w:val="32"/>
          <w:lang w:eastAsia="zh-CN"/>
        </w:rPr>
        <w:br w:type="page"/>
      </w:r>
    </w:p>
    <w:p w14:paraId="1C5C29E3">
      <w:pPr>
        <w:pStyle w:val="7"/>
        <w:jc w:val="center"/>
        <w:rPr>
          <w:rFonts w:hint="eastAsia" w:ascii="仿宋" w:hAnsi="仿宋" w:eastAsia="仿宋" w:cs="仿宋"/>
          <w:color w:val="auto"/>
        </w:rPr>
      </w:pPr>
      <w:r>
        <w:rPr>
          <w:rFonts w:hint="eastAsia" w:ascii="仿宋" w:hAnsi="仿宋" w:eastAsia="仿宋" w:cs="仿宋"/>
          <w:color w:val="auto"/>
          <w:sz w:val="32"/>
          <w:lang w:eastAsia="zh-CN"/>
        </w:rPr>
        <w:t>第五章</w:t>
      </w: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lang w:eastAsia="zh-CN"/>
        </w:rPr>
        <w:t>磋商响应文件基本格式</w:t>
      </w:r>
    </w:p>
    <w:p w14:paraId="6F3C49AB">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项目编号：</w:t>
      </w:r>
      <w:r>
        <w:rPr>
          <w:rFonts w:hint="eastAsia" w:ascii="仿宋" w:hAnsi="仿宋" w:eastAsia="仿宋" w:cs="仿宋"/>
          <w:color w:val="auto"/>
        </w:rPr>
        <w:t>SXZY-</w:t>
      </w:r>
      <w:r>
        <w:rPr>
          <w:rFonts w:hint="eastAsia" w:ascii="仿宋" w:hAnsi="仿宋" w:eastAsia="仿宋" w:cs="仿宋"/>
          <w:color w:val="auto"/>
          <w:lang w:eastAsia="zh-CN"/>
        </w:rPr>
        <w:t>AK2026064</w:t>
      </w:r>
    </w:p>
    <w:p w14:paraId="10DBD115">
      <w:pPr>
        <w:spacing w:before="1200" w:line="408" w:lineRule="auto"/>
        <w:ind w:firstLine="0"/>
        <w:jc w:val="center"/>
        <w:rPr>
          <w:rFonts w:hint="eastAsia" w:ascii="仿宋" w:hAnsi="仿宋" w:eastAsia="仿宋" w:cs="仿宋"/>
          <w:color w:val="auto"/>
        </w:rPr>
      </w:pPr>
      <w:r>
        <w:rPr>
          <w:rFonts w:hint="eastAsia" w:ascii="仿宋" w:hAnsi="仿宋" w:eastAsia="仿宋" w:cs="仿宋"/>
          <w:color w:val="auto"/>
          <w:sz w:val="32"/>
          <w:lang w:eastAsia="zh-CN"/>
        </w:rPr>
        <w:t>安康中心城区易涝点整治工程（四期）监理服务项目</w:t>
      </w:r>
    </w:p>
    <w:p w14:paraId="29A4513B">
      <w:pPr>
        <w:spacing w:before="600" w:line="408" w:lineRule="auto"/>
        <w:ind w:firstLine="0"/>
        <w:jc w:val="center"/>
        <w:rPr>
          <w:rFonts w:hint="eastAsia" w:ascii="仿宋" w:hAnsi="仿宋" w:eastAsia="仿宋" w:cs="仿宋"/>
          <w:color w:val="auto"/>
          <w:sz w:val="40"/>
          <w:lang w:eastAsia="zh-CN"/>
        </w:rPr>
      </w:pPr>
    </w:p>
    <w:p w14:paraId="1B38D7EA">
      <w:pPr>
        <w:spacing w:before="600" w:line="408" w:lineRule="auto"/>
        <w:ind w:firstLine="0"/>
        <w:jc w:val="center"/>
        <w:rPr>
          <w:rFonts w:hint="eastAsia" w:ascii="仿宋" w:hAnsi="仿宋" w:eastAsia="仿宋" w:cs="仿宋"/>
          <w:color w:val="auto"/>
          <w:sz w:val="40"/>
          <w:lang w:eastAsia="zh-CN"/>
        </w:rPr>
      </w:pPr>
    </w:p>
    <w:p w14:paraId="60E12968">
      <w:pPr>
        <w:spacing w:before="600" w:line="408" w:lineRule="auto"/>
        <w:ind w:firstLine="0"/>
        <w:jc w:val="center"/>
        <w:rPr>
          <w:rFonts w:hint="eastAsia" w:ascii="仿宋" w:hAnsi="仿宋" w:eastAsia="仿宋" w:cs="仿宋"/>
          <w:color w:val="auto"/>
        </w:rPr>
      </w:pPr>
      <w:r>
        <w:rPr>
          <w:rFonts w:hint="eastAsia" w:ascii="仿宋" w:hAnsi="仿宋" w:eastAsia="仿宋" w:cs="仿宋"/>
          <w:color w:val="auto"/>
          <w:sz w:val="40"/>
          <w:lang w:eastAsia="zh-CN"/>
        </w:rPr>
        <w:t>磋 商 响 应 文 件</w:t>
      </w:r>
    </w:p>
    <w:p w14:paraId="51AFFC23">
      <w:pPr>
        <w:spacing w:before="1200" w:line="408" w:lineRule="auto"/>
        <w:ind w:firstLine="0"/>
        <w:jc w:val="center"/>
        <w:rPr>
          <w:rFonts w:hint="eastAsia" w:ascii="仿宋" w:hAnsi="仿宋" w:eastAsia="仿宋" w:cs="仿宋"/>
          <w:color w:val="auto"/>
          <w:lang w:eastAsia="zh-CN"/>
        </w:rPr>
      </w:pPr>
    </w:p>
    <w:p w14:paraId="7A0A3286">
      <w:pPr>
        <w:spacing w:before="1200" w:line="408" w:lineRule="auto"/>
        <w:ind w:firstLine="0"/>
        <w:jc w:val="center"/>
        <w:rPr>
          <w:rFonts w:hint="eastAsia"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____________</w:t>
      </w:r>
    </w:p>
    <w:p w14:paraId="584EF52E">
      <w:pPr>
        <w:spacing w:line="408" w:lineRule="auto"/>
        <w:ind w:firstLine="0"/>
        <w:jc w:val="center"/>
        <w:rPr>
          <w:rFonts w:hint="eastAsia" w:ascii="仿宋" w:hAnsi="仿宋" w:eastAsia="仿宋" w:cs="仿宋"/>
          <w:color w:val="auto"/>
        </w:rPr>
      </w:pPr>
      <w:r>
        <w:rPr>
          <w:rFonts w:hint="eastAsia" w:ascii="仿宋" w:hAnsi="仿宋" w:eastAsia="仿宋" w:cs="仿宋"/>
          <w:color w:val="auto"/>
          <w:lang w:eastAsia="zh-CN"/>
        </w:rPr>
        <w:t>法人或被授权人（签字或盖章）：</w:t>
      </w:r>
      <w:r>
        <w:rPr>
          <w:rFonts w:hint="eastAsia" w:ascii="仿宋" w:hAnsi="仿宋" w:eastAsia="仿宋" w:cs="仿宋"/>
          <w:color w:val="auto"/>
        </w:rPr>
        <w:t>____________</w:t>
      </w:r>
    </w:p>
    <w:p w14:paraId="6E01A1BC">
      <w:pPr>
        <w:spacing w:line="408" w:lineRule="auto"/>
        <w:ind w:firstLine="0"/>
        <w:jc w:val="center"/>
        <w:rPr>
          <w:rFonts w:hint="eastAsia" w:ascii="仿宋" w:hAnsi="仿宋" w:eastAsia="仿宋" w:cs="仿宋"/>
          <w:color w:val="auto"/>
        </w:rPr>
      </w:pPr>
      <w:r>
        <w:rPr>
          <w:rFonts w:hint="eastAsia" w:ascii="仿宋" w:hAnsi="仿宋" w:eastAsia="仿宋" w:cs="仿宋"/>
          <w:color w:val="auto"/>
          <w:lang w:eastAsia="zh-CN"/>
        </w:rPr>
        <w:t>时间：</w:t>
      </w:r>
      <w:r>
        <w:rPr>
          <w:rFonts w:hint="eastAsia" w:ascii="仿宋" w:hAnsi="仿宋" w:eastAsia="仿宋" w:cs="仿宋"/>
          <w:color w:val="auto"/>
        </w:rPr>
        <w:t>____________</w:t>
      </w:r>
    </w:p>
    <w:p w14:paraId="105C287D">
      <w:pPr>
        <w:pStyle w:val="8"/>
        <w:rPr>
          <w:rFonts w:hint="eastAsia" w:ascii="仿宋" w:hAnsi="仿宋" w:eastAsia="仿宋" w:cs="仿宋"/>
          <w:color w:val="auto"/>
          <w:sz w:val="28"/>
          <w:lang w:eastAsia="zh-CN"/>
        </w:rPr>
      </w:pPr>
    </w:p>
    <w:p w14:paraId="4905F15B">
      <w:pPr>
        <w:pStyle w:val="8"/>
        <w:jc w:val="center"/>
        <w:rPr>
          <w:rFonts w:hint="eastAsia" w:ascii="仿宋" w:hAnsi="仿宋" w:eastAsia="仿宋" w:cs="仿宋"/>
          <w:color w:val="auto"/>
          <w:sz w:val="32"/>
          <w:szCs w:val="28"/>
          <w:lang w:eastAsia="zh-CN"/>
        </w:rPr>
      </w:pPr>
      <w:r>
        <w:rPr>
          <w:rFonts w:hint="eastAsia" w:ascii="仿宋" w:hAnsi="仿宋" w:eastAsia="仿宋" w:cs="仿宋"/>
          <w:color w:val="auto"/>
          <w:sz w:val="32"/>
          <w:szCs w:val="28"/>
          <w:lang w:eastAsia="zh-CN"/>
        </w:rPr>
        <w:t>目</w:t>
      </w:r>
      <w:r>
        <w:rPr>
          <w:rFonts w:hint="eastAsia" w:ascii="仿宋" w:hAnsi="仿宋" w:eastAsia="仿宋" w:cs="仿宋"/>
          <w:color w:val="auto"/>
          <w:sz w:val="32"/>
          <w:szCs w:val="28"/>
          <w:lang w:val="en-US" w:eastAsia="zh-CN"/>
        </w:rPr>
        <w:t xml:space="preserve">   </w:t>
      </w:r>
      <w:r>
        <w:rPr>
          <w:rFonts w:hint="eastAsia" w:ascii="仿宋" w:hAnsi="仿宋" w:eastAsia="仿宋" w:cs="仿宋"/>
          <w:color w:val="auto"/>
          <w:sz w:val="32"/>
          <w:szCs w:val="28"/>
          <w:lang w:eastAsia="zh-CN"/>
        </w:rPr>
        <w:t>录</w:t>
      </w:r>
    </w:p>
    <w:p w14:paraId="149D7859">
      <w:pPr>
        <w:rPr>
          <w:rFonts w:hint="eastAsia"/>
        </w:rPr>
      </w:pPr>
    </w:p>
    <w:p w14:paraId="18710578">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（必须包含以下内容，但不限于以下内容，可以扩充）</w:t>
      </w:r>
    </w:p>
    <w:p w14:paraId="541DBF8C">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一、磋商响应函</w:t>
      </w:r>
    </w:p>
    <w:p w14:paraId="26E9523C">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二、第一次磋商报价表</w:t>
      </w:r>
    </w:p>
    <w:p w14:paraId="76C0AFAA">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三、资格证明文件</w:t>
      </w:r>
    </w:p>
    <w:p w14:paraId="3BA3970E">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四、供应商概况</w:t>
      </w:r>
    </w:p>
    <w:p w14:paraId="708D6D6D">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五、供应商拒绝政府采购领域商业贿赂承诺书</w:t>
      </w:r>
    </w:p>
    <w:p w14:paraId="11BF46D1">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val="en-US" w:eastAsia="zh-CN"/>
        </w:rPr>
        <w:t>六、服务</w:t>
      </w:r>
      <w:r>
        <w:rPr>
          <w:rFonts w:hint="eastAsia" w:ascii="仿宋" w:hAnsi="仿宋" w:eastAsia="仿宋" w:cs="仿宋"/>
          <w:color w:val="auto"/>
          <w:lang w:eastAsia="zh-CN"/>
        </w:rPr>
        <w:t>方案</w:t>
      </w:r>
    </w:p>
    <w:p w14:paraId="3B984E28">
      <w:pPr>
        <w:rPr>
          <w:rFonts w:hint="eastAsia" w:ascii="仿宋" w:hAnsi="仿宋" w:eastAsia="仿宋" w:cs="仿宋"/>
          <w:color w:val="auto"/>
          <w:lang w:eastAsia="zh-CN"/>
        </w:rPr>
      </w:pPr>
      <w:r>
        <w:rPr>
          <w:rFonts w:hint="eastAsia" w:ascii="仿宋" w:hAnsi="仿宋" w:eastAsia="仿宋" w:cs="仿宋"/>
          <w:color w:val="auto"/>
          <w:lang w:eastAsia="zh-CN"/>
        </w:rPr>
        <w:br w:type="page"/>
      </w:r>
    </w:p>
    <w:p w14:paraId="763D5E2D">
      <w:pPr>
        <w:pStyle w:val="8"/>
        <w:rPr>
          <w:rFonts w:hint="eastAsia" w:ascii="仿宋" w:hAnsi="仿宋" w:eastAsia="仿宋" w:cs="仿宋"/>
          <w:color w:val="auto"/>
        </w:rPr>
      </w:pPr>
      <w:r>
        <w:rPr>
          <w:rFonts w:hint="eastAsia" w:ascii="仿宋" w:hAnsi="仿宋" w:eastAsia="仿宋" w:cs="仿宋"/>
          <w:color w:val="auto"/>
          <w:sz w:val="28"/>
          <w:lang w:eastAsia="zh-CN"/>
        </w:rPr>
        <w:t>一、磋商响应函</w:t>
      </w:r>
    </w:p>
    <w:p w14:paraId="5BFD64E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致：（采购代理机构）</w:t>
      </w:r>
    </w:p>
    <w:p w14:paraId="30DA835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根据贵方</w:t>
      </w:r>
      <w:r>
        <w:rPr>
          <w:rFonts w:hint="eastAsia" w:ascii="仿宋" w:hAnsi="仿宋" w:eastAsia="仿宋" w:cs="仿宋"/>
          <w:color w:val="auto"/>
        </w:rPr>
        <w:t>____</w:t>
      </w:r>
      <w:r>
        <w:rPr>
          <w:rFonts w:hint="eastAsia" w:ascii="仿宋" w:hAnsi="仿宋" w:eastAsia="仿宋" w:cs="仿宋"/>
          <w:color w:val="auto"/>
          <w:lang w:eastAsia="zh-CN"/>
        </w:rPr>
        <w:t>（项目名称）</w:t>
      </w:r>
      <w:r>
        <w:rPr>
          <w:rFonts w:hint="eastAsia" w:ascii="仿宋" w:hAnsi="仿宋" w:eastAsia="仿宋" w:cs="仿宋"/>
          <w:color w:val="auto"/>
        </w:rPr>
        <w:t>____</w:t>
      </w:r>
      <w:r>
        <w:rPr>
          <w:rFonts w:hint="eastAsia" w:ascii="仿宋" w:hAnsi="仿宋" w:eastAsia="仿宋" w:cs="仿宋"/>
          <w:color w:val="auto"/>
          <w:lang w:eastAsia="zh-CN"/>
        </w:rPr>
        <w:t>（项目编号：</w:t>
      </w:r>
      <w:r>
        <w:rPr>
          <w:rFonts w:hint="eastAsia" w:ascii="仿宋" w:hAnsi="仿宋" w:eastAsia="仿宋" w:cs="仿宋"/>
          <w:color w:val="auto"/>
        </w:rPr>
        <w:t>________</w:t>
      </w:r>
      <w:r>
        <w:rPr>
          <w:rFonts w:hint="eastAsia" w:ascii="仿宋" w:hAnsi="仿宋" w:eastAsia="仿宋" w:cs="仿宋"/>
          <w:color w:val="auto"/>
          <w:lang w:eastAsia="zh-CN"/>
        </w:rPr>
        <w:t>）的竞争性磋商文件要求，正式授权下述签字人</w:t>
      </w:r>
      <w:r>
        <w:rPr>
          <w:rFonts w:hint="eastAsia" w:ascii="仿宋" w:hAnsi="仿宋" w:eastAsia="仿宋" w:cs="仿宋"/>
          <w:color w:val="auto"/>
        </w:rPr>
        <w:t>____</w:t>
      </w:r>
      <w:r>
        <w:rPr>
          <w:rFonts w:hint="eastAsia" w:ascii="仿宋" w:hAnsi="仿宋" w:eastAsia="仿宋" w:cs="仿宋"/>
          <w:color w:val="auto"/>
          <w:lang w:eastAsia="zh-CN"/>
        </w:rPr>
        <w:t>（姓名和职务）</w:t>
      </w:r>
      <w:r>
        <w:rPr>
          <w:rFonts w:hint="eastAsia" w:ascii="仿宋" w:hAnsi="仿宋" w:eastAsia="仿宋" w:cs="仿宋"/>
          <w:color w:val="auto"/>
        </w:rPr>
        <w:t>____</w:t>
      </w:r>
      <w:r>
        <w:rPr>
          <w:rFonts w:hint="eastAsia" w:ascii="仿宋" w:hAnsi="仿宋" w:eastAsia="仿宋" w:cs="仿宋"/>
          <w:color w:val="auto"/>
          <w:lang w:eastAsia="zh-CN"/>
        </w:rPr>
        <w:t>全权代表供应商</w:t>
      </w:r>
      <w:r>
        <w:rPr>
          <w:rFonts w:hint="eastAsia" w:ascii="仿宋" w:hAnsi="仿宋" w:eastAsia="仿宋" w:cs="仿宋"/>
          <w:color w:val="auto"/>
        </w:rPr>
        <w:t>____</w:t>
      </w:r>
      <w:r>
        <w:rPr>
          <w:rFonts w:hint="eastAsia" w:ascii="仿宋" w:hAnsi="仿宋" w:eastAsia="仿宋" w:cs="仿宋"/>
          <w:color w:val="auto"/>
          <w:lang w:eastAsia="zh-CN"/>
        </w:rPr>
        <w:t>（供应商全称）</w:t>
      </w:r>
      <w:r>
        <w:rPr>
          <w:rFonts w:hint="eastAsia" w:ascii="仿宋" w:hAnsi="仿宋" w:eastAsia="仿宋" w:cs="仿宋"/>
          <w:color w:val="auto"/>
        </w:rPr>
        <w:t>____</w:t>
      </w:r>
      <w:r>
        <w:rPr>
          <w:rFonts w:hint="eastAsia" w:ascii="仿宋" w:hAnsi="仿宋" w:eastAsia="仿宋" w:cs="仿宋"/>
          <w:color w:val="auto"/>
          <w:lang w:eastAsia="zh-CN"/>
        </w:rPr>
        <w:t>参加贵方组织的磋商活动。据此函，签字人兹宣布同意如下：</w:t>
      </w:r>
    </w:p>
    <w:p w14:paraId="33402F6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、我方承担根据采购文件的规定，完成合同的责任和义务。</w:t>
      </w:r>
    </w:p>
    <w:p w14:paraId="1B19583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、我方已详细阅览全部采购文件、参考资料及有关附件，我方知道必须放弃提出含糊不清或误解问题的权利。</w:t>
      </w:r>
    </w:p>
    <w:p w14:paraId="4EDF0FA1">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、我方同意在磋商有效期内（自磋商之日起</w:t>
      </w:r>
      <w:r>
        <w:rPr>
          <w:rFonts w:hint="eastAsia" w:ascii="仿宋" w:hAnsi="仿宋" w:eastAsia="仿宋" w:cs="仿宋"/>
          <w:color w:val="auto"/>
        </w:rPr>
        <w:t>90</w:t>
      </w:r>
      <w:r>
        <w:rPr>
          <w:rFonts w:hint="eastAsia" w:ascii="仿宋" w:hAnsi="仿宋" w:eastAsia="仿宋" w:cs="仿宋"/>
          <w:color w:val="auto"/>
          <w:lang w:eastAsia="zh-CN"/>
        </w:rPr>
        <w:t>天内），本磋商响应函对我方具有约束力，并有可能成交。</w:t>
      </w:r>
    </w:p>
    <w:p w14:paraId="4A3EFDC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、同意向贵方提供贵方可能要求的与本次磋商有关的任何数据或资料。</w:t>
      </w:r>
    </w:p>
    <w:p w14:paraId="0DDD464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、我方完全理解贵方不一定要接受最低报价作为成交单位。</w:t>
      </w:r>
    </w:p>
    <w:p w14:paraId="4463E16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、我方同意，如果成交，向采购代理机构交纳采购代理服务费。</w:t>
      </w:r>
    </w:p>
    <w:p w14:paraId="03EFD719">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rPr>
        <w:t>7</w:t>
      </w:r>
      <w:r>
        <w:rPr>
          <w:rFonts w:hint="eastAsia" w:ascii="仿宋" w:hAnsi="仿宋" w:eastAsia="仿宋" w:cs="仿宋"/>
          <w:color w:val="auto"/>
          <w:lang w:eastAsia="zh-CN"/>
        </w:rPr>
        <w:t>、与本磋商有关的一切正式往来通讯为：</w:t>
      </w:r>
    </w:p>
    <w:p w14:paraId="52DD1F2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5B5F6F6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供应商名称（公章）：</w:t>
      </w:r>
      <w:r>
        <w:rPr>
          <w:rFonts w:hint="eastAsia" w:ascii="仿宋" w:hAnsi="仿宋" w:eastAsia="仿宋" w:cs="仿宋"/>
          <w:color w:val="auto"/>
        </w:rPr>
        <w:t>____________________</w:t>
      </w:r>
    </w:p>
    <w:p w14:paraId="24EA23C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法定代表人（签名或盖章）：</w:t>
      </w:r>
      <w:r>
        <w:rPr>
          <w:rFonts w:hint="eastAsia" w:ascii="仿宋" w:hAnsi="仿宋" w:eastAsia="仿宋" w:cs="仿宋"/>
          <w:color w:val="auto"/>
        </w:rPr>
        <w:t>____________________</w:t>
      </w:r>
    </w:p>
    <w:p w14:paraId="0A418CC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详细地址：</w:t>
      </w:r>
      <w:r>
        <w:rPr>
          <w:rFonts w:hint="eastAsia" w:ascii="仿宋" w:hAnsi="仿宋" w:eastAsia="仿宋" w:cs="仿宋"/>
          <w:color w:val="auto"/>
        </w:rPr>
        <w:t>____________________</w:t>
      </w:r>
    </w:p>
    <w:p w14:paraId="1C97A90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电话：</w:t>
      </w:r>
      <w:r>
        <w:rPr>
          <w:rFonts w:hint="eastAsia" w:ascii="仿宋" w:hAnsi="仿宋" w:eastAsia="仿宋" w:cs="仿宋"/>
          <w:color w:val="auto"/>
        </w:rPr>
        <w:t>____________</w:t>
      </w:r>
    </w:p>
    <w:p w14:paraId="480C462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开户银行：</w:t>
      </w:r>
      <w:r>
        <w:rPr>
          <w:rFonts w:hint="eastAsia" w:ascii="仿宋" w:hAnsi="仿宋" w:eastAsia="仿宋" w:cs="仿宋"/>
          <w:color w:val="auto"/>
        </w:rPr>
        <w:t>____________</w:t>
      </w:r>
    </w:p>
    <w:p w14:paraId="245B962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账号：</w:t>
      </w:r>
      <w:r>
        <w:rPr>
          <w:rFonts w:hint="eastAsia" w:ascii="仿宋" w:hAnsi="仿宋" w:eastAsia="仿宋" w:cs="仿宋"/>
          <w:color w:val="auto"/>
        </w:rPr>
        <w:t>____________</w:t>
      </w:r>
    </w:p>
    <w:p w14:paraId="484C9E28">
      <w:pPr>
        <w:rPr>
          <w:rFonts w:hint="eastAsia" w:ascii="仿宋" w:hAnsi="仿宋" w:eastAsia="仿宋" w:cs="仿宋"/>
          <w:color w:val="auto"/>
        </w:rPr>
      </w:pPr>
      <w:r>
        <w:rPr>
          <w:rFonts w:hint="eastAsia" w:ascii="仿宋" w:hAnsi="仿宋" w:eastAsia="仿宋" w:cs="仿宋"/>
          <w:color w:val="auto"/>
        </w:rPr>
        <w:br w:type="page"/>
      </w:r>
    </w:p>
    <w:p w14:paraId="7B3A6B8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p>
    <w:p w14:paraId="45B0EAEA">
      <w:pPr>
        <w:pStyle w:val="8"/>
        <w:rPr>
          <w:rFonts w:hint="eastAsia" w:ascii="仿宋" w:hAnsi="仿宋" w:eastAsia="仿宋" w:cs="仿宋"/>
          <w:color w:val="auto"/>
        </w:rPr>
      </w:pPr>
      <w:r>
        <w:rPr>
          <w:rFonts w:hint="eastAsia" w:ascii="仿宋" w:hAnsi="仿宋" w:eastAsia="仿宋" w:cs="仿宋"/>
          <w:color w:val="auto"/>
          <w:sz w:val="28"/>
          <w:lang w:eastAsia="zh-CN"/>
        </w:rPr>
        <w:t>二、第一次磋商报价表</w:t>
      </w:r>
    </w:p>
    <w:p w14:paraId="27FD239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项目名称：安康中心城区易涝点整治工程（四期）监理服务项目</w:t>
      </w:r>
    </w:p>
    <w:p w14:paraId="0467401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项目编号：</w:t>
      </w:r>
      <w:r>
        <w:rPr>
          <w:rFonts w:hint="eastAsia" w:ascii="仿宋" w:hAnsi="仿宋" w:eastAsia="仿宋" w:cs="仿宋"/>
          <w:color w:val="auto"/>
        </w:rPr>
        <w:t>SXZY-</w:t>
      </w:r>
      <w:r>
        <w:rPr>
          <w:rFonts w:hint="eastAsia" w:ascii="仿宋" w:hAnsi="仿宋" w:eastAsia="仿宋" w:cs="仿宋"/>
          <w:color w:val="auto"/>
          <w:lang w:eastAsia="zh-CN"/>
        </w:rPr>
        <w:t>AK2026064</w:t>
      </w:r>
    </w:p>
    <w:tbl>
      <w:tblPr>
        <w:tblStyle w:val="36"/>
        <w:tblW w:w="8537" w:type="dxa"/>
        <w:jc w:val="center"/>
        <w:tblLayout w:type="autofit"/>
        <w:tblCellMar>
          <w:top w:w="0" w:type="dxa"/>
          <w:left w:w="108" w:type="dxa"/>
          <w:bottom w:w="0" w:type="dxa"/>
          <w:right w:w="108" w:type="dxa"/>
        </w:tblCellMar>
      </w:tblPr>
      <w:tblGrid>
        <w:gridCol w:w="3309"/>
        <w:gridCol w:w="1440"/>
        <w:gridCol w:w="1287"/>
        <w:gridCol w:w="1576"/>
        <w:gridCol w:w="925"/>
      </w:tblGrid>
      <w:tr w14:paraId="08BD6D3A">
        <w:tblPrEx>
          <w:tblCellMar>
            <w:top w:w="0" w:type="dxa"/>
            <w:left w:w="108" w:type="dxa"/>
            <w:bottom w:w="0" w:type="dxa"/>
            <w:right w:w="108" w:type="dxa"/>
          </w:tblCellMar>
        </w:tblPrEx>
        <w:trPr>
          <w:trHeight w:val="666" w:hRule="atLeast"/>
          <w:tblHeader/>
          <w:jc w:val="center"/>
        </w:trPr>
        <w:tc>
          <w:tcPr>
            <w:tcW w:w="3309"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7C931B52">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both"/>
              <w:textAlignment w:val="auto"/>
              <w:rPr>
                <w:rFonts w:hint="eastAsia" w:ascii="仿宋" w:hAnsi="仿宋" w:eastAsia="仿宋" w:cs="仿宋"/>
                <w:b/>
                <w:color w:val="auto"/>
              </w:rPr>
            </w:pPr>
            <w:r>
              <w:rPr>
                <w:rFonts w:hint="eastAsia" w:ascii="仿宋" w:hAnsi="仿宋" w:eastAsia="仿宋" w:cs="仿宋"/>
                <w:b/>
                <w:color w:val="auto"/>
              </w:rPr>
              <w:t>磋商总报价（元）</w:t>
            </w:r>
          </w:p>
        </w:tc>
        <w:tc>
          <w:tcPr>
            <w:tcW w:w="1440"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81CF276">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报价费率</w:t>
            </w:r>
          </w:p>
        </w:tc>
        <w:tc>
          <w:tcPr>
            <w:tcW w:w="1287"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2516062D">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服务期限</w:t>
            </w:r>
          </w:p>
        </w:tc>
        <w:tc>
          <w:tcPr>
            <w:tcW w:w="1576" w:type="dxa"/>
            <w:tcBorders>
              <w:top w:val="single" w:color="000000" w:sz="4" w:space="0"/>
              <w:left w:val="single" w:color="000000" w:sz="4" w:space="0"/>
              <w:bottom w:val="nil"/>
              <w:right w:val="nil"/>
            </w:tcBorders>
            <w:shd w:val="clear" w:color="auto" w:fill="F0F0F0"/>
            <w:noWrap w:val="0"/>
            <w:tcMar>
              <w:top w:w="80" w:type="dxa"/>
              <w:left w:w="100" w:type="dxa"/>
              <w:bottom w:w="80" w:type="dxa"/>
              <w:right w:w="100" w:type="dxa"/>
            </w:tcMar>
            <w:vAlign w:val="center"/>
          </w:tcPr>
          <w:p w14:paraId="7392092A">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质量标准</w:t>
            </w:r>
          </w:p>
        </w:tc>
        <w:tc>
          <w:tcPr>
            <w:tcW w:w="925" w:type="dxa"/>
            <w:tcBorders>
              <w:top w:val="single" w:color="000000" w:sz="4" w:space="0"/>
              <w:left w:val="single" w:color="000000" w:sz="4" w:space="0"/>
              <w:bottom w:val="nil"/>
              <w:right w:val="single" w:color="000000" w:sz="4" w:space="0"/>
            </w:tcBorders>
            <w:shd w:val="clear" w:color="auto" w:fill="F0F0F0"/>
            <w:noWrap w:val="0"/>
            <w:tcMar>
              <w:top w:w="80" w:type="dxa"/>
              <w:left w:w="100" w:type="dxa"/>
              <w:bottom w:w="80" w:type="dxa"/>
              <w:right w:w="100" w:type="dxa"/>
            </w:tcMar>
            <w:vAlign w:val="center"/>
          </w:tcPr>
          <w:p w14:paraId="4C7B24A1">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b/>
                <w:color w:val="auto"/>
              </w:rPr>
            </w:pPr>
            <w:r>
              <w:rPr>
                <w:rFonts w:hint="eastAsia" w:ascii="仿宋" w:hAnsi="仿宋" w:eastAsia="仿宋" w:cs="仿宋"/>
                <w:b/>
                <w:color w:val="auto"/>
              </w:rPr>
              <w:t>备注</w:t>
            </w:r>
          </w:p>
        </w:tc>
      </w:tr>
      <w:tr w14:paraId="0014907F">
        <w:tblPrEx>
          <w:tblCellMar>
            <w:top w:w="0" w:type="dxa"/>
            <w:left w:w="108" w:type="dxa"/>
            <w:bottom w:w="0" w:type="dxa"/>
            <w:right w:w="108" w:type="dxa"/>
          </w:tblCellMar>
        </w:tblPrEx>
        <w:trPr>
          <w:trHeight w:val="1111" w:hRule="atLeast"/>
          <w:jc w:val="center"/>
        </w:trPr>
        <w:tc>
          <w:tcPr>
            <w:tcW w:w="3309"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2CA01978">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both"/>
              <w:textAlignment w:val="auto"/>
              <w:rPr>
                <w:rFonts w:hint="eastAsia" w:ascii="仿宋" w:hAnsi="仿宋" w:eastAsia="仿宋" w:cs="仿宋"/>
                <w:color w:val="auto"/>
              </w:rPr>
            </w:pPr>
            <w:r>
              <w:rPr>
                <w:rFonts w:hint="eastAsia" w:ascii="仿宋" w:hAnsi="仿宋" w:eastAsia="仿宋" w:cs="仿宋"/>
                <w:color w:val="auto"/>
              </w:rPr>
              <w:t>大写：</w:t>
            </w:r>
          </w:p>
          <w:p w14:paraId="78E53185">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both"/>
              <w:textAlignment w:val="auto"/>
              <w:rPr>
                <w:rFonts w:hint="eastAsia" w:ascii="仿宋" w:hAnsi="仿宋" w:eastAsia="仿宋" w:cs="仿宋"/>
                <w:color w:val="auto"/>
              </w:rPr>
            </w:pPr>
            <w:r>
              <w:rPr>
                <w:rFonts w:hint="eastAsia" w:ascii="仿宋" w:hAnsi="仿宋" w:eastAsia="仿宋" w:cs="仿宋"/>
                <w:color w:val="auto"/>
              </w:rPr>
              <w:t>小写：</w:t>
            </w:r>
          </w:p>
        </w:tc>
        <w:tc>
          <w:tcPr>
            <w:tcW w:w="1440"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38112750">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bookmarkStart w:id="0" w:name="大写： 小写_01"/>
            <w:bookmarkEnd w:id="0"/>
          </w:p>
        </w:tc>
        <w:tc>
          <w:tcPr>
            <w:tcW w:w="1287"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3B2AC0E0">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bookmarkStart w:id="1" w:name="__DOCXFIELD_f5cd51fd6ff5436f8d7cf7887b44f2aa___01"/>
            <w:bookmarkEnd w:id="1"/>
          </w:p>
        </w:tc>
        <w:tc>
          <w:tcPr>
            <w:tcW w:w="1576" w:type="dxa"/>
            <w:tcBorders>
              <w:top w:val="single" w:color="000000" w:sz="4" w:space="0"/>
              <w:left w:val="single" w:color="000000" w:sz="4" w:space="0"/>
              <w:bottom w:val="single" w:color="000000" w:sz="4" w:space="0"/>
              <w:right w:val="nil"/>
            </w:tcBorders>
            <w:noWrap w:val="0"/>
            <w:tcMar>
              <w:top w:w="80" w:type="dxa"/>
              <w:left w:w="100" w:type="dxa"/>
              <w:bottom w:w="80" w:type="dxa"/>
              <w:right w:w="100" w:type="dxa"/>
            </w:tcMar>
            <w:vAlign w:val="center"/>
          </w:tcPr>
          <w:p w14:paraId="7FB03BDE">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bookmarkStart w:id="2" w:name="__DOCXFIELD_f82beeeaa2084d42a4be7c11a78fbbce___01"/>
            <w:bookmarkEnd w:id="2"/>
          </w:p>
        </w:tc>
        <w:tc>
          <w:tcPr>
            <w:tcW w:w="925" w:type="dxa"/>
            <w:tcBorders>
              <w:top w:val="single" w:color="000000" w:sz="4" w:space="0"/>
              <w:left w:val="single" w:color="000000" w:sz="4" w:space="0"/>
              <w:bottom w:val="single" w:color="000000" w:sz="4" w:space="0"/>
              <w:right w:val="single" w:color="000000" w:sz="4" w:space="0"/>
            </w:tcBorders>
            <w:noWrap w:val="0"/>
            <w:tcMar>
              <w:top w:w="80" w:type="dxa"/>
              <w:left w:w="100" w:type="dxa"/>
              <w:bottom w:w="80" w:type="dxa"/>
              <w:right w:w="100" w:type="dxa"/>
            </w:tcMar>
            <w:vAlign w:val="center"/>
          </w:tcPr>
          <w:p w14:paraId="680FCC36">
            <w:pPr>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仿宋" w:hAnsi="仿宋" w:eastAsia="仿宋" w:cs="仿宋"/>
                <w:color w:val="auto"/>
              </w:rPr>
            </w:pPr>
            <w:bookmarkStart w:id="3" w:name="__DOCXFIELD_07899ac3fce74b749a8e9e70279b3451___01"/>
            <w:bookmarkEnd w:id="3"/>
          </w:p>
        </w:tc>
      </w:tr>
    </w:tbl>
    <w:p w14:paraId="090531F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08B3DAF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注：</w:t>
      </w:r>
      <w:r>
        <w:rPr>
          <w:rFonts w:hint="eastAsia" w:ascii="仿宋" w:hAnsi="仿宋" w:eastAsia="仿宋" w:cs="仿宋"/>
          <w:color w:val="auto"/>
        </w:rPr>
        <w:t>1.</w:t>
      </w:r>
      <w:r>
        <w:rPr>
          <w:rFonts w:hint="eastAsia" w:ascii="仿宋" w:hAnsi="仿宋" w:eastAsia="仿宋" w:cs="仿宋"/>
          <w:color w:val="auto"/>
          <w:lang w:eastAsia="zh-CN"/>
        </w:rPr>
        <w:t>供应商所报价格应为含税全包价，包括但不限于人工费、材料费、监理费、管理费、税费、利润及其他相关费用等全部费用。</w:t>
      </w:r>
    </w:p>
    <w:p w14:paraId="4E1DF6C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本表应按</w:t>
      </w:r>
      <w:r>
        <w:rPr>
          <w:rFonts w:hint="eastAsia" w:ascii="仿宋" w:hAnsi="仿宋" w:eastAsia="仿宋" w:cs="仿宋"/>
          <w:color w:val="auto"/>
        </w:rPr>
        <w:t>"</w:t>
      </w:r>
      <w:r>
        <w:rPr>
          <w:rFonts w:hint="eastAsia" w:ascii="仿宋" w:hAnsi="仿宋" w:eastAsia="仿宋" w:cs="仿宋"/>
          <w:color w:val="auto"/>
          <w:lang w:eastAsia="zh-CN"/>
        </w:rPr>
        <w:t>磋商须知</w:t>
      </w:r>
      <w:r>
        <w:rPr>
          <w:rFonts w:hint="eastAsia" w:ascii="仿宋" w:hAnsi="仿宋" w:eastAsia="仿宋" w:cs="仿宋"/>
          <w:color w:val="auto"/>
        </w:rPr>
        <w:t>"</w:t>
      </w:r>
      <w:r>
        <w:rPr>
          <w:rFonts w:hint="eastAsia" w:ascii="仿宋" w:hAnsi="仿宋" w:eastAsia="仿宋" w:cs="仿宋"/>
          <w:color w:val="auto"/>
          <w:lang w:eastAsia="zh-CN"/>
        </w:rPr>
        <w:t>的规定提交。若有折扣声明，请与本表一并装订。严格按照表格格式报价，报价保留小数点后两位小数。</w:t>
      </w:r>
    </w:p>
    <w:p w14:paraId="72B1D339">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供应商报价时需以费率进行报价，报价费率不得超过费率上限，根据工程估算价得出报价金额，最终结算费用按工程结算价</w:t>
      </w:r>
      <w:r>
        <w:rPr>
          <w:rFonts w:hint="eastAsia" w:ascii="仿宋" w:hAnsi="仿宋" w:eastAsia="仿宋" w:cs="仿宋"/>
          <w:color w:val="auto"/>
        </w:rPr>
        <w:t>×</w:t>
      </w:r>
      <w:r>
        <w:rPr>
          <w:rFonts w:hint="eastAsia" w:ascii="仿宋" w:hAnsi="仿宋" w:eastAsia="仿宋" w:cs="仿宋"/>
          <w:color w:val="auto"/>
          <w:lang w:eastAsia="zh-CN"/>
        </w:rPr>
        <w:t>报价费率计算。</w:t>
      </w:r>
    </w:p>
    <w:p w14:paraId="7D4D7AD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4695AEB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5B18610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7EA8286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3E128F3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518377F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7B26D789">
      <w:pPr>
        <w:rPr>
          <w:rFonts w:hint="eastAsia" w:ascii="仿宋" w:hAnsi="仿宋" w:eastAsia="仿宋" w:cs="仿宋"/>
          <w:color w:val="auto"/>
          <w:lang w:eastAsia="zh-CN"/>
        </w:rPr>
      </w:pPr>
      <w:r>
        <w:rPr>
          <w:rFonts w:hint="eastAsia" w:ascii="仿宋" w:hAnsi="仿宋" w:eastAsia="仿宋" w:cs="仿宋"/>
          <w:color w:val="auto"/>
          <w:lang w:eastAsia="zh-CN"/>
        </w:rPr>
        <w:br w:type="page"/>
      </w:r>
    </w:p>
    <w:p w14:paraId="4AFE3E30">
      <w:pPr>
        <w:pStyle w:val="8"/>
        <w:rPr>
          <w:rFonts w:hint="eastAsia" w:ascii="仿宋" w:hAnsi="仿宋" w:eastAsia="仿宋" w:cs="仿宋"/>
          <w:color w:val="auto"/>
        </w:rPr>
      </w:pPr>
      <w:r>
        <w:rPr>
          <w:rFonts w:hint="eastAsia" w:ascii="仿宋" w:hAnsi="仿宋" w:eastAsia="仿宋" w:cs="仿宋"/>
          <w:color w:val="auto"/>
          <w:sz w:val="28"/>
          <w:lang w:eastAsia="zh-CN"/>
        </w:rPr>
        <w:t>三、资格证明文件</w:t>
      </w:r>
    </w:p>
    <w:p w14:paraId="7492F2E9">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）具有独立承担民事责任能力的法人、其他组织或自然人，并出具合法有效的营业执照或事业单位法人证书等国家规定的相关证明资料，自然人参与的提供其身份证明；</w:t>
      </w:r>
    </w:p>
    <w:p w14:paraId="7B44E86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）法定代表人授权书和被授权人的身份证；法定代表人参加磋商时，须提供本人身份证原件</w:t>
      </w:r>
      <w:r>
        <w:rPr>
          <w:rFonts w:hint="eastAsia" w:ascii="仿宋" w:hAnsi="仿宋" w:eastAsia="仿宋" w:cs="仿宋"/>
          <w:color w:val="auto"/>
          <w:lang w:val="en-US" w:eastAsia="zh-CN"/>
        </w:rPr>
        <w:t>扫描件</w:t>
      </w:r>
      <w:r>
        <w:rPr>
          <w:rFonts w:hint="eastAsia" w:ascii="仿宋" w:hAnsi="仿宋" w:eastAsia="仿宋" w:cs="仿宋"/>
          <w:color w:val="auto"/>
          <w:lang w:eastAsia="zh-CN"/>
        </w:rPr>
        <w:t>；</w:t>
      </w:r>
    </w:p>
    <w:p w14:paraId="1800E011">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）财务状况报告：提供</w:t>
      </w:r>
      <w:r>
        <w:rPr>
          <w:rFonts w:hint="eastAsia" w:ascii="仿宋" w:hAnsi="仿宋" w:eastAsia="仿宋" w:cs="仿宋"/>
          <w:color w:val="auto"/>
        </w:rPr>
        <w:t>2025</w:t>
      </w:r>
      <w:r>
        <w:rPr>
          <w:rFonts w:hint="eastAsia" w:ascii="仿宋" w:hAnsi="仿宋" w:eastAsia="仿宋" w:cs="仿宋"/>
          <w:color w:val="auto"/>
          <w:lang w:eastAsia="zh-CN"/>
        </w:rPr>
        <w:t>年经审计的财务审计报告（成立时间至提交磋商响应文件截止时间不足一年的可提供成立后任意时段的资产负债表）或开标前</w:t>
      </w:r>
      <w:r>
        <w:rPr>
          <w:rFonts w:hint="eastAsia" w:ascii="仿宋" w:hAnsi="仿宋" w:eastAsia="仿宋" w:cs="仿宋"/>
          <w:color w:val="auto"/>
        </w:rPr>
        <w:t>6</w:t>
      </w:r>
      <w:r>
        <w:rPr>
          <w:rFonts w:hint="eastAsia" w:ascii="仿宋" w:hAnsi="仿宋" w:eastAsia="仿宋" w:cs="仿宋"/>
          <w:color w:val="auto"/>
          <w:lang w:eastAsia="zh-CN"/>
        </w:rPr>
        <w:t>个月内其基本账户开户银行出具的资信证明；</w:t>
      </w:r>
    </w:p>
    <w:p w14:paraId="63545F9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）税收缴纳证明：提供递交响应文件截止之日前半年内已缴纳的任意一个月的纳税证明或完税证明（纳税证明或完税证明上应有代收机构或税务机关的公章或业务章），依法免税的单位应提供相关证明材料；</w:t>
      </w:r>
    </w:p>
    <w:p w14:paraId="78DD391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5</w:t>
      </w:r>
      <w:r>
        <w:rPr>
          <w:rFonts w:hint="eastAsia" w:ascii="仿宋" w:hAnsi="仿宋" w:eastAsia="仿宋" w:cs="仿宋"/>
          <w:color w:val="auto"/>
          <w:lang w:eastAsia="zh-CN"/>
        </w:rPr>
        <w:t>）社会保障资金缴纳证明：提供递交响应文件截止之日前半年内已缴纳的任意一个月的社会保障资金缴存单据或社保机构开具的社会保险参保缴费情况证明，依法不需要缴纳社会保障资金的应提供相关证明材料；</w:t>
      </w:r>
    </w:p>
    <w:p w14:paraId="797CDB0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6</w:t>
      </w:r>
      <w:r>
        <w:rPr>
          <w:rFonts w:hint="eastAsia" w:ascii="仿宋" w:hAnsi="仿宋" w:eastAsia="仿宋" w:cs="仿宋"/>
          <w:color w:val="auto"/>
          <w:lang w:eastAsia="zh-CN"/>
        </w:rPr>
        <w:t>）书面声明：参加本次政府采购活动前三年内在经营活动中没有重大违法记录，以及未被列入失信被执行人、重大税收违法失信主体、政府采购严重违法失信行为记录名单的书面声明（最终结果以开标现场在信用中国及中国政府采购网查询公示结果为准）；</w:t>
      </w:r>
    </w:p>
    <w:p w14:paraId="7729C9D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7</w:t>
      </w:r>
      <w:r>
        <w:rPr>
          <w:rFonts w:hint="eastAsia" w:ascii="仿宋" w:hAnsi="仿宋" w:eastAsia="仿宋" w:cs="仿宋"/>
          <w:color w:val="auto"/>
          <w:lang w:eastAsia="zh-CN"/>
        </w:rPr>
        <w:t>）供应商应具有履行本合同所必需的设备和专业技术能力的证明，须附相关证明材料或书面声明；</w:t>
      </w:r>
    </w:p>
    <w:p w14:paraId="7F2A6281">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8</w:t>
      </w:r>
      <w:r>
        <w:rPr>
          <w:rFonts w:hint="eastAsia" w:ascii="仿宋" w:hAnsi="仿宋" w:eastAsia="仿宋" w:cs="仿宋"/>
          <w:color w:val="auto"/>
          <w:lang w:eastAsia="zh-CN"/>
        </w:rPr>
        <w:t>）供应商须具备建设行政主管部门核发的工程监理综合资质或市政公用工程监理乙级及以上资质；</w:t>
      </w:r>
    </w:p>
    <w:p w14:paraId="5656AC5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9</w:t>
      </w:r>
      <w:r>
        <w:rPr>
          <w:rFonts w:hint="eastAsia" w:ascii="仿宋" w:hAnsi="仿宋" w:eastAsia="仿宋" w:cs="仿宋"/>
          <w:color w:val="auto"/>
          <w:lang w:eastAsia="zh-CN"/>
        </w:rPr>
        <w:t>）拟派总监理工程师具备有效的市政公用工程专业注册监理工程师资格，须在本单位注册且在监工程不得超过</w:t>
      </w:r>
      <w:r>
        <w:rPr>
          <w:rFonts w:hint="eastAsia" w:ascii="仿宋" w:hAnsi="仿宋" w:eastAsia="仿宋" w:cs="仿宋"/>
          <w:color w:val="auto"/>
        </w:rPr>
        <w:t>2</w:t>
      </w:r>
      <w:r>
        <w:rPr>
          <w:rFonts w:hint="eastAsia" w:ascii="仿宋" w:hAnsi="仿宋" w:eastAsia="仿宋" w:cs="仿宋"/>
          <w:color w:val="auto"/>
          <w:lang w:eastAsia="zh-CN"/>
        </w:rPr>
        <w:t>个；</w:t>
      </w:r>
    </w:p>
    <w:p w14:paraId="27B5236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10</w:t>
      </w:r>
      <w:r>
        <w:rPr>
          <w:rFonts w:hint="eastAsia" w:ascii="仿宋" w:hAnsi="仿宋" w:eastAsia="仿宋" w:cs="仿宋"/>
          <w:color w:val="auto"/>
          <w:lang w:eastAsia="zh-CN"/>
        </w:rPr>
        <w:t>）本项目专门面向中小企业采购，供应商应为中型企业、小型企业、微型企业或监狱企业或残疾人福利性单位，应提供中小企业声明函；</w:t>
      </w:r>
    </w:p>
    <w:p w14:paraId="20EEAE4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11</w:t>
      </w:r>
      <w:r>
        <w:rPr>
          <w:rFonts w:hint="eastAsia" w:ascii="仿宋" w:hAnsi="仿宋" w:eastAsia="仿宋" w:cs="仿宋"/>
          <w:color w:val="auto"/>
          <w:lang w:eastAsia="zh-CN"/>
        </w:rPr>
        <w:t>）本项目不接受联合体投标。</w:t>
      </w:r>
    </w:p>
    <w:p w14:paraId="73B7885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以上内容资质均为必备资质，各供应商应按要求提供扫描件并加盖供应商电子签章，不符合磋商文件资质要求的，其磋商响应文件被视为无效标书，取消磋商资格。</w:t>
      </w:r>
    </w:p>
    <w:p w14:paraId="05E9A73A">
      <w:pPr>
        <w:ind w:left="0" w:leftChars="0" w:firstLine="0" w:firstLineChars="0"/>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br w:type="page"/>
      </w:r>
      <w:r>
        <w:rPr>
          <w:rFonts w:hint="eastAsia" w:ascii="仿宋" w:hAnsi="仿宋" w:eastAsia="仿宋" w:cs="仿宋"/>
          <w:color w:val="auto"/>
          <w:sz w:val="24"/>
          <w:lang w:val="en-US" w:eastAsia="zh-CN"/>
        </w:rPr>
        <w:t xml:space="preserve">    </w:t>
      </w:r>
    </w:p>
    <w:p w14:paraId="6B74864F">
      <w:pPr>
        <w:ind w:left="0" w:leftChars="0" w:firstLine="0" w:firstLineChars="0"/>
        <w:jc w:val="center"/>
        <w:rPr>
          <w:rFonts w:hint="eastAsia" w:ascii="仿宋" w:hAnsi="仿宋" w:eastAsia="仿宋" w:cs="仿宋"/>
          <w:color w:val="auto"/>
          <w:lang w:eastAsia="zh-CN"/>
        </w:rPr>
      </w:pPr>
      <w:r>
        <w:rPr>
          <w:rFonts w:hint="eastAsia" w:ascii="仿宋" w:hAnsi="仿宋" w:eastAsia="仿宋" w:cs="仿宋"/>
          <w:b/>
          <w:bCs/>
          <w:color w:val="auto"/>
          <w:sz w:val="28"/>
          <w:szCs w:val="24"/>
          <w:lang w:eastAsia="zh-CN"/>
        </w:rPr>
        <w:t>法定代表人证明书与法定代表人授权书</w:t>
      </w:r>
    </w:p>
    <w:p w14:paraId="6BAEF68F">
      <w:pPr>
        <w:ind w:left="0" w:leftChars="0" w:firstLine="2530" w:firstLineChars="900"/>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法定代表人身份证明书</w:t>
      </w:r>
    </w:p>
    <w:p w14:paraId="75B4DDE4">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 xml:space="preserve">供应商名称：                                   </w:t>
      </w:r>
    </w:p>
    <w:p w14:paraId="676F3F23">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 xml:space="preserve">公司性质：                                    </w:t>
      </w:r>
    </w:p>
    <w:p w14:paraId="51D4F03D">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 xml:space="preserve">地址：                                           </w:t>
      </w:r>
    </w:p>
    <w:p w14:paraId="19525C69">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 xml:space="preserve">姓名：      性别：    年龄：       职务：          </w:t>
      </w:r>
    </w:p>
    <w:p w14:paraId="3A271038">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系                             的法定代表人。</w:t>
      </w:r>
    </w:p>
    <w:p w14:paraId="0AF533AF">
      <w:pPr>
        <w:spacing w:line="360" w:lineRule="auto"/>
        <w:ind w:firstLine="422"/>
        <w:rPr>
          <w:rFonts w:hint="eastAsia" w:ascii="仿宋_GB2312" w:hAnsi="仿宋_GB2312" w:eastAsia="仿宋_GB2312" w:cs="仿宋_GB2312"/>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bidi="ar-SA"/>
        </w:rPr>
        <w:t>特此证明。</w:t>
      </w:r>
    </w:p>
    <w:p w14:paraId="01213955">
      <w:pPr>
        <w:spacing w:line="360" w:lineRule="auto"/>
        <w:ind w:firstLine="422"/>
        <w:rPr>
          <w:rFonts w:hint="eastAsia" w:ascii="仿宋_GB2312" w:hAnsi="仿宋_GB2312" w:eastAsia="仿宋_GB2312" w:cs="仿宋_GB2312"/>
          <w:color w:val="auto"/>
          <w:kern w:val="0"/>
          <w:sz w:val="28"/>
          <w:szCs w:val="28"/>
          <w:lang w:val="en-US" w:eastAsia="zh-CN" w:bidi="ar-SA"/>
        </w:rPr>
      </w:pPr>
    </w:p>
    <w:p w14:paraId="07700041">
      <w:pPr>
        <w:spacing w:line="408" w:lineRule="auto"/>
        <w:ind w:firstLine="240" w:firstLineChars="100"/>
        <w:rPr>
          <w:rFonts w:hint="eastAsia" w:ascii="仿宋" w:hAnsi="仿宋" w:eastAsia="仿宋" w:cs="仿宋"/>
          <w:color w:val="auto"/>
          <w:lang w:eastAsia="zh-CN"/>
        </w:rPr>
      </w:pPr>
      <w:r>
        <w:rPr>
          <w:rFonts w:hint="eastAsia" w:ascii="仿宋" w:hAnsi="仿宋" w:eastAsia="仿宋" w:cs="仿宋"/>
          <w:color w:val="auto"/>
          <w:lang w:eastAsia="zh-CN"/>
        </w:rPr>
        <w:t>法人（签字或盖章）：</w:t>
      </w:r>
    </w:p>
    <w:p w14:paraId="04917485">
      <w:pPr>
        <w:spacing w:line="408" w:lineRule="auto"/>
        <w:ind w:firstLine="240" w:firstLineChars="100"/>
        <w:rPr>
          <w:rFonts w:hint="eastAsia" w:ascii="仿宋" w:hAnsi="仿宋" w:eastAsia="仿宋" w:cs="仿宋"/>
          <w:color w:val="auto"/>
          <w:lang w:eastAsia="zh-CN"/>
        </w:rPr>
      </w:pPr>
      <w:r>
        <w:rPr>
          <w:rFonts w:hint="eastAsia" w:ascii="仿宋" w:hAnsi="仿宋" w:eastAsia="仿宋" w:cs="仿宋"/>
          <w:color w:val="auto"/>
          <w:lang w:val="en-US" w:eastAsia="zh-CN"/>
        </w:rPr>
        <w:t>供应商名称：</w:t>
      </w:r>
      <w:r>
        <w:rPr>
          <w:rFonts w:hint="eastAsia" w:ascii="仿宋" w:hAnsi="仿宋" w:eastAsia="仿宋" w:cs="仿宋"/>
          <w:color w:val="auto"/>
          <w:lang w:eastAsia="zh-CN"/>
        </w:rPr>
        <w:t>____________公章</w:t>
      </w:r>
    </w:p>
    <w:p w14:paraId="27B0037F">
      <w:pPr>
        <w:spacing w:line="408" w:lineRule="auto"/>
        <w:ind w:firstLine="240" w:firstLineChars="100"/>
        <w:rPr>
          <w:rFonts w:hint="eastAsia" w:ascii="仿宋_GB2312" w:hAnsi="仿宋_GB2312" w:eastAsia="仿宋_GB2312" w:cs="仿宋_GB2312"/>
          <w:color w:val="auto"/>
          <w:kern w:val="0"/>
          <w:sz w:val="28"/>
          <w:szCs w:val="28"/>
          <w:lang w:val="en-US" w:eastAsia="zh-CN" w:bidi="ar-SA"/>
        </w:rPr>
      </w:pPr>
      <w:r>
        <w:rPr>
          <w:rFonts w:hint="eastAsia" w:ascii="仿宋" w:hAnsi="仿宋" w:eastAsia="仿宋" w:cs="仿宋"/>
          <w:color w:val="auto"/>
          <w:lang w:val="en-US" w:eastAsia="zh-CN"/>
        </w:rPr>
        <w:t>日期：</w:t>
      </w:r>
      <w:r>
        <w:rPr>
          <w:rFonts w:hint="eastAsia" w:ascii="仿宋" w:hAnsi="仿宋" w:eastAsia="仿宋" w:cs="仿宋"/>
          <w:color w:val="auto"/>
          <w:lang w:eastAsia="zh-CN"/>
        </w:rPr>
        <w:t>___年____月____日</w:t>
      </w:r>
    </w:p>
    <w:tbl>
      <w:tblPr>
        <w:tblStyle w:val="36"/>
        <w:tblpPr w:leftFromText="180" w:rightFromText="180" w:vertAnchor="text" w:horzAnchor="page" w:tblpX="1890" w:tblpY="5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2"/>
        <w:gridCol w:w="4297"/>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trPr>
        <w:tc>
          <w:tcPr>
            <w:tcW w:w="4422" w:type="dxa"/>
            <w:noWrap w:val="0"/>
            <w:vAlign w:val="center"/>
          </w:tcPr>
          <w:p w14:paraId="7E63FA7F">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法定代表人身份证复印件</w:t>
            </w:r>
          </w:p>
          <w:p w14:paraId="38D9B6FB">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（正面）</w:t>
            </w:r>
          </w:p>
        </w:tc>
        <w:tc>
          <w:tcPr>
            <w:tcW w:w="4297" w:type="dxa"/>
            <w:noWrap w:val="0"/>
            <w:vAlign w:val="center"/>
          </w:tcPr>
          <w:p w14:paraId="62D52F09">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法定代表人身份证复印件</w:t>
            </w:r>
          </w:p>
          <w:p w14:paraId="06082844">
            <w:pPr>
              <w:spacing w:line="360" w:lineRule="auto"/>
              <w:ind w:firstLine="422"/>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（反面）</w:t>
            </w:r>
          </w:p>
        </w:tc>
      </w:tr>
    </w:tbl>
    <w:p w14:paraId="4A09FB4D">
      <w:pPr>
        <w:spacing w:line="408" w:lineRule="auto"/>
        <w:ind w:firstLine="0"/>
        <w:rPr>
          <w:rFonts w:hint="eastAsia" w:ascii="仿宋" w:hAnsi="仿宋" w:eastAsia="仿宋" w:cs="仿宋"/>
          <w:color w:val="auto"/>
          <w:lang w:eastAsia="zh-CN"/>
        </w:rPr>
        <w:sectPr>
          <w:pgSz w:w="11906" w:h="16838"/>
          <w:pgMar w:top="1440" w:right="1797" w:bottom="1440" w:left="1797" w:header="720" w:footer="720" w:gutter="0"/>
          <w:pgNumType w:fmt="decimal"/>
          <w:cols w:space="720" w:num="1"/>
          <w:docGrid w:linePitch="360" w:charSpace="0"/>
        </w:sectPr>
      </w:pPr>
    </w:p>
    <w:p w14:paraId="58C13615">
      <w:pPr>
        <w:spacing w:line="408" w:lineRule="auto"/>
        <w:ind w:firstLine="0"/>
        <w:jc w:val="center"/>
        <w:rPr>
          <w:rFonts w:hint="eastAsia" w:ascii="仿宋" w:hAnsi="仿宋" w:eastAsia="仿宋" w:cs="仿宋"/>
          <w:b/>
          <w:bCs/>
          <w:color w:val="auto"/>
          <w:sz w:val="28"/>
          <w:szCs w:val="24"/>
        </w:rPr>
      </w:pPr>
      <w:r>
        <w:rPr>
          <w:rFonts w:hint="eastAsia" w:ascii="仿宋" w:hAnsi="仿宋" w:eastAsia="仿宋" w:cs="仿宋"/>
          <w:b/>
          <w:bCs/>
          <w:color w:val="auto"/>
          <w:sz w:val="28"/>
          <w:szCs w:val="24"/>
          <w:lang w:eastAsia="zh-CN"/>
        </w:rPr>
        <w:t>法定代表人授权书</w:t>
      </w:r>
    </w:p>
    <w:p w14:paraId="4A07658D">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致：（采购代理机构）</w:t>
      </w:r>
    </w:p>
    <w:p w14:paraId="3436459E">
      <w:pPr>
        <w:spacing w:line="408" w:lineRule="auto"/>
        <w:ind w:firstLine="480"/>
        <w:rPr>
          <w:rFonts w:hint="eastAsia" w:ascii="仿宋" w:hAnsi="仿宋" w:eastAsia="仿宋" w:cs="仿宋"/>
          <w:color w:val="auto"/>
          <w:lang w:eastAsia="zh-CN"/>
        </w:rPr>
      </w:pPr>
      <w:r>
        <w:rPr>
          <w:rFonts w:hint="eastAsia" w:ascii="仿宋" w:hAnsi="仿宋" w:eastAsia="仿宋" w:cs="仿宋"/>
          <w:color w:val="auto"/>
          <w:lang w:eastAsia="zh-CN"/>
        </w:rPr>
        <w:t>本授权书声明：注册于中华人民共和国之</w:t>
      </w:r>
      <w:r>
        <w:rPr>
          <w:rFonts w:hint="eastAsia" w:ascii="仿宋" w:hAnsi="仿宋" w:eastAsia="仿宋" w:cs="仿宋"/>
          <w:color w:val="auto"/>
        </w:rPr>
        <w:t>____</w:t>
      </w:r>
      <w:r>
        <w:rPr>
          <w:rFonts w:hint="eastAsia" w:ascii="仿宋" w:hAnsi="仿宋" w:eastAsia="仿宋" w:cs="仿宋"/>
          <w:color w:val="auto"/>
          <w:lang w:eastAsia="zh-CN"/>
        </w:rPr>
        <w:t>（供应商名称）</w:t>
      </w:r>
      <w:r>
        <w:rPr>
          <w:rFonts w:hint="eastAsia" w:ascii="仿宋" w:hAnsi="仿宋" w:eastAsia="仿宋" w:cs="仿宋"/>
          <w:color w:val="auto"/>
        </w:rPr>
        <w:t>____</w:t>
      </w:r>
      <w:r>
        <w:rPr>
          <w:rFonts w:hint="eastAsia" w:ascii="仿宋" w:hAnsi="仿宋" w:eastAsia="仿宋" w:cs="仿宋"/>
          <w:color w:val="auto"/>
          <w:lang w:eastAsia="zh-CN"/>
        </w:rPr>
        <w:t>的法定代表人</w:t>
      </w:r>
      <w:r>
        <w:rPr>
          <w:rFonts w:hint="eastAsia" w:ascii="仿宋" w:hAnsi="仿宋" w:eastAsia="仿宋" w:cs="仿宋"/>
          <w:color w:val="auto"/>
        </w:rPr>
        <w:t>____</w:t>
      </w:r>
      <w:r>
        <w:rPr>
          <w:rFonts w:hint="eastAsia" w:ascii="仿宋" w:hAnsi="仿宋" w:eastAsia="仿宋" w:cs="仿宋"/>
          <w:color w:val="auto"/>
          <w:lang w:eastAsia="zh-CN"/>
        </w:rPr>
        <w:t>（法定代表人姓名、职务）</w:t>
      </w:r>
      <w:r>
        <w:rPr>
          <w:rFonts w:hint="eastAsia" w:ascii="仿宋" w:hAnsi="仿宋" w:eastAsia="仿宋" w:cs="仿宋"/>
          <w:color w:val="auto"/>
        </w:rPr>
        <w:t>____</w:t>
      </w:r>
      <w:r>
        <w:rPr>
          <w:rFonts w:hint="eastAsia" w:ascii="仿宋" w:hAnsi="仿宋" w:eastAsia="仿宋" w:cs="仿宋"/>
          <w:color w:val="auto"/>
          <w:lang w:eastAsia="zh-CN"/>
        </w:rPr>
        <w:t>授权</w:t>
      </w:r>
      <w:r>
        <w:rPr>
          <w:rFonts w:hint="eastAsia" w:ascii="仿宋" w:hAnsi="仿宋" w:eastAsia="仿宋" w:cs="仿宋"/>
          <w:color w:val="auto"/>
        </w:rPr>
        <w:t>____</w:t>
      </w:r>
      <w:r>
        <w:rPr>
          <w:rFonts w:hint="eastAsia" w:ascii="仿宋" w:hAnsi="仿宋" w:eastAsia="仿宋" w:cs="仿宋"/>
          <w:color w:val="auto"/>
          <w:lang w:eastAsia="zh-CN"/>
        </w:rPr>
        <w:t>（被授权人的姓名、职务）</w:t>
      </w:r>
      <w:r>
        <w:rPr>
          <w:rFonts w:hint="eastAsia" w:ascii="仿宋" w:hAnsi="仿宋" w:eastAsia="仿宋" w:cs="仿宋"/>
          <w:color w:val="auto"/>
        </w:rPr>
        <w:t>____</w:t>
      </w:r>
      <w:r>
        <w:rPr>
          <w:rFonts w:hint="eastAsia" w:ascii="仿宋" w:hAnsi="仿宋" w:eastAsia="仿宋" w:cs="仿宋"/>
          <w:color w:val="auto"/>
          <w:lang w:eastAsia="zh-CN"/>
        </w:rPr>
        <w:t>为本公司合法代理人，就贵方组织的有关</w:t>
      </w:r>
      <w:r>
        <w:rPr>
          <w:rFonts w:hint="eastAsia" w:ascii="仿宋" w:hAnsi="仿宋" w:eastAsia="仿宋" w:cs="仿宋"/>
          <w:color w:val="auto"/>
        </w:rPr>
        <w:t>____</w:t>
      </w:r>
      <w:r>
        <w:rPr>
          <w:rFonts w:hint="eastAsia" w:ascii="仿宋" w:hAnsi="仿宋" w:eastAsia="仿宋" w:cs="仿宋"/>
          <w:color w:val="auto"/>
          <w:lang w:eastAsia="zh-CN"/>
        </w:rPr>
        <w:t>（采购项目名称）（项目编号：</w:t>
      </w:r>
      <w:r>
        <w:rPr>
          <w:rFonts w:hint="eastAsia" w:ascii="仿宋" w:hAnsi="仿宋" w:eastAsia="仿宋" w:cs="仿宋"/>
          <w:color w:val="auto"/>
        </w:rPr>
        <w:t>________</w:t>
      </w:r>
      <w:r>
        <w:rPr>
          <w:rFonts w:hint="eastAsia" w:ascii="仿宋" w:hAnsi="仿宋" w:eastAsia="仿宋" w:cs="仿宋"/>
          <w:color w:val="auto"/>
          <w:lang w:eastAsia="zh-CN"/>
        </w:rPr>
        <w:t>）的磋商、洽谈、执行等具体事务，签署全部有关文件、文书、协议、合同，本公司对被授权人在本项目中的签名承担全部法律责任。</w:t>
      </w:r>
    </w:p>
    <w:p w14:paraId="312BB94E">
      <w:pPr>
        <w:spacing w:line="408" w:lineRule="auto"/>
        <w:ind w:firstLine="480"/>
        <w:rPr>
          <w:rFonts w:hint="eastAsia" w:ascii="仿宋" w:hAnsi="仿宋" w:eastAsia="仿宋" w:cs="仿宋"/>
          <w:color w:val="auto"/>
          <w:lang w:eastAsia="zh-CN"/>
        </w:rPr>
      </w:pPr>
      <w:r>
        <w:rPr>
          <w:rFonts w:hint="eastAsia" w:ascii="仿宋" w:hAnsi="仿宋" w:eastAsia="仿宋" w:cs="仿宋"/>
          <w:color w:val="auto"/>
          <w:lang w:eastAsia="zh-CN"/>
        </w:rPr>
        <w:t>本授权书自磋商之日起90个日历日内有效。</w:t>
      </w:r>
    </w:p>
    <w:p w14:paraId="7617518B">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委托单位名称（公章）：</w:t>
      </w:r>
      <w:r>
        <w:rPr>
          <w:rFonts w:hint="eastAsia" w:ascii="仿宋" w:hAnsi="仿宋" w:eastAsia="仿宋" w:cs="仿宋"/>
          <w:color w:val="auto"/>
        </w:rPr>
        <w:t>____________________</w:t>
      </w:r>
    </w:p>
    <w:p w14:paraId="69F002A7">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法定代表人（签字或盖章）：</w:t>
      </w:r>
      <w:r>
        <w:rPr>
          <w:rFonts w:hint="eastAsia" w:ascii="仿宋" w:hAnsi="仿宋" w:eastAsia="仿宋" w:cs="仿宋"/>
          <w:color w:val="auto"/>
        </w:rPr>
        <w:t>____________</w:t>
      </w:r>
      <w:r>
        <w:rPr>
          <w:rFonts w:hint="eastAsia" w:ascii="仿宋" w:hAnsi="仿宋" w:eastAsia="仿宋" w:cs="仿宋"/>
          <w:color w:val="auto"/>
          <w:lang w:eastAsia="zh-CN"/>
        </w:rPr>
        <w:t>被授权人（签字）：</w:t>
      </w:r>
      <w:r>
        <w:rPr>
          <w:rFonts w:hint="eastAsia" w:ascii="仿宋" w:hAnsi="仿宋" w:eastAsia="仿宋" w:cs="仿宋"/>
          <w:color w:val="auto"/>
        </w:rPr>
        <w:t>____________</w:t>
      </w:r>
    </w:p>
    <w:p w14:paraId="1CE304A8">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联系电话：</w:t>
      </w:r>
      <w:r>
        <w:rPr>
          <w:rFonts w:hint="eastAsia" w:ascii="仿宋" w:hAnsi="仿宋" w:eastAsia="仿宋" w:cs="仿宋"/>
          <w:color w:val="auto"/>
        </w:rPr>
        <w:t>____________</w:t>
      </w:r>
      <w:r>
        <w:rPr>
          <w:rFonts w:hint="eastAsia" w:ascii="仿宋" w:hAnsi="仿宋" w:eastAsia="仿宋" w:cs="仿宋"/>
          <w:color w:val="auto"/>
          <w:lang w:eastAsia="zh-CN"/>
        </w:rPr>
        <w:t>电子邮箱：</w:t>
      </w:r>
      <w:r>
        <w:rPr>
          <w:rFonts w:hint="eastAsia" w:ascii="仿宋" w:hAnsi="仿宋" w:eastAsia="仿宋" w:cs="仿宋"/>
          <w:color w:val="auto"/>
        </w:rPr>
        <w:t>____________</w:t>
      </w:r>
    </w:p>
    <w:p w14:paraId="2B13BE9A">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签发日期：</w:t>
      </w:r>
      <w:r>
        <w:rPr>
          <w:rFonts w:hint="eastAsia" w:ascii="仿宋" w:hAnsi="仿宋" w:eastAsia="仿宋" w:cs="仿宋"/>
          <w:color w:val="auto"/>
        </w:rPr>
        <w:t>____________</w:t>
      </w:r>
    </w:p>
    <w:p w14:paraId="128DC882">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被授权人身份证复印件（正反面粘贴处）</w:t>
      </w:r>
    </w:p>
    <w:tbl>
      <w:tblPr>
        <w:tblStyle w:val="36"/>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4311"/>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4" w:hRule="atLeast"/>
          <w:jc w:val="center"/>
        </w:trPr>
        <w:tc>
          <w:tcPr>
            <w:tcW w:w="3888" w:type="dxa"/>
            <w:noWrap w:val="0"/>
            <w:tcMar>
              <w:top w:w="-1" w:type="dxa"/>
              <w:left w:w="-1" w:type="dxa"/>
              <w:bottom w:w="-1" w:type="dxa"/>
              <w:right w:w="-1" w:type="dxa"/>
            </w:tcMar>
            <w:vAlign w:val="top"/>
          </w:tcPr>
          <w:p w14:paraId="3CDF17D3">
            <w:pPr>
              <w:spacing w:line="408"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被授权人身份证</w:t>
            </w:r>
          </w:p>
          <w:p w14:paraId="3487713E">
            <w:pPr>
              <w:spacing w:line="408"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正反面复印件</w:t>
            </w:r>
          </w:p>
        </w:tc>
        <w:tc>
          <w:tcPr>
            <w:tcW w:w="4311" w:type="dxa"/>
            <w:noWrap w:val="0"/>
            <w:tcMar>
              <w:top w:w="-1" w:type="dxa"/>
              <w:left w:w="-1" w:type="dxa"/>
              <w:bottom w:w="-1" w:type="dxa"/>
              <w:right w:w="-1" w:type="dxa"/>
            </w:tcMar>
            <w:vAlign w:val="top"/>
          </w:tcPr>
          <w:p w14:paraId="1A27F3D6">
            <w:pPr>
              <w:spacing w:line="408"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法定代表人身份证</w:t>
            </w:r>
          </w:p>
          <w:p w14:paraId="655302AB">
            <w:pPr>
              <w:spacing w:line="408"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正反面复印件</w:t>
            </w:r>
          </w:p>
        </w:tc>
      </w:tr>
    </w:tbl>
    <w:p w14:paraId="4D6B1703">
      <w:pPr>
        <w:rPr>
          <w:rFonts w:hint="eastAsia" w:ascii="仿宋" w:hAnsi="仿宋" w:eastAsia="仿宋" w:cs="仿宋"/>
          <w:color w:val="auto"/>
          <w:lang w:eastAsia="zh-CN"/>
        </w:rPr>
      </w:pPr>
    </w:p>
    <w:p w14:paraId="38F317F4">
      <w:pPr>
        <w:spacing w:line="408" w:lineRule="auto"/>
        <w:ind w:firstLine="0"/>
        <w:rPr>
          <w:rFonts w:hint="default" w:ascii="仿宋" w:hAnsi="仿宋" w:eastAsia="仿宋" w:cs="仿宋"/>
          <w:color w:val="auto"/>
          <w:lang w:val="en-US" w:eastAsia="zh-CN"/>
        </w:rPr>
      </w:pPr>
    </w:p>
    <w:p w14:paraId="4422B0B6">
      <w:pPr>
        <w:spacing w:line="408" w:lineRule="auto"/>
        <w:ind w:firstLine="0"/>
        <w:rPr>
          <w:rFonts w:hint="default" w:ascii="仿宋" w:hAnsi="仿宋" w:eastAsia="仿宋" w:cs="仿宋"/>
          <w:color w:val="auto"/>
          <w:lang w:val="en-US" w:eastAsia="zh-CN"/>
        </w:rPr>
      </w:pPr>
    </w:p>
    <w:p w14:paraId="622F2878">
      <w:pPr>
        <w:pStyle w:val="9"/>
        <w:rPr>
          <w:rFonts w:hint="eastAsia" w:ascii="仿宋" w:hAnsi="仿宋" w:eastAsia="仿宋" w:cs="仿宋"/>
          <w:color w:val="auto"/>
          <w:sz w:val="28"/>
          <w:szCs w:val="24"/>
        </w:rPr>
      </w:pPr>
      <w:r>
        <w:rPr>
          <w:rFonts w:hint="eastAsia" w:ascii="仿宋" w:hAnsi="仿宋" w:eastAsia="仿宋" w:cs="仿宋"/>
          <w:color w:val="auto"/>
          <w:sz w:val="28"/>
          <w:szCs w:val="24"/>
          <w:lang w:eastAsia="zh-CN"/>
        </w:rPr>
        <w:t>参加政府采购活动前三年内无重大违法记录的书面声明（格式）</w:t>
      </w:r>
    </w:p>
    <w:p w14:paraId="33297E11">
      <w:pPr>
        <w:spacing w:line="408" w:lineRule="auto"/>
        <w:ind w:firstLine="0"/>
        <w:rPr>
          <w:rFonts w:hint="eastAsia" w:ascii="仿宋" w:hAnsi="仿宋" w:eastAsia="仿宋" w:cs="仿宋"/>
          <w:color w:val="auto"/>
          <w:lang w:eastAsia="zh-CN"/>
        </w:rPr>
      </w:pPr>
    </w:p>
    <w:p w14:paraId="4A8DF15B">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陕西中源项目管理有限公司：</w:t>
      </w:r>
    </w:p>
    <w:p w14:paraId="1F28C21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我方作为</w:t>
      </w:r>
      <w:r>
        <w:rPr>
          <w:rFonts w:hint="eastAsia" w:ascii="仿宋" w:hAnsi="仿宋" w:eastAsia="仿宋" w:cs="仿宋"/>
          <w:color w:val="auto"/>
        </w:rPr>
        <w:t>____________</w:t>
      </w:r>
      <w:r>
        <w:rPr>
          <w:rFonts w:hint="eastAsia" w:ascii="仿宋" w:hAnsi="仿宋" w:eastAsia="仿宋" w:cs="仿宋"/>
          <w:color w:val="auto"/>
          <w:lang w:eastAsia="zh-CN"/>
        </w:rPr>
        <w:t>项目（项目编号：</w:t>
      </w:r>
      <w:r>
        <w:rPr>
          <w:rFonts w:hint="eastAsia" w:ascii="仿宋" w:hAnsi="仿宋" w:eastAsia="仿宋" w:cs="仿宋"/>
          <w:color w:val="auto"/>
        </w:rPr>
        <w:t>________</w:t>
      </w:r>
      <w:r>
        <w:rPr>
          <w:rFonts w:hint="eastAsia" w:ascii="仿宋" w:hAnsi="仿宋" w:eastAsia="仿宋" w:cs="仿宋"/>
          <w:color w:val="auto"/>
          <w:lang w:eastAsia="zh-CN"/>
        </w:rPr>
        <w:t>）的供应商，在此郑重声明：</w:t>
      </w:r>
    </w:p>
    <w:p w14:paraId="55B8C8C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、在参加本次政府采购活动前三年内的经营活动中</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没有</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有</w:t>
      </w:r>
      <w:r>
        <w:rPr>
          <w:rFonts w:hint="eastAsia" w:ascii="仿宋" w:hAnsi="仿宋" w:eastAsia="仿宋" w:cs="仿宋"/>
          <w:color w:val="auto"/>
        </w:rPr>
        <w:t>"</w:t>
      </w:r>
      <w:r>
        <w:rPr>
          <w:rFonts w:hint="eastAsia" w:ascii="仿宋" w:hAnsi="仿宋" w:eastAsia="仿宋" w:cs="仿宋"/>
          <w:color w:val="auto"/>
          <w:lang w:eastAsia="zh-CN"/>
        </w:rPr>
        <w:t>）重大违法记录。</w:t>
      </w:r>
    </w:p>
    <w:p w14:paraId="28BA98F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）失信被执行人名单。</w:t>
      </w:r>
    </w:p>
    <w:p w14:paraId="3D04B67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）重大税收违法失信主体。</w:t>
      </w:r>
    </w:p>
    <w:p w14:paraId="54824CC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）政府采购严重违法失信行为记录名单。</w:t>
      </w:r>
    </w:p>
    <w:p w14:paraId="76172B5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如有不实，我方将无条件地退出本项目的采购活动，依照《中华人民共和国政府采购法》第七十七条第一款第（一）项规定接受处罚。</w:t>
      </w:r>
    </w:p>
    <w:p w14:paraId="41B48A1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6E38D6F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特此声明。</w:t>
      </w:r>
    </w:p>
    <w:p w14:paraId="1FE08025">
      <w:pPr>
        <w:pStyle w:val="2"/>
        <w:rPr>
          <w:rFonts w:hint="eastAsia" w:ascii="仿宋" w:hAnsi="仿宋" w:eastAsia="仿宋" w:cs="仿宋"/>
          <w:color w:val="auto"/>
          <w:lang w:eastAsia="zh-CN"/>
        </w:rPr>
      </w:pPr>
    </w:p>
    <w:p w14:paraId="451D9BF3">
      <w:pPr>
        <w:pStyle w:val="4"/>
        <w:rPr>
          <w:rFonts w:hint="eastAsia"/>
        </w:rPr>
      </w:pPr>
    </w:p>
    <w:p w14:paraId="53DB68B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216B498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3F77509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72F2705C">
      <w:pPr>
        <w:rPr>
          <w:rFonts w:hint="eastAsia" w:ascii="仿宋" w:hAnsi="仿宋" w:eastAsia="仿宋" w:cs="仿宋"/>
          <w:color w:val="auto"/>
          <w:sz w:val="24"/>
          <w:lang w:eastAsia="zh-CN"/>
        </w:rPr>
      </w:pPr>
      <w:r>
        <w:rPr>
          <w:rFonts w:hint="eastAsia" w:ascii="仿宋" w:hAnsi="仿宋" w:eastAsia="仿宋" w:cs="仿宋"/>
          <w:color w:val="auto"/>
          <w:sz w:val="24"/>
          <w:lang w:eastAsia="zh-CN"/>
        </w:rPr>
        <w:br w:type="page"/>
      </w:r>
    </w:p>
    <w:p w14:paraId="32CCCD70">
      <w:pPr>
        <w:pStyle w:val="9"/>
        <w:jc w:val="center"/>
        <w:rPr>
          <w:rFonts w:hint="eastAsia" w:ascii="仿宋" w:hAnsi="仿宋" w:eastAsia="仿宋" w:cs="仿宋"/>
          <w:color w:val="auto"/>
          <w:sz w:val="32"/>
          <w:szCs w:val="28"/>
        </w:rPr>
      </w:pPr>
      <w:r>
        <w:rPr>
          <w:rFonts w:hint="eastAsia" w:ascii="仿宋" w:hAnsi="仿宋" w:eastAsia="仿宋" w:cs="仿宋"/>
          <w:color w:val="auto"/>
          <w:sz w:val="32"/>
          <w:szCs w:val="28"/>
          <w:lang w:eastAsia="zh-CN"/>
        </w:rPr>
        <w:t>中小企业声明函</w:t>
      </w:r>
    </w:p>
    <w:p w14:paraId="4681064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本公司（联合体）郑重声明，根据《政府采购促进中小企业发展管理办法》（财库〔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的规定，本公司参加安康市住房和城乡建设局（单位名称）的安康中心城区易涝点整治工程（四期）监理服务项目（项目名称）采购活动，服务全部由符合政策要求的中小企业承接。相关企业（含联合体中的中小企业、签订分包意向协议的中小企业）的具体情况如下：</w:t>
      </w:r>
    </w:p>
    <w:p w14:paraId="4F8098C1">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安康中心城区易涝点整治工程（四期）监理服务项目（标的名称），属于</w:t>
      </w:r>
      <w:r>
        <w:rPr>
          <w:rFonts w:hint="eastAsia" w:ascii="仿宋" w:hAnsi="仿宋" w:eastAsia="仿宋" w:cs="仿宋"/>
          <w:color w:val="auto"/>
          <w:u w:val="single"/>
          <w:lang w:val="en-US" w:eastAsia="zh-CN"/>
        </w:rPr>
        <w:t xml:space="preserve"> 建筑业 </w:t>
      </w:r>
      <w:r>
        <w:rPr>
          <w:rFonts w:hint="eastAsia" w:ascii="仿宋" w:hAnsi="仿宋" w:eastAsia="仿宋" w:cs="仿宋"/>
          <w:color w:val="auto"/>
          <w:lang w:eastAsia="zh-CN"/>
        </w:rPr>
        <w:t>（采购文件中明确的所属行业）；承接企业为</w:t>
      </w:r>
      <w:r>
        <w:rPr>
          <w:rFonts w:hint="eastAsia" w:ascii="仿宋" w:hAnsi="仿宋" w:eastAsia="仿宋" w:cs="仿宋"/>
          <w:color w:val="auto"/>
        </w:rPr>
        <w:t>____</w:t>
      </w:r>
      <w:r>
        <w:rPr>
          <w:rFonts w:hint="eastAsia" w:ascii="仿宋" w:hAnsi="仿宋" w:eastAsia="仿宋" w:cs="仿宋"/>
          <w:color w:val="auto"/>
          <w:lang w:eastAsia="zh-CN"/>
        </w:rPr>
        <w:t>（企业名称），从业人员</w:t>
      </w:r>
      <w:r>
        <w:rPr>
          <w:rFonts w:hint="eastAsia" w:ascii="仿宋" w:hAnsi="仿宋" w:eastAsia="仿宋" w:cs="仿宋"/>
          <w:color w:val="auto"/>
        </w:rPr>
        <w:t>____</w:t>
      </w:r>
      <w:r>
        <w:rPr>
          <w:rFonts w:hint="eastAsia" w:ascii="仿宋" w:hAnsi="仿宋" w:eastAsia="仿宋" w:cs="仿宋"/>
          <w:color w:val="auto"/>
          <w:lang w:eastAsia="zh-CN"/>
        </w:rPr>
        <w:t>人，营业收入为</w:t>
      </w:r>
      <w:r>
        <w:rPr>
          <w:rFonts w:hint="eastAsia" w:ascii="仿宋" w:hAnsi="仿宋" w:eastAsia="仿宋" w:cs="仿宋"/>
          <w:color w:val="auto"/>
        </w:rPr>
        <w:t>____</w:t>
      </w:r>
      <w:r>
        <w:rPr>
          <w:rFonts w:hint="eastAsia" w:ascii="仿宋" w:hAnsi="仿宋" w:eastAsia="仿宋" w:cs="仿宋"/>
          <w:color w:val="auto"/>
          <w:lang w:eastAsia="zh-CN"/>
        </w:rPr>
        <w:t>万元，资产总额为</w:t>
      </w:r>
      <w:r>
        <w:rPr>
          <w:rFonts w:hint="eastAsia" w:ascii="仿宋" w:hAnsi="仿宋" w:eastAsia="仿宋" w:cs="仿宋"/>
          <w:color w:val="auto"/>
        </w:rPr>
        <w:t>____</w:t>
      </w:r>
      <w:r>
        <w:rPr>
          <w:rFonts w:hint="eastAsia" w:ascii="仿宋" w:hAnsi="仿宋" w:eastAsia="仿宋" w:cs="仿宋"/>
          <w:color w:val="auto"/>
          <w:lang w:eastAsia="zh-CN"/>
        </w:rPr>
        <w:t>万元，属于</w:t>
      </w:r>
      <w:r>
        <w:rPr>
          <w:rFonts w:hint="eastAsia" w:ascii="仿宋" w:hAnsi="仿宋" w:eastAsia="仿宋" w:cs="仿宋"/>
          <w:color w:val="auto"/>
        </w:rPr>
        <w:t>____</w:t>
      </w:r>
      <w:r>
        <w:rPr>
          <w:rFonts w:hint="eastAsia" w:ascii="仿宋" w:hAnsi="仿宋" w:eastAsia="仿宋" w:cs="仿宋"/>
          <w:color w:val="auto"/>
          <w:lang w:eastAsia="zh-CN"/>
        </w:rPr>
        <w:t>（中型企业、小型企业、微型企业）。</w:t>
      </w:r>
    </w:p>
    <w:p w14:paraId="4A3630C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以上企业，不属于大企业的分支机构，不存在控股股东为大企业的情形，也不存在与大企业的负责人为同一人的情形。</w:t>
      </w:r>
    </w:p>
    <w:p w14:paraId="1108BD0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01406FE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本企业对上述声明的真实性负责。如有虚假，将依法承担相应责任。</w:t>
      </w:r>
    </w:p>
    <w:p w14:paraId="594E216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4E0CE85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____________</w:t>
      </w:r>
    </w:p>
    <w:p w14:paraId="091B086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p>
    <w:p w14:paraId="0631A6F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备注：</w:t>
      </w:r>
      <w:r>
        <w:rPr>
          <w:rFonts w:hint="eastAsia" w:ascii="仿宋" w:hAnsi="仿宋" w:eastAsia="仿宋" w:cs="仿宋"/>
          <w:color w:val="auto"/>
        </w:rPr>
        <w:t>1</w:t>
      </w:r>
      <w:r>
        <w:rPr>
          <w:rFonts w:hint="eastAsia" w:ascii="仿宋" w:hAnsi="仿宋" w:eastAsia="仿宋" w:cs="仿宋"/>
          <w:color w:val="auto"/>
          <w:lang w:eastAsia="zh-CN"/>
        </w:rPr>
        <w:t>、填写前请认真阅读《工业和信息化部、国家统计局、国家发展和改革委员会、财政部关于印发中小企业划型标准规定的通知》（工信部联企业〔</w:t>
      </w:r>
      <w:r>
        <w:rPr>
          <w:rFonts w:hint="eastAsia" w:ascii="仿宋" w:hAnsi="仿宋" w:eastAsia="仿宋" w:cs="仿宋"/>
          <w:color w:val="auto"/>
        </w:rPr>
        <w:t>2011</w:t>
      </w:r>
      <w:r>
        <w:rPr>
          <w:rFonts w:hint="eastAsia" w:ascii="仿宋" w:hAnsi="仿宋" w:eastAsia="仿宋" w:cs="仿宋"/>
          <w:color w:val="auto"/>
          <w:lang w:eastAsia="zh-CN"/>
        </w:rPr>
        <w:t>〕</w:t>
      </w:r>
      <w:r>
        <w:rPr>
          <w:rFonts w:hint="eastAsia" w:ascii="仿宋" w:hAnsi="仿宋" w:eastAsia="仿宋" w:cs="仿宋"/>
          <w:color w:val="auto"/>
        </w:rPr>
        <w:t>300</w:t>
      </w:r>
      <w:r>
        <w:rPr>
          <w:rFonts w:hint="eastAsia" w:ascii="仿宋" w:hAnsi="仿宋" w:eastAsia="仿宋" w:cs="仿宋"/>
          <w:color w:val="auto"/>
          <w:lang w:eastAsia="zh-CN"/>
        </w:rPr>
        <w:t>号）和《财政部工业和信息化部关于印发〈政府采购促进中小企业发展管理办法〉的通知》（财库〔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号）相关规定。</w:t>
      </w:r>
      <w:r>
        <w:rPr>
          <w:rFonts w:hint="eastAsia" w:ascii="仿宋" w:hAnsi="仿宋" w:eastAsia="仿宋" w:cs="仿宋"/>
          <w:color w:val="auto"/>
        </w:rPr>
        <w:t>2</w:t>
      </w:r>
      <w:r>
        <w:rPr>
          <w:rFonts w:hint="eastAsia" w:ascii="仿宋" w:hAnsi="仿宋" w:eastAsia="仿宋" w:cs="仿宋"/>
          <w:color w:val="auto"/>
          <w:lang w:eastAsia="zh-CN"/>
        </w:rPr>
        <w:t>、从业人员、营业收入、资产总额填报上一年度数据，无上一年度数据的新成立企业可不填报。</w:t>
      </w:r>
      <w:r>
        <w:rPr>
          <w:rFonts w:hint="eastAsia" w:ascii="仿宋" w:hAnsi="仿宋" w:eastAsia="仿宋" w:cs="仿宋"/>
          <w:color w:val="auto"/>
        </w:rPr>
        <w:t>3</w:t>
      </w:r>
      <w:r>
        <w:rPr>
          <w:rFonts w:hint="eastAsia" w:ascii="仿宋" w:hAnsi="仿宋" w:eastAsia="仿宋" w:cs="仿宋"/>
          <w:color w:val="auto"/>
          <w:lang w:eastAsia="zh-CN"/>
        </w:rPr>
        <w:t>、本项目所属行业中小企业划型标准：其他未列明行业。</w:t>
      </w:r>
    </w:p>
    <w:p w14:paraId="4204F7F1">
      <w:pPr>
        <w:rPr>
          <w:rFonts w:hint="eastAsia" w:ascii="仿宋" w:hAnsi="仿宋" w:eastAsia="仿宋" w:cs="仿宋"/>
          <w:color w:val="auto"/>
          <w:sz w:val="24"/>
          <w:lang w:eastAsia="zh-CN"/>
        </w:rPr>
      </w:pPr>
      <w:r>
        <w:rPr>
          <w:rFonts w:hint="eastAsia" w:ascii="仿宋" w:hAnsi="仿宋" w:eastAsia="仿宋" w:cs="仿宋"/>
          <w:color w:val="auto"/>
          <w:sz w:val="24"/>
          <w:lang w:eastAsia="zh-CN"/>
        </w:rPr>
        <w:br w:type="page"/>
      </w:r>
    </w:p>
    <w:p w14:paraId="1D3F864A">
      <w:pPr>
        <w:pStyle w:val="9"/>
        <w:jc w:val="center"/>
        <w:rPr>
          <w:rFonts w:hint="eastAsia" w:ascii="仿宋" w:hAnsi="仿宋" w:eastAsia="仿宋" w:cs="仿宋"/>
          <w:color w:val="auto"/>
          <w:sz w:val="28"/>
          <w:szCs w:val="24"/>
        </w:rPr>
      </w:pPr>
      <w:r>
        <w:rPr>
          <w:rFonts w:hint="eastAsia" w:ascii="仿宋" w:hAnsi="仿宋" w:eastAsia="仿宋" w:cs="仿宋"/>
          <w:color w:val="auto"/>
          <w:sz w:val="28"/>
          <w:szCs w:val="24"/>
          <w:lang w:eastAsia="zh-CN"/>
        </w:rPr>
        <w:t>非联合体投标声明函（格式）</w:t>
      </w:r>
    </w:p>
    <w:p w14:paraId="15F7F3F6">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6657CEB5">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致：（采购代理机构）</w:t>
      </w:r>
    </w:p>
    <w:p w14:paraId="49A0532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749F7E3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我单位名称系</w:t>
      </w:r>
      <w:r>
        <w:rPr>
          <w:rFonts w:hint="eastAsia" w:ascii="仿宋" w:hAnsi="仿宋" w:eastAsia="仿宋" w:cs="仿宋"/>
          <w:color w:val="auto"/>
        </w:rPr>
        <w:t>____________________</w:t>
      </w:r>
      <w:r>
        <w:rPr>
          <w:rFonts w:hint="eastAsia" w:ascii="仿宋" w:hAnsi="仿宋" w:eastAsia="仿宋" w:cs="仿宋"/>
          <w:color w:val="auto"/>
          <w:lang w:eastAsia="zh-CN"/>
        </w:rPr>
        <w:t>，参加本次安康中心城区易涝点整治工程（四期）监理服务项目竞争性磋商采购活动，非联合体投标。</w:t>
      </w:r>
    </w:p>
    <w:p w14:paraId="5183993C">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6632EC3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70A91EC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特此声明！</w:t>
      </w:r>
    </w:p>
    <w:p w14:paraId="5D328E7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098BCE58">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2D379F10">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589D5D89">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1CA2F56B">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32F1125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3E88E32F">
      <w:pPr>
        <w:rPr>
          <w:rFonts w:hint="eastAsia" w:ascii="仿宋" w:hAnsi="仿宋" w:eastAsia="仿宋" w:cs="仿宋"/>
          <w:color w:val="auto"/>
          <w:sz w:val="28"/>
          <w:lang w:eastAsia="zh-CN"/>
        </w:rPr>
      </w:pPr>
      <w:r>
        <w:rPr>
          <w:rFonts w:hint="eastAsia" w:ascii="仿宋" w:hAnsi="仿宋" w:eastAsia="仿宋" w:cs="仿宋"/>
          <w:color w:val="auto"/>
          <w:sz w:val="28"/>
          <w:lang w:eastAsia="zh-CN"/>
        </w:rPr>
        <w:br w:type="page"/>
      </w:r>
    </w:p>
    <w:p w14:paraId="2890D284">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四、供应商概况（格式自拟）</w:t>
      </w:r>
    </w:p>
    <w:p w14:paraId="436CA913">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r>
        <w:rPr>
          <w:rFonts w:hint="eastAsia" w:ascii="仿宋" w:hAnsi="仿宋" w:eastAsia="仿宋" w:cs="仿宋"/>
          <w:color w:val="auto"/>
          <w:lang w:eastAsia="zh-CN"/>
        </w:rPr>
        <w:t>供应商按照磋商文件要求自行编写本企业概况，包括企业基本情况、资质情况、监理业绩概况、技术力量等。</w:t>
      </w:r>
    </w:p>
    <w:p w14:paraId="1C6D70B1">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4390AD40">
      <w:pPr>
        <w:spacing w:line="408" w:lineRule="auto"/>
        <w:ind w:firstLine="0"/>
        <w:jc w:val="center"/>
        <w:rPr>
          <w:rFonts w:hint="eastAsia" w:ascii="仿宋" w:hAnsi="仿宋" w:eastAsia="仿宋" w:cs="仿宋"/>
          <w:color w:val="auto"/>
          <w:lang w:eastAsia="zh-CN"/>
        </w:rPr>
      </w:pPr>
      <w:r>
        <w:rPr>
          <w:rFonts w:hint="eastAsia" w:ascii="仿宋" w:hAnsi="仿宋" w:eastAsia="仿宋" w:cs="仿宋"/>
          <w:color w:val="auto"/>
          <w:lang w:eastAsia="zh-CN"/>
        </w:rPr>
        <w:br w:type="page"/>
      </w:r>
    </w:p>
    <w:p w14:paraId="1CD20FDD">
      <w:pPr>
        <w:spacing w:line="408" w:lineRule="auto"/>
        <w:ind w:firstLine="0"/>
        <w:jc w:val="left"/>
        <w:rPr>
          <w:rFonts w:hint="eastAsia"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1</w:t>
      </w:r>
      <w:r>
        <w:rPr>
          <w:rFonts w:hint="eastAsia" w:ascii="仿宋" w:hAnsi="仿宋" w:eastAsia="仿宋" w:cs="仿宋"/>
          <w:color w:val="auto"/>
          <w:lang w:eastAsia="zh-CN"/>
        </w:rPr>
        <w:t>：拟派本项目总监理工程师（项目负责人）简历表</w:t>
      </w:r>
    </w:p>
    <w:tbl>
      <w:tblPr>
        <w:tblStyle w:val="36"/>
        <w:tblW w:w="5931"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598"/>
        <w:gridCol w:w="2731"/>
        <w:gridCol w:w="1827"/>
        <w:gridCol w:w="3960"/>
      </w:tblGrid>
      <w:tr w14:paraId="70A7EE3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13" w:hRule="atLeast"/>
          <w:jc w:val="center"/>
        </w:trPr>
        <w:tc>
          <w:tcPr>
            <w:tcW w:w="790" w:type="pct"/>
            <w:tcBorders>
              <w:top w:val="single" w:color="auto" w:sz="12" w:space="0"/>
              <w:left w:val="single" w:color="auto" w:sz="12" w:space="0"/>
              <w:bottom w:val="nil"/>
              <w:right w:val="nil"/>
            </w:tcBorders>
            <w:noWrap w:val="0"/>
            <w:tcMar>
              <w:top w:w="-1" w:type="dxa"/>
              <w:left w:w="-1" w:type="dxa"/>
              <w:bottom w:w="-1" w:type="dxa"/>
              <w:right w:w="-1" w:type="dxa"/>
            </w:tcMar>
            <w:vAlign w:val="center"/>
          </w:tcPr>
          <w:p w14:paraId="28907AD2">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姓名</w:t>
            </w:r>
          </w:p>
        </w:tc>
        <w:tc>
          <w:tcPr>
            <w:tcW w:w="1350" w:type="pct"/>
            <w:tcBorders>
              <w:top w:val="single" w:color="auto" w:sz="12" w:space="0"/>
              <w:left w:val="single" w:color="auto" w:sz="4" w:space="0"/>
              <w:bottom w:val="nil"/>
              <w:right w:val="nil"/>
            </w:tcBorders>
            <w:noWrap w:val="0"/>
            <w:tcMar>
              <w:top w:w="-1" w:type="dxa"/>
              <w:left w:w="-1" w:type="dxa"/>
              <w:bottom w:w="-1" w:type="dxa"/>
              <w:right w:w="-1" w:type="dxa"/>
            </w:tcMar>
            <w:vAlign w:val="center"/>
          </w:tcPr>
          <w:p w14:paraId="712357E9">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903" w:type="pct"/>
            <w:tcBorders>
              <w:top w:val="single" w:color="auto" w:sz="12" w:space="0"/>
              <w:left w:val="single" w:color="auto" w:sz="4" w:space="0"/>
              <w:bottom w:val="nil"/>
              <w:right w:val="nil"/>
            </w:tcBorders>
            <w:noWrap w:val="0"/>
            <w:tcMar>
              <w:top w:w="-1" w:type="dxa"/>
              <w:left w:w="-1" w:type="dxa"/>
              <w:bottom w:w="-1" w:type="dxa"/>
              <w:right w:w="-1" w:type="dxa"/>
            </w:tcMar>
            <w:vAlign w:val="center"/>
          </w:tcPr>
          <w:p w14:paraId="71C79484">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性别</w:t>
            </w:r>
          </w:p>
        </w:tc>
        <w:tc>
          <w:tcPr>
            <w:tcW w:w="1955" w:type="pct"/>
            <w:tcBorders>
              <w:top w:val="single" w:color="auto" w:sz="12" w:space="0"/>
              <w:left w:val="single" w:color="auto" w:sz="4" w:space="0"/>
              <w:bottom w:val="nil"/>
              <w:right w:val="single" w:color="auto" w:sz="12" w:space="0"/>
            </w:tcBorders>
            <w:noWrap w:val="0"/>
            <w:tcMar>
              <w:top w:w="-1" w:type="dxa"/>
              <w:left w:w="-1" w:type="dxa"/>
              <w:bottom w:w="-1" w:type="dxa"/>
              <w:right w:w="-1" w:type="dxa"/>
            </w:tcMar>
            <w:vAlign w:val="center"/>
          </w:tcPr>
          <w:p w14:paraId="79FD6576">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r>
      <w:tr w14:paraId="3637D043">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906" w:hRule="atLeast"/>
          <w:jc w:val="center"/>
        </w:trPr>
        <w:tc>
          <w:tcPr>
            <w:tcW w:w="790" w:type="pct"/>
            <w:tcBorders>
              <w:top w:val="single" w:color="auto" w:sz="4" w:space="0"/>
              <w:left w:val="single" w:color="auto" w:sz="12" w:space="0"/>
              <w:bottom w:val="nil"/>
              <w:right w:val="single" w:color="auto" w:sz="4" w:space="0"/>
            </w:tcBorders>
            <w:noWrap w:val="0"/>
            <w:tcMar>
              <w:top w:w="-1" w:type="dxa"/>
              <w:left w:w="-1" w:type="dxa"/>
              <w:bottom w:w="-1" w:type="dxa"/>
              <w:right w:w="-1" w:type="dxa"/>
            </w:tcMar>
            <w:vAlign w:val="center"/>
          </w:tcPr>
          <w:p w14:paraId="341662CF">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年龄</w:t>
            </w:r>
          </w:p>
        </w:tc>
        <w:tc>
          <w:tcPr>
            <w:tcW w:w="1350" w:type="pct"/>
            <w:tcBorders>
              <w:top w:val="single" w:color="auto" w:sz="4" w:space="0"/>
              <w:left w:val="single" w:color="auto" w:sz="4" w:space="0"/>
              <w:bottom w:val="nil"/>
              <w:right w:val="single" w:color="auto" w:sz="4" w:space="0"/>
            </w:tcBorders>
            <w:noWrap w:val="0"/>
            <w:tcMar>
              <w:top w:w="-1" w:type="dxa"/>
              <w:left w:w="-1" w:type="dxa"/>
              <w:bottom w:w="-1" w:type="dxa"/>
              <w:right w:w="-1" w:type="dxa"/>
            </w:tcMar>
            <w:vAlign w:val="center"/>
          </w:tcPr>
          <w:p w14:paraId="427CDFAC">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903" w:type="pct"/>
            <w:tcBorders>
              <w:top w:val="single" w:color="auto" w:sz="4" w:space="0"/>
              <w:left w:val="single" w:color="auto" w:sz="4" w:space="0"/>
              <w:bottom w:val="nil"/>
              <w:right w:val="single" w:color="auto" w:sz="4" w:space="0"/>
            </w:tcBorders>
            <w:noWrap w:val="0"/>
            <w:tcMar>
              <w:top w:w="-1" w:type="dxa"/>
              <w:left w:w="-1" w:type="dxa"/>
              <w:bottom w:w="-1" w:type="dxa"/>
              <w:right w:w="-1" w:type="dxa"/>
            </w:tcMar>
            <w:vAlign w:val="center"/>
          </w:tcPr>
          <w:p w14:paraId="53D2C7E9">
            <w:pPr>
              <w:pStyle w:val="27"/>
              <w:overflowPunct w:val="0"/>
              <w:adjustRightInd w:val="0"/>
              <w:snapToGrid w:val="0"/>
              <w:jc w:val="center"/>
              <w:rPr>
                <w:rFonts w:hint="default"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职称</w:t>
            </w:r>
          </w:p>
        </w:tc>
        <w:tc>
          <w:tcPr>
            <w:tcW w:w="1955"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70DD49AC">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r>
      <w:tr w14:paraId="7B950C5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5000" w:type="pct"/>
            <w:gridSpan w:val="4"/>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center"/>
          </w:tcPr>
          <w:p w14:paraId="6F715B30">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项目负责人业绩（主要针对业绩评分内容填写）</w:t>
            </w:r>
          </w:p>
        </w:tc>
      </w:tr>
      <w:tr w14:paraId="34C9EC0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066" w:hRule="atLeast"/>
          <w:jc w:val="center"/>
        </w:trPr>
        <w:tc>
          <w:tcPr>
            <w:tcW w:w="790"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550F4C24">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序号</w:t>
            </w:r>
          </w:p>
        </w:tc>
        <w:tc>
          <w:tcPr>
            <w:tcW w:w="1350"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1790442">
            <w:pPr>
              <w:pStyle w:val="27"/>
              <w:overflowPunct w:val="0"/>
              <w:adjustRightInd w:val="0"/>
              <w:snapToGrid w:val="0"/>
              <w:ind w:firstLine="720" w:firstLineChars="300"/>
              <w:jc w:val="both"/>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项目名称</w:t>
            </w:r>
          </w:p>
        </w:tc>
        <w:tc>
          <w:tcPr>
            <w:tcW w:w="9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2C883196">
            <w:pPr>
              <w:pStyle w:val="27"/>
              <w:overflowPunct w:val="0"/>
              <w:adjustRightInd w:val="0"/>
              <w:snapToGrid w:val="0"/>
              <w:jc w:val="both"/>
              <w:rPr>
                <w:rFonts w:hint="default"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甲方名称</w:t>
            </w:r>
          </w:p>
        </w:tc>
        <w:tc>
          <w:tcPr>
            <w:tcW w:w="1955"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E5C6D03">
            <w:pPr>
              <w:pStyle w:val="27"/>
              <w:overflowPunct w:val="0"/>
              <w:adjustRightInd w:val="0"/>
              <w:snapToGrid w:val="0"/>
              <w:jc w:val="center"/>
              <w:rPr>
                <w:rFonts w:hint="eastAsia" w:ascii="仿宋" w:hAnsi="仿宋" w:eastAsia="仿宋" w:cs="仿宋"/>
                <w:color w:val="auto"/>
                <w:kern w:val="0"/>
                <w:sz w:val="24"/>
                <w:szCs w:val="22"/>
                <w:lang w:val="en-US" w:eastAsia="zh-CN" w:bidi="ar-SA"/>
              </w:rPr>
            </w:pPr>
            <w:r>
              <w:rPr>
                <w:rFonts w:hint="eastAsia" w:ascii="仿宋" w:hAnsi="仿宋" w:eastAsia="仿宋" w:cs="仿宋"/>
                <w:color w:val="auto"/>
                <w:kern w:val="0"/>
                <w:sz w:val="24"/>
                <w:szCs w:val="22"/>
                <w:lang w:val="en-US" w:eastAsia="zh-CN" w:bidi="ar-SA"/>
              </w:rPr>
              <w:t>在项目中担任的职务</w:t>
            </w:r>
          </w:p>
        </w:tc>
      </w:tr>
      <w:tr w14:paraId="2B82F64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790"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B981BBE">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350"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17A55A07">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9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5CE4E304">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955"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09BA322D">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r>
      <w:tr w14:paraId="1219A68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790" w:type="pct"/>
            <w:tcBorders>
              <w:top w:val="single" w:color="auto" w:sz="4" w:space="0"/>
              <w:left w:val="single" w:color="auto" w:sz="12" w:space="0"/>
              <w:bottom w:val="nil"/>
              <w:right w:val="nil"/>
            </w:tcBorders>
            <w:noWrap w:val="0"/>
            <w:tcMar>
              <w:top w:w="-1" w:type="dxa"/>
              <w:left w:w="-1" w:type="dxa"/>
              <w:bottom w:w="-1" w:type="dxa"/>
              <w:right w:w="-1" w:type="dxa"/>
            </w:tcMar>
            <w:vAlign w:val="center"/>
          </w:tcPr>
          <w:p w14:paraId="3489EEA2">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350"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4289912">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903" w:type="pct"/>
            <w:tcBorders>
              <w:top w:val="single" w:color="auto" w:sz="4" w:space="0"/>
              <w:left w:val="single" w:color="auto" w:sz="4" w:space="0"/>
              <w:bottom w:val="nil"/>
              <w:right w:val="nil"/>
            </w:tcBorders>
            <w:noWrap w:val="0"/>
            <w:tcMar>
              <w:top w:w="-1" w:type="dxa"/>
              <w:left w:w="-1" w:type="dxa"/>
              <w:bottom w:w="-1" w:type="dxa"/>
              <w:right w:w="-1" w:type="dxa"/>
            </w:tcMar>
            <w:vAlign w:val="center"/>
          </w:tcPr>
          <w:p w14:paraId="3418431C">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955"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center"/>
          </w:tcPr>
          <w:p w14:paraId="1312D45B">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r>
      <w:tr w14:paraId="46389D8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68" w:hRule="atLeast"/>
          <w:jc w:val="center"/>
        </w:trPr>
        <w:tc>
          <w:tcPr>
            <w:tcW w:w="790" w:type="pct"/>
            <w:tcBorders>
              <w:top w:val="single" w:color="auto" w:sz="4" w:space="0"/>
              <w:left w:val="single" w:color="auto" w:sz="12" w:space="0"/>
              <w:bottom w:val="single" w:color="auto" w:sz="12" w:space="0"/>
              <w:right w:val="nil"/>
            </w:tcBorders>
            <w:noWrap w:val="0"/>
            <w:tcMar>
              <w:top w:w="-1" w:type="dxa"/>
              <w:left w:w="-1" w:type="dxa"/>
              <w:bottom w:w="-1" w:type="dxa"/>
              <w:right w:w="-1" w:type="dxa"/>
            </w:tcMar>
            <w:vAlign w:val="center"/>
          </w:tcPr>
          <w:p w14:paraId="4C0C84C6">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350"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54879E26">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903" w:type="pct"/>
            <w:tcBorders>
              <w:top w:val="single" w:color="auto" w:sz="4" w:space="0"/>
              <w:left w:val="single" w:color="auto" w:sz="4" w:space="0"/>
              <w:bottom w:val="single" w:color="auto" w:sz="12" w:space="0"/>
              <w:right w:val="nil"/>
            </w:tcBorders>
            <w:noWrap w:val="0"/>
            <w:tcMar>
              <w:top w:w="-1" w:type="dxa"/>
              <w:left w:w="-1" w:type="dxa"/>
              <w:bottom w:w="-1" w:type="dxa"/>
              <w:right w:w="-1" w:type="dxa"/>
            </w:tcMar>
            <w:vAlign w:val="center"/>
          </w:tcPr>
          <w:p w14:paraId="313D645F">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c>
          <w:tcPr>
            <w:tcW w:w="1955" w:type="pct"/>
            <w:tcBorders>
              <w:top w:val="single" w:color="auto" w:sz="4" w:space="0"/>
              <w:left w:val="single" w:color="auto" w:sz="4" w:space="0"/>
              <w:bottom w:val="single" w:color="auto" w:sz="12" w:space="0"/>
              <w:right w:val="single" w:color="auto" w:sz="12" w:space="0"/>
            </w:tcBorders>
            <w:noWrap w:val="0"/>
            <w:tcMar>
              <w:top w:w="-1" w:type="dxa"/>
              <w:left w:w="-1" w:type="dxa"/>
              <w:bottom w:w="-1" w:type="dxa"/>
              <w:right w:w="-1" w:type="dxa"/>
            </w:tcMar>
            <w:vAlign w:val="center"/>
          </w:tcPr>
          <w:p w14:paraId="0451C7C0">
            <w:pPr>
              <w:pStyle w:val="27"/>
              <w:overflowPunct w:val="0"/>
              <w:adjustRightInd w:val="0"/>
              <w:snapToGrid w:val="0"/>
              <w:jc w:val="center"/>
              <w:rPr>
                <w:rFonts w:hint="eastAsia" w:ascii="仿宋" w:hAnsi="仿宋" w:eastAsia="仿宋" w:cs="仿宋"/>
                <w:color w:val="auto"/>
                <w:kern w:val="0"/>
                <w:sz w:val="24"/>
                <w:szCs w:val="22"/>
                <w:lang w:val="en-US" w:eastAsia="zh-CN" w:bidi="ar-SA"/>
              </w:rPr>
            </w:pPr>
          </w:p>
        </w:tc>
      </w:tr>
    </w:tbl>
    <w:p w14:paraId="385C7D4D">
      <w:pPr>
        <w:spacing w:line="408" w:lineRule="auto"/>
        <w:ind w:firstLine="0"/>
        <w:rPr>
          <w:rFonts w:hint="eastAsia" w:ascii="仿宋" w:hAnsi="仿宋" w:eastAsia="仿宋" w:cs="仿宋"/>
          <w:color w:val="auto"/>
          <w:lang w:eastAsia="zh-CN"/>
        </w:rPr>
      </w:pPr>
    </w:p>
    <w:p w14:paraId="0DCD9C1B">
      <w:pPr>
        <w:spacing w:line="408" w:lineRule="auto"/>
        <w:ind w:firstLine="0"/>
        <w:rPr>
          <w:rFonts w:hint="eastAsia" w:ascii="仿宋" w:hAnsi="仿宋" w:eastAsia="仿宋" w:cs="仿宋"/>
          <w:color w:val="auto"/>
          <w:lang w:eastAsia="zh-CN"/>
        </w:rPr>
      </w:pPr>
    </w:p>
    <w:p w14:paraId="2E902A15">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21CFF6D9">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18EA616B">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4133179F">
      <w:pPr>
        <w:spacing w:line="408" w:lineRule="auto"/>
        <w:ind w:firstLine="0"/>
        <w:rPr>
          <w:rFonts w:hint="eastAsia" w:ascii="仿宋" w:hAnsi="仿宋" w:eastAsia="仿宋" w:cs="仿宋"/>
          <w:color w:val="auto"/>
          <w:lang w:eastAsia="zh-CN"/>
        </w:rPr>
      </w:pPr>
    </w:p>
    <w:p w14:paraId="3234622F">
      <w:pPr>
        <w:spacing w:line="408" w:lineRule="auto"/>
        <w:ind w:firstLine="0"/>
        <w:rPr>
          <w:rFonts w:hint="eastAsia" w:ascii="仿宋" w:hAnsi="仿宋" w:eastAsia="仿宋" w:cs="仿宋"/>
          <w:color w:val="auto"/>
          <w:lang w:eastAsia="zh-CN"/>
        </w:rPr>
      </w:pPr>
    </w:p>
    <w:p w14:paraId="675F851F">
      <w:pPr>
        <w:spacing w:line="408" w:lineRule="auto"/>
        <w:ind w:firstLine="0"/>
        <w:rPr>
          <w:rFonts w:hint="eastAsia" w:ascii="仿宋" w:hAnsi="仿宋" w:eastAsia="仿宋" w:cs="仿宋"/>
          <w:color w:val="auto"/>
          <w:lang w:eastAsia="zh-CN"/>
        </w:rPr>
      </w:pPr>
    </w:p>
    <w:p w14:paraId="1C117FF4">
      <w:pPr>
        <w:spacing w:line="408" w:lineRule="auto"/>
        <w:ind w:firstLine="0"/>
        <w:rPr>
          <w:rFonts w:hint="eastAsia" w:ascii="仿宋" w:hAnsi="仿宋" w:eastAsia="仿宋" w:cs="仿宋"/>
          <w:color w:val="auto"/>
          <w:lang w:eastAsia="zh-CN"/>
        </w:rPr>
      </w:pPr>
    </w:p>
    <w:p w14:paraId="39B9E192">
      <w:pPr>
        <w:spacing w:line="408" w:lineRule="auto"/>
        <w:ind w:firstLine="0"/>
        <w:rPr>
          <w:rFonts w:hint="eastAsia" w:ascii="仿宋" w:hAnsi="仿宋" w:eastAsia="仿宋" w:cs="仿宋"/>
          <w:color w:val="auto"/>
          <w:lang w:eastAsia="zh-CN"/>
        </w:rPr>
      </w:pPr>
    </w:p>
    <w:p w14:paraId="51110842">
      <w:pPr>
        <w:spacing w:line="408" w:lineRule="auto"/>
        <w:ind w:firstLine="0"/>
        <w:rPr>
          <w:rFonts w:hint="eastAsia" w:ascii="仿宋" w:hAnsi="仿宋" w:eastAsia="仿宋" w:cs="仿宋"/>
          <w:color w:val="auto"/>
          <w:lang w:eastAsia="zh-CN"/>
        </w:rPr>
      </w:pPr>
    </w:p>
    <w:p w14:paraId="6EA88CC1">
      <w:pPr>
        <w:spacing w:line="408" w:lineRule="auto"/>
        <w:ind w:firstLine="0"/>
        <w:jc w:val="both"/>
        <w:rPr>
          <w:rFonts w:hint="eastAsia"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2</w:t>
      </w:r>
      <w:r>
        <w:rPr>
          <w:rFonts w:hint="eastAsia" w:ascii="仿宋" w:hAnsi="仿宋" w:eastAsia="仿宋" w:cs="仿宋"/>
          <w:color w:val="auto"/>
          <w:lang w:eastAsia="zh-CN"/>
        </w:rPr>
        <w:t>：拟担任本项目人员汇总表</w:t>
      </w:r>
    </w:p>
    <w:tbl>
      <w:tblPr>
        <w:tblStyle w:val="36"/>
        <w:tblW w:w="8508" w:type="dxa"/>
        <w:jc w:val="center"/>
        <w:tblLayout w:type="autofit"/>
        <w:tblCellMar>
          <w:top w:w="0" w:type="dxa"/>
          <w:left w:w="108" w:type="dxa"/>
          <w:bottom w:w="0" w:type="dxa"/>
          <w:right w:w="108" w:type="dxa"/>
        </w:tblCellMar>
      </w:tblPr>
      <w:tblGrid>
        <w:gridCol w:w="2153"/>
        <w:gridCol w:w="1447"/>
        <w:gridCol w:w="1636"/>
        <w:gridCol w:w="1636"/>
        <w:gridCol w:w="1636"/>
      </w:tblGrid>
      <w:tr w14:paraId="4C984E57">
        <w:tblPrEx>
          <w:tblCellMar>
            <w:top w:w="0" w:type="dxa"/>
            <w:left w:w="108" w:type="dxa"/>
            <w:bottom w:w="0" w:type="dxa"/>
            <w:right w:w="108" w:type="dxa"/>
          </w:tblCellMar>
        </w:tblPrEx>
        <w:trPr>
          <w:trHeight w:val="0" w:hRule="atLeast"/>
          <w:tblHeader/>
          <w:jc w:val="center"/>
        </w:trPr>
        <w:tc>
          <w:tcPr>
            <w:tcW w:w="2153"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0541C08A">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分工</w:t>
            </w:r>
          </w:p>
        </w:tc>
        <w:tc>
          <w:tcPr>
            <w:tcW w:w="1447"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78A07CFA">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姓名</w:t>
            </w:r>
          </w:p>
        </w:tc>
        <w:tc>
          <w:tcPr>
            <w:tcW w:w="1636"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1757CC12">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职业资格</w:t>
            </w:r>
          </w:p>
        </w:tc>
        <w:tc>
          <w:tcPr>
            <w:tcW w:w="1636"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519B4F7D">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专业背景</w:t>
            </w:r>
          </w:p>
        </w:tc>
        <w:tc>
          <w:tcPr>
            <w:tcW w:w="1636"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1C33B5C3">
            <w:pPr>
              <w:snapToGrid w:val="0"/>
              <w:spacing w:before="47" w:after="47" w:line="240" w:lineRule="auto"/>
              <w:ind w:left="0" w:leftChars="0" w:right="0" w:rightChars="0" w:firstLine="0" w:firstLineChars="0"/>
              <w:jc w:val="center"/>
              <w:rPr>
                <w:rFonts w:hint="eastAsia" w:ascii="仿宋" w:hAnsi="仿宋" w:eastAsia="仿宋" w:cs="仿宋"/>
                <w:b/>
                <w:color w:val="auto"/>
                <w:lang w:val="en-US" w:eastAsia="zh-CN"/>
              </w:rPr>
            </w:pPr>
            <w:r>
              <w:rPr>
                <w:rFonts w:hint="eastAsia" w:ascii="仿宋" w:hAnsi="仿宋" w:eastAsia="仿宋" w:cs="仿宋"/>
                <w:b/>
                <w:color w:val="auto"/>
                <w:lang w:val="en-US" w:eastAsia="zh-CN"/>
              </w:rPr>
              <w:t>工作年限</w:t>
            </w:r>
          </w:p>
        </w:tc>
      </w:tr>
      <w:tr w14:paraId="04154C21">
        <w:tblPrEx>
          <w:tblCellMar>
            <w:top w:w="0" w:type="dxa"/>
            <w:left w:w="108" w:type="dxa"/>
            <w:bottom w:w="0" w:type="dxa"/>
            <w:right w:w="108" w:type="dxa"/>
          </w:tblCellMar>
        </w:tblPrEx>
        <w:trPr>
          <w:trHeight w:val="0" w:hRule="atLeast"/>
          <w:jc w:val="center"/>
        </w:trPr>
        <w:tc>
          <w:tcPr>
            <w:tcW w:w="2153"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575E9739">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总监理工程师</w:t>
            </w:r>
          </w:p>
        </w:tc>
        <w:tc>
          <w:tcPr>
            <w:tcW w:w="1447"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573CC104">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4" w:name="总监理工程师_01"/>
            <w:bookmarkEnd w:id="4"/>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0EF47CD8">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5" w:name="__DOCXFIELD_ce23c8d656c44740bb3d1f2a1677c750___01"/>
            <w:bookmarkEnd w:id="5"/>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3B67838">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6" w:name="__DOCXFIELD_3a126118895a482cb4662612a94f79a6___01"/>
            <w:bookmarkEnd w:id="6"/>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D515DFB">
            <w:pPr>
              <w:snapToGrid w:val="0"/>
              <w:spacing w:before="47" w:after="47" w:line="240" w:lineRule="auto"/>
              <w:ind w:left="0" w:leftChars="0" w:right="0" w:rightChars="0" w:firstLine="0" w:firstLineChars="0"/>
              <w:jc w:val="center"/>
              <w:rPr>
                <w:rFonts w:hint="eastAsia" w:ascii="仿宋" w:hAnsi="仿宋" w:eastAsia="仿宋" w:cs="仿宋"/>
                <w:color w:val="auto"/>
              </w:rPr>
            </w:pPr>
          </w:p>
        </w:tc>
      </w:tr>
      <w:tr w14:paraId="48AFB5CF">
        <w:tblPrEx>
          <w:tblCellMar>
            <w:top w:w="0" w:type="dxa"/>
            <w:left w:w="108" w:type="dxa"/>
            <w:bottom w:w="0" w:type="dxa"/>
            <w:right w:w="108" w:type="dxa"/>
          </w:tblCellMar>
        </w:tblPrEx>
        <w:trPr>
          <w:trHeight w:val="0" w:hRule="atLeast"/>
          <w:jc w:val="center"/>
        </w:trPr>
        <w:tc>
          <w:tcPr>
            <w:tcW w:w="2153"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7EE0A43">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专业监理工程师</w:t>
            </w:r>
          </w:p>
        </w:tc>
        <w:tc>
          <w:tcPr>
            <w:tcW w:w="1447"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7214D58">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7" w:name="专业监理工程师_01"/>
            <w:bookmarkEnd w:id="7"/>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B810E1A">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8" w:name="__DOCXFIELD_410227e4d4a5485e95629f4021a6400f___01"/>
            <w:bookmarkEnd w:id="8"/>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51840937">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9" w:name="__DOCXFIELD_267cb87a26844f50b7183c352ce57383___01"/>
            <w:bookmarkEnd w:id="9"/>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6C6014B0">
            <w:pPr>
              <w:snapToGrid w:val="0"/>
              <w:spacing w:before="47" w:after="47" w:line="240" w:lineRule="auto"/>
              <w:ind w:left="0" w:leftChars="0" w:right="0" w:rightChars="0" w:firstLine="0" w:firstLineChars="0"/>
              <w:jc w:val="center"/>
              <w:rPr>
                <w:rFonts w:hint="eastAsia" w:ascii="仿宋" w:hAnsi="仿宋" w:eastAsia="仿宋" w:cs="仿宋"/>
                <w:color w:val="auto"/>
              </w:rPr>
            </w:pPr>
          </w:p>
        </w:tc>
      </w:tr>
      <w:tr w14:paraId="5AFC0ED3">
        <w:tblPrEx>
          <w:tblCellMar>
            <w:top w:w="0" w:type="dxa"/>
            <w:left w:w="108" w:type="dxa"/>
            <w:bottom w:w="0" w:type="dxa"/>
            <w:right w:w="108" w:type="dxa"/>
          </w:tblCellMar>
        </w:tblPrEx>
        <w:trPr>
          <w:trHeight w:val="0" w:hRule="atLeast"/>
          <w:jc w:val="center"/>
        </w:trPr>
        <w:tc>
          <w:tcPr>
            <w:tcW w:w="2153"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9BE5697">
            <w:pPr>
              <w:snapToGrid w:val="0"/>
              <w:spacing w:before="47" w:after="47" w:line="240" w:lineRule="auto"/>
              <w:ind w:left="0" w:leftChars="0" w:right="0" w:rightChars="0" w:firstLine="0" w:firstLineChars="0"/>
              <w:jc w:val="left"/>
              <w:rPr>
                <w:rFonts w:hint="eastAsia" w:ascii="仿宋" w:hAnsi="仿宋" w:eastAsia="仿宋" w:cs="仿宋"/>
                <w:color w:val="auto"/>
              </w:rPr>
            </w:pPr>
            <w:r>
              <w:rPr>
                <w:rFonts w:hint="eastAsia" w:ascii="仿宋" w:hAnsi="仿宋" w:eastAsia="仿宋" w:cs="仿宋"/>
                <w:color w:val="auto"/>
              </w:rPr>
              <w:t>监理员</w:t>
            </w:r>
          </w:p>
        </w:tc>
        <w:tc>
          <w:tcPr>
            <w:tcW w:w="1447"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42DAFB74">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0" w:name="监理员_01"/>
            <w:bookmarkEnd w:id="10"/>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0D918D8F">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1" w:name="__DOCXFIELD_26c78c967c8f407a9819c3f13d305a7e___01"/>
            <w:bookmarkEnd w:id="11"/>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A360A71">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2" w:name="__DOCXFIELD_5331190010cc43b99f497da195c07f24___01"/>
            <w:bookmarkEnd w:id="12"/>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7933A925">
            <w:pPr>
              <w:snapToGrid w:val="0"/>
              <w:spacing w:before="47" w:after="47" w:line="240" w:lineRule="auto"/>
              <w:ind w:left="0" w:leftChars="0" w:right="0" w:rightChars="0" w:firstLine="0" w:firstLineChars="0"/>
              <w:jc w:val="center"/>
              <w:rPr>
                <w:rFonts w:hint="eastAsia" w:ascii="仿宋" w:hAnsi="仿宋" w:eastAsia="仿宋" w:cs="仿宋"/>
                <w:color w:val="auto"/>
              </w:rPr>
            </w:pPr>
          </w:p>
        </w:tc>
      </w:tr>
      <w:tr w14:paraId="185EC00B">
        <w:tblPrEx>
          <w:tblCellMar>
            <w:top w:w="0" w:type="dxa"/>
            <w:left w:w="108" w:type="dxa"/>
            <w:bottom w:w="0" w:type="dxa"/>
            <w:right w:w="108" w:type="dxa"/>
          </w:tblCellMar>
        </w:tblPrEx>
        <w:trPr>
          <w:trHeight w:val="0" w:hRule="atLeast"/>
          <w:jc w:val="center"/>
        </w:trPr>
        <w:tc>
          <w:tcPr>
            <w:tcW w:w="2153"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62AE872C">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39FF8D4">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0BA5E89">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C940A18">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0B1C5BE">
            <w:pPr>
              <w:snapToGrid w:val="0"/>
              <w:spacing w:before="47" w:after="47" w:line="240" w:lineRule="auto"/>
              <w:ind w:left="0" w:leftChars="0" w:right="0" w:rightChars="0" w:firstLine="0" w:firstLineChars="0"/>
              <w:jc w:val="center"/>
              <w:rPr>
                <w:rFonts w:hint="eastAsia" w:ascii="仿宋" w:hAnsi="仿宋" w:eastAsia="仿宋" w:cs="仿宋"/>
                <w:color w:val="auto"/>
              </w:rPr>
            </w:pPr>
          </w:p>
        </w:tc>
      </w:tr>
      <w:tr w14:paraId="3B7D6A19">
        <w:tblPrEx>
          <w:tblCellMar>
            <w:top w:w="0" w:type="dxa"/>
            <w:left w:w="108" w:type="dxa"/>
            <w:bottom w:w="0" w:type="dxa"/>
            <w:right w:w="108" w:type="dxa"/>
          </w:tblCellMar>
        </w:tblPrEx>
        <w:trPr>
          <w:trHeight w:val="0" w:hRule="atLeast"/>
          <w:jc w:val="center"/>
        </w:trPr>
        <w:tc>
          <w:tcPr>
            <w:tcW w:w="2153"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6F16D6C3">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076CB2D">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1D17F8D">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7594D193">
            <w:pPr>
              <w:snapToGrid w:val="0"/>
              <w:spacing w:before="47" w:after="47" w:line="240" w:lineRule="auto"/>
              <w:ind w:left="0" w:leftChars="0" w:right="0" w:rightChars="0" w:firstLine="0" w:firstLineChars="0"/>
              <w:jc w:val="center"/>
              <w:rPr>
                <w:rFonts w:hint="eastAsia"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6256C956">
            <w:pPr>
              <w:snapToGrid w:val="0"/>
              <w:spacing w:before="47" w:after="47" w:line="240" w:lineRule="auto"/>
              <w:ind w:left="0" w:leftChars="0" w:right="0" w:rightChars="0" w:firstLine="0" w:firstLineChars="0"/>
              <w:jc w:val="center"/>
              <w:rPr>
                <w:rFonts w:hint="eastAsia" w:ascii="仿宋" w:hAnsi="仿宋" w:eastAsia="仿宋" w:cs="仿宋"/>
                <w:color w:val="auto"/>
              </w:rPr>
            </w:pPr>
          </w:p>
        </w:tc>
      </w:tr>
    </w:tbl>
    <w:p w14:paraId="5C0C00D0">
      <w:pPr>
        <w:spacing w:line="408" w:lineRule="auto"/>
        <w:ind w:firstLine="0"/>
        <w:rPr>
          <w:rFonts w:hint="eastAsia" w:ascii="仿宋" w:hAnsi="仿宋" w:eastAsia="仿宋" w:cs="仿宋"/>
          <w:color w:val="auto"/>
          <w:lang w:eastAsia="zh-CN"/>
        </w:rPr>
      </w:pPr>
    </w:p>
    <w:p w14:paraId="0212C86C">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注：须附上相关证书复印件（加盖单位公章）。</w:t>
      </w:r>
    </w:p>
    <w:p w14:paraId="4DFCCA5E">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4BB7B99A">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3C03503E">
      <w:pPr>
        <w:spacing w:line="408"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38CF5357">
      <w:pPr>
        <w:rPr>
          <w:rFonts w:hint="eastAsia" w:ascii="仿宋" w:hAnsi="仿宋" w:eastAsia="仿宋" w:cs="仿宋"/>
          <w:color w:val="auto"/>
          <w:lang w:eastAsia="zh-CN"/>
        </w:rPr>
      </w:pPr>
      <w:r>
        <w:rPr>
          <w:rFonts w:hint="eastAsia" w:ascii="仿宋" w:hAnsi="仿宋" w:eastAsia="仿宋" w:cs="仿宋"/>
          <w:color w:val="auto"/>
          <w:lang w:eastAsia="zh-CN"/>
        </w:rPr>
        <w:br w:type="page"/>
      </w:r>
    </w:p>
    <w:p w14:paraId="3E932C9F">
      <w:pPr>
        <w:spacing w:line="408" w:lineRule="auto"/>
        <w:ind w:firstLine="0"/>
        <w:jc w:val="both"/>
        <w:rPr>
          <w:rFonts w:hint="eastAsia"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3</w:t>
      </w:r>
      <w:r>
        <w:rPr>
          <w:rFonts w:hint="eastAsia" w:ascii="仿宋" w:hAnsi="仿宋" w:eastAsia="仿宋" w:cs="仿宋"/>
          <w:color w:val="auto"/>
          <w:lang w:eastAsia="zh-CN"/>
        </w:rPr>
        <w:t>：类似业绩情况表</w:t>
      </w:r>
    </w:p>
    <w:tbl>
      <w:tblPr>
        <w:tblStyle w:val="36"/>
        <w:tblW w:w="8509" w:type="dxa"/>
        <w:jc w:val="center"/>
        <w:tblLayout w:type="autofit"/>
        <w:tblCellMar>
          <w:top w:w="0" w:type="dxa"/>
          <w:left w:w="108" w:type="dxa"/>
          <w:bottom w:w="0" w:type="dxa"/>
          <w:right w:w="108" w:type="dxa"/>
        </w:tblCellMar>
      </w:tblPr>
      <w:tblGrid>
        <w:gridCol w:w="1244"/>
        <w:gridCol w:w="3008"/>
        <w:gridCol w:w="2128"/>
        <w:gridCol w:w="2129"/>
      </w:tblGrid>
      <w:tr w14:paraId="2646910C">
        <w:tblPrEx>
          <w:tblCellMar>
            <w:top w:w="0" w:type="dxa"/>
            <w:left w:w="108" w:type="dxa"/>
            <w:bottom w:w="0" w:type="dxa"/>
            <w:right w:w="108" w:type="dxa"/>
          </w:tblCellMar>
        </w:tblPrEx>
        <w:trPr>
          <w:trHeight w:val="0" w:hRule="atLeast"/>
          <w:tblHeader/>
          <w:jc w:val="center"/>
        </w:trPr>
        <w:tc>
          <w:tcPr>
            <w:tcW w:w="0" w:type="auto"/>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30A466F5">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0E8209A9">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合同签订时间</w:t>
            </w:r>
          </w:p>
        </w:tc>
        <w:tc>
          <w:tcPr>
            <w:tcW w:w="0" w:type="auto"/>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4B18DD4C">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项目名称</w:t>
            </w:r>
          </w:p>
        </w:tc>
        <w:tc>
          <w:tcPr>
            <w:tcW w:w="2129" w:type="dxa"/>
            <w:tcBorders>
              <w:top w:val="single" w:color="000000" w:sz="6" w:space="0"/>
              <w:left w:val="single" w:color="000000" w:sz="6" w:space="0"/>
              <w:bottom w:val="single" w:color="000000" w:sz="6" w:space="0"/>
              <w:right w:val="single" w:color="000000" w:sz="6" w:space="0"/>
            </w:tcBorders>
            <w:shd w:val="clear" w:color="auto" w:fill="F0F0F0"/>
            <w:noWrap w:val="0"/>
            <w:tcMar>
              <w:top w:w="80" w:type="dxa"/>
              <w:left w:w="100" w:type="dxa"/>
              <w:bottom w:w="80" w:type="dxa"/>
              <w:right w:w="100" w:type="dxa"/>
            </w:tcMar>
            <w:vAlign w:val="center"/>
          </w:tcPr>
          <w:p w14:paraId="74FB7889">
            <w:pPr>
              <w:snapToGrid w:val="0"/>
              <w:spacing w:before="47" w:after="47" w:line="240" w:lineRule="auto"/>
              <w:ind w:left="0" w:leftChars="0" w:right="0" w:rightChars="0" w:firstLine="0" w:firstLineChars="0"/>
              <w:jc w:val="center"/>
              <w:rPr>
                <w:rFonts w:hint="eastAsia" w:ascii="仿宋" w:hAnsi="仿宋" w:eastAsia="仿宋" w:cs="仿宋"/>
                <w:b/>
                <w:color w:val="auto"/>
              </w:rPr>
            </w:pPr>
            <w:r>
              <w:rPr>
                <w:rFonts w:hint="eastAsia" w:ascii="仿宋" w:hAnsi="仿宋" w:eastAsia="仿宋" w:cs="仿宋"/>
                <w:b/>
                <w:color w:val="auto"/>
              </w:rPr>
              <w:t>合同金额</w:t>
            </w:r>
          </w:p>
        </w:tc>
      </w:tr>
      <w:tr w14:paraId="2E573A79">
        <w:tblPrEx>
          <w:tblCellMar>
            <w:top w:w="0" w:type="dxa"/>
            <w:left w:w="108" w:type="dxa"/>
            <w:bottom w:w="0" w:type="dxa"/>
            <w:right w:w="108" w:type="dxa"/>
          </w:tblCellMar>
        </w:tblPrEx>
        <w:trPr>
          <w:trHeight w:val="0" w:hRule="atLeast"/>
          <w:jc w:val="center"/>
        </w:trPr>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784ECF99">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1</w:t>
            </w:r>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A85E30D">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3" w:name="1_03"/>
            <w:bookmarkEnd w:id="13"/>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EC965A7">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4" w:name="__DOCXFIELD_4138ab5533194d77a4dc2c5ec5aaf95f___01"/>
            <w:bookmarkEnd w:id="14"/>
          </w:p>
        </w:tc>
        <w:tc>
          <w:tcPr>
            <w:tcW w:w="2129"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5E3BD052">
            <w:pPr>
              <w:snapToGrid w:val="0"/>
              <w:spacing w:before="47" w:after="47" w:line="240" w:lineRule="auto"/>
              <w:ind w:left="0" w:leftChars="0" w:right="0" w:rightChars="0" w:firstLine="0" w:firstLineChars="0"/>
              <w:jc w:val="right"/>
              <w:rPr>
                <w:rFonts w:hint="eastAsia" w:ascii="仿宋" w:hAnsi="仿宋" w:eastAsia="仿宋" w:cs="仿宋"/>
                <w:color w:val="auto"/>
              </w:rPr>
            </w:pPr>
            <w:bookmarkStart w:id="15" w:name="__DOCXFIELD_a74ea2cc334f41d291f8a0eab1d22f6d___01"/>
            <w:bookmarkEnd w:id="15"/>
          </w:p>
        </w:tc>
      </w:tr>
      <w:tr w14:paraId="46BEC998">
        <w:tblPrEx>
          <w:tblCellMar>
            <w:top w:w="0" w:type="dxa"/>
            <w:left w:w="108" w:type="dxa"/>
            <w:bottom w:w="0" w:type="dxa"/>
            <w:right w:w="108" w:type="dxa"/>
          </w:tblCellMar>
        </w:tblPrEx>
        <w:trPr>
          <w:trHeight w:val="0" w:hRule="atLeast"/>
          <w:jc w:val="center"/>
        </w:trPr>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715B8CD1">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2</w:t>
            </w:r>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252A4CAE">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6" w:name="2_03"/>
            <w:bookmarkEnd w:id="16"/>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3E66DB5">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7" w:name="__DOCXFIELD_a17fc6eb137644c5b866ba1d8bf90f53___01"/>
            <w:bookmarkEnd w:id="17"/>
          </w:p>
        </w:tc>
        <w:tc>
          <w:tcPr>
            <w:tcW w:w="2129"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746C464B">
            <w:pPr>
              <w:snapToGrid w:val="0"/>
              <w:spacing w:before="47" w:after="47" w:line="240" w:lineRule="auto"/>
              <w:ind w:left="0" w:leftChars="0" w:right="0" w:rightChars="0" w:firstLine="0" w:firstLineChars="0"/>
              <w:jc w:val="right"/>
              <w:rPr>
                <w:rFonts w:hint="eastAsia" w:ascii="仿宋" w:hAnsi="仿宋" w:eastAsia="仿宋" w:cs="仿宋"/>
                <w:color w:val="auto"/>
              </w:rPr>
            </w:pPr>
            <w:bookmarkStart w:id="18" w:name="__DOCXFIELD_f831f7c4dd6d40adac0e04e90d395599___01"/>
            <w:bookmarkEnd w:id="18"/>
          </w:p>
        </w:tc>
      </w:tr>
      <w:tr w14:paraId="18DBE5C8">
        <w:tblPrEx>
          <w:tblCellMar>
            <w:top w:w="0" w:type="dxa"/>
            <w:left w:w="108" w:type="dxa"/>
            <w:bottom w:w="0" w:type="dxa"/>
            <w:right w:w="108" w:type="dxa"/>
          </w:tblCellMar>
        </w:tblPrEx>
        <w:trPr>
          <w:trHeight w:val="0" w:hRule="atLeast"/>
          <w:jc w:val="center"/>
        </w:trPr>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AB461AF">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3</w:t>
            </w:r>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4EFA04E1">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19" w:name="3_03"/>
            <w:bookmarkEnd w:id="19"/>
          </w:p>
        </w:tc>
        <w:tc>
          <w:tcPr>
            <w:tcW w:w="0" w:type="auto"/>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603D5E8F">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20" w:name="__DOCXFIELD_b73f62e0048e4aad8d5648b61c7b2896___01"/>
            <w:bookmarkEnd w:id="20"/>
          </w:p>
        </w:tc>
        <w:tc>
          <w:tcPr>
            <w:tcW w:w="2129"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4A7DE864">
            <w:pPr>
              <w:snapToGrid w:val="0"/>
              <w:spacing w:before="47" w:after="47" w:line="240" w:lineRule="auto"/>
              <w:ind w:left="0" w:leftChars="0" w:right="0" w:rightChars="0" w:firstLine="0" w:firstLineChars="0"/>
              <w:jc w:val="right"/>
              <w:rPr>
                <w:rFonts w:hint="eastAsia" w:ascii="仿宋" w:hAnsi="仿宋" w:eastAsia="仿宋" w:cs="仿宋"/>
                <w:color w:val="auto"/>
              </w:rPr>
            </w:pPr>
            <w:bookmarkStart w:id="21" w:name="__DOCXFIELD_5b26d5e2750d439a99bc40c4c2b58d27___01"/>
            <w:bookmarkEnd w:id="21"/>
          </w:p>
        </w:tc>
      </w:tr>
      <w:tr w14:paraId="562D762D">
        <w:tblPrEx>
          <w:tblCellMar>
            <w:top w:w="0" w:type="dxa"/>
            <w:left w:w="108" w:type="dxa"/>
            <w:bottom w:w="0" w:type="dxa"/>
            <w:right w:w="108" w:type="dxa"/>
          </w:tblCellMar>
        </w:tblPrEx>
        <w:trPr>
          <w:trHeight w:val="0" w:hRule="atLeast"/>
          <w:jc w:val="center"/>
        </w:trPr>
        <w:tc>
          <w:tcPr>
            <w:tcW w:w="1244"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55339BC6">
            <w:pPr>
              <w:snapToGrid w:val="0"/>
              <w:spacing w:before="47" w:after="47" w:line="240" w:lineRule="auto"/>
              <w:ind w:left="0" w:leftChars="0" w:right="0" w:rightChars="0" w:firstLine="0" w:firstLineChars="0"/>
              <w:jc w:val="center"/>
              <w:rPr>
                <w:rFonts w:hint="eastAsia" w:ascii="仿宋" w:hAnsi="仿宋" w:eastAsia="仿宋" w:cs="仿宋"/>
                <w:color w:val="auto"/>
              </w:rPr>
            </w:pPr>
            <w:r>
              <w:rPr>
                <w:rFonts w:hint="eastAsia" w:ascii="仿宋" w:hAnsi="仿宋" w:eastAsia="仿宋" w:cs="仿宋"/>
                <w:color w:val="auto"/>
              </w:rPr>
              <w:t>4</w:t>
            </w:r>
          </w:p>
        </w:tc>
        <w:tc>
          <w:tcPr>
            <w:tcW w:w="3008"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166E21E6">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22" w:name="4_02"/>
            <w:bookmarkEnd w:id="22"/>
          </w:p>
        </w:tc>
        <w:tc>
          <w:tcPr>
            <w:tcW w:w="2128"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3792E355">
            <w:pPr>
              <w:snapToGrid w:val="0"/>
              <w:spacing w:before="47" w:after="47" w:line="240" w:lineRule="auto"/>
              <w:ind w:left="0" w:leftChars="0" w:right="0" w:rightChars="0" w:firstLine="0" w:firstLineChars="0"/>
              <w:jc w:val="center"/>
              <w:rPr>
                <w:rFonts w:hint="eastAsia" w:ascii="仿宋" w:hAnsi="仿宋" w:eastAsia="仿宋" w:cs="仿宋"/>
                <w:color w:val="auto"/>
              </w:rPr>
            </w:pPr>
            <w:bookmarkStart w:id="23" w:name="__DOCXFIELD_cd09bfd143e941398a69974e3e036a23___01"/>
            <w:bookmarkEnd w:id="23"/>
          </w:p>
        </w:tc>
        <w:tc>
          <w:tcPr>
            <w:tcW w:w="2129" w:type="dxa"/>
            <w:tcBorders>
              <w:top w:val="single" w:color="000000" w:sz="6" w:space="0"/>
              <w:left w:val="single" w:color="000000" w:sz="6" w:space="0"/>
              <w:bottom w:val="single" w:color="000000" w:sz="6" w:space="0"/>
              <w:right w:val="single" w:color="000000" w:sz="6" w:space="0"/>
            </w:tcBorders>
            <w:noWrap w:val="0"/>
            <w:tcMar>
              <w:top w:w="80" w:type="dxa"/>
              <w:left w:w="100" w:type="dxa"/>
              <w:bottom w:w="80" w:type="dxa"/>
              <w:right w:w="100" w:type="dxa"/>
            </w:tcMar>
            <w:vAlign w:val="center"/>
          </w:tcPr>
          <w:p w14:paraId="0A0B7672">
            <w:pPr>
              <w:snapToGrid w:val="0"/>
              <w:spacing w:before="47" w:after="47" w:line="240" w:lineRule="auto"/>
              <w:ind w:left="0" w:leftChars="0" w:right="0" w:rightChars="0" w:firstLine="0" w:firstLineChars="0"/>
              <w:jc w:val="right"/>
              <w:rPr>
                <w:rFonts w:hint="eastAsia" w:ascii="仿宋" w:hAnsi="仿宋" w:eastAsia="仿宋" w:cs="仿宋"/>
                <w:color w:val="auto"/>
              </w:rPr>
            </w:pPr>
            <w:bookmarkStart w:id="24" w:name="__DOCXFIELD_2a25f48144654b42807226117f809c73___01"/>
            <w:bookmarkEnd w:id="24"/>
          </w:p>
        </w:tc>
      </w:tr>
    </w:tbl>
    <w:p w14:paraId="4481A32D">
      <w:pPr>
        <w:spacing w:line="408" w:lineRule="auto"/>
        <w:ind w:firstLine="0"/>
        <w:rPr>
          <w:rFonts w:hint="eastAsia" w:ascii="仿宋" w:hAnsi="仿宋" w:eastAsia="仿宋" w:cs="仿宋"/>
          <w:color w:val="auto"/>
          <w:lang w:eastAsia="zh-CN"/>
        </w:rPr>
      </w:pPr>
    </w:p>
    <w:p w14:paraId="38B748DB">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注：本表后附业绩证明复印件（加盖公章的合同）。</w:t>
      </w:r>
    </w:p>
    <w:p w14:paraId="5E3378B5">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1802D101">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5FF5558A">
      <w:pPr>
        <w:spacing w:line="408" w:lineRule="auto"/>
        <w:ind w:firstLine="0"/>
        <w:rPr>
          <w:rFonts w:hint="eastAsia"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0C7DACB8">
      <w:pPr>
        <w:rPr>
          <w:rFonts w:hint="eastAsia" w:ascii="仿宋" w:hAnsi="仿宋" w:eastAsia="仿宋" w:cs="仿宋"/>
          <w:color w:val="auto"/>
          <w:lang w:eastAsia="zh-CN"/>
        </w:rPr>
      </w:pPr>
    </w:p>
    <w:p w14:paraId="42296406">
      <w:pPr>
        <w:rPr>
          <w:rFonts w:hint="eastAsia" w:ascii="仿宋" w:hAnsi="仿宋" w:eastAsia="仿宋" w:cs="仿宋"/>
          <w:color w:val="auto"/>
          <w:lang w:eastAsia="zh-CN"/>
        </w:rPr>
      </w:pPr>
      <w:r>
        <w:rPr>
          <w:rFonts w:hint="eastAsia" w:ascii="仿宋" w:hAnsi="仿宋" w:eastAsia="仿宋" w:cs="仿宋"/>
          <w:color w:val="auto"/>
          <w:lang w:eastAsia="zh-CN"/>
        </w:rPr>
        <w:br w:type="page"/>
      </w:r>
    </w:p>
    <w:p w14:paraId="43AFCF7A">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71B9B6CD">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rPr>
      </w:pPr>
      <w:r>
        <w:rPr>
          <w:rFonts w:hint="eastAsia" w:ascii="仿宋" w:hAnsi="仿宋" w:eastAsia="仿宋" w:cs="仿宋"/>
          <w:color w:val="auto"/>
          <w:sz w:val="28"/>
          <w:lang w:eastAsia="zh-CN"/>
        </w:rPr>
        <w:t>五、供应商拒绝政府采购领域商业贿赂承诺书</w:t>
      </w:r>
    </w:p>
    <w:p w14:paraId="503DBBB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73CAF8B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为响应党中央、国务院关于治理政府采购领域商业贿赂行为的号召，我公司在此庄严承诺：</w:t>
      </w:r>
    </w:p>
    <w:p w14:paraId="0CFB576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、在参与政府采购活动中遵纪守法、诚信经营、公平竞标。</w:t>
      </w:r>
    </w:p>
    <w:p w14:paraId="6B49017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、不向政府采购人、采购代理机构和政府采购评审专家进行任何形式的商业贿赂以谋取交易机会。</w:t>
      </w:r>
    </w:p>
    <w:p w14:paraId="3DDC60A1">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、不向政府采购代理机构和采购人提供虚假资质文件或采用虚假应标方式参与政府采购市场竞争并谋取成交。</w:t>
      </w:r>
    </w:p>
    <w:p w14:paraId="7934BA9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、不采取</w:t>
      </w:r>
      <w:r>
        <w:rPr>
          <w:rFonts w:hint="eastAsia" w:ascii="仿宋" w:hAnsi="仿宋" w:eastAsia="仿宋" w:cs="仿宋"/>
          <w:color w:val="auto"/>
        </w:rPr>
        <w:t>"</w:t>
      </w:r>
      <w:r>
        <w:rPr>
          <w:rFonts w:hint="eastAsia" w:ascii="仿宋" w:hAnsi="仿宋" w:eastAsia="仿宋" w:cs="仿宋"/>
          <w:color w:val="auto"/>
          <w:lang w:eastAsia="zh-CN"/>
        </w:rPr>
        <w:t>围标、陪标</w:t>
      </w:r>
      <w:r>
        <w:rPr>
          <w:rFonts w:hint="eastAsia" w:ascii="仿宋" w:hAnsi="仿宋" w:eastAsia="仿宋" w:cs="仿宋"/>
          <w:color w:val="auto"/>
        </w:rPr>
        <w:t>"</w:t>
      </w:r>
      <w:r>
        <w:rPr>
          <w:rFonts w:hint="eastAsia" w:ascii="仿宋" w:hAnsi="仿宋" w:eastAsia="仿宋" w:cs="仿宋"/>
          <w:color w:val="auto"/>
          <w:lang w:eastAsia="zh-CN"/>
        </w:rPr>
        <w:t>等商业欺诈手段获得政府采购订单。</w:t>
      </w:r>
    </w:p>
    <w:p w14:paraId="459C4E3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、不采取不正当手段诋毁、排挤其他单位。</w:t>
      </w:r>
    </w:p>
    <w:p w14:paraId="14D27D2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、不在提供商品和服务时</w:t>
      </w:r>
      <w:r>
        <w:rPr>
          <w:rFonts w:hint="eastAsia" w:ascii="仿宋" w:hAnsi="仿宋" w:eastAsia="仿宋" w:cs="仿宋"/>
          <w:color w:val="auto"/>
        </w:rPr>
        <w:t>"</w:t>
      </w:r>
      <w:r>
        <w:rPr>
          <w:rFonts w:hint="eastAsia" w:ascii="仿宋" w:hAnsi="仿宋" w:eastAsia="仿宋" w:cs="仿宋"/>
          <w:color w:val="auto"/>
          <w:lang w:eastAsia="zh-CN"/>
        </w:rPr>
        <w:t>偷梁换柱、以次充好</w:t>
      </w:r>
      <w:r>
        <w:rPr>
          <w:rFonts w:hint="eastAsia" w:ascii="仿宋" w:hAnsi="仿宋" w:eastAsia="仿宋" w:cs="仿宋"/>
          <w:color w:val="auto"/>
        </w:rPr>
        <w:t>"</w:t>
      </w:r>
      <w:r>
        <w:rPr>
          <w:rFonts w:hint="eastAsia" w:ascii="仿宋" w:hAnsi="仿宋" w:eastAsia="仿宋" w:cs="仿宋"/>
          <w:color w:val="auto"/>
          <w:lang w:eastAsia="zh-CN"/>
        </w:rPr>
        <w:t>损害采购人的合法权益。</w:t>
      </w:r>
    </w:p>
    <w:p w14:paraId="7D74973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、不与采购人、采购代理机构、政府采购评审专家或其它单位恶意串通，进行质疑和投诉，维护政府采购市场秩序。</w:t>
      </w:r>
    </w:p>
    <w:p w14:paraId="70ED86D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8</w:t>
      </w:r>
      <w:r>
        <w:rPr>
          <w:rFonts w:hint="eastAsia" w:ascii="仿宋" w:hAnsi="仿宋" w:eastAsia="仿宋" w:cs="仿宋"/>
          <w:color w:val="auto"/>
          <w:lang w:eastAsia="zh-CN"/>
        </w:rPr>
        <w:t>、尊重和接受政府采购监督管理部门的监督和政府采购代理机构采购要求，承担因违约行为给采购人造成的损失。</w:t>
      </w:r>
    </w:p>
    <w:p w14:paraId="740E4C1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9</w:t>
      </w:r>
      <w:r>
        <w:rPr>
          <w:rFonts w:hint="eastAsia" w:ascii="仿宋" w:hAnsi="仿宋" w:eastAsia="仿宋" w:cs="仿宋"/>
          <w:color w:val="auto"/>
          <w:lang w:eastAsia="zh-CN"/>
        </w:rPr>
        <w:t>、不发生其他有悖于政府采购公开、公平、公正和诚信原则的行为。</w:t>
      </w:r>
    </w:p>
    <w:p w14:paraId="74076BA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47FD5FA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3FA450D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2D864E0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4A910A2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26A68D43">
      <w:pPr>
        <w:rPr>
          <w:rFonts w:hint="eastAsia" w:ascii="仿宋" w:hAnsi="仿宋" w:eastAsia="仿宋" w:cs="仿宋"/>
          <w:color w:val="auto"/>
          <w:sz w:val="28"/>
          <w:lang w:eastAsia="zh-CN"/>
        </w:rPr>
      </w:pPr>
      <w:r>
        <w:rPr>
          <w:rFonts w:hint="eastAsia" w:ascii="仿宋" w:hAnsi="仿宋" w:eastAsia="仿宋" w:cs="仿宋"/>
          <w:color w:val="auto"/>
          <w:sz w:val="28"/>
          <w:lang w:eastAsia="zh-CN"/>
        </w:rPr>
        <w:br w:type="page"/>
      </w:r>
    </w:p>
    <w:p w14:paraId="7F4D35A8">
      <w:pPr>
        <w:pStyle w:val="8"/>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color w:val="auto"/>
        </w:rPr>
      </w:pPr>
      <w:r>
        <w:rPr>
          <w:rFonts w:hint="eastAsia" w:ascii="仿宋" w:hAnsi="仿宋" w:eastAsia="仿宋" w:cs="仿宋"/>
          <w:color w:val="auto"/>
          <w:sz w:val="28"/>
          <w:lang w:eastAsia="zh-CN"/>
        </w:rPr>
        <w:t>六、</w:t>
      </w:r>
      <w:r>
        <w:rPr>
          <w:rFonts w:hint="eastAsia" w:ascii="仿宋" w:hAnsi="仿宋" w:eastAsia="仿宋" w:cs="仿宋"/>
          <w:color w:val="auto"/>
          <w:sz w:val="28"/>
          <w:lang w:val="en-US" w:eastAsia="zh-CN"/>
        </w:rPr>
        <w:t>服务</w:t>
      </w:r>
      <w:r>
        <w:rPr>
          <w:rFonts w:hint="eastAsia" w:ascii="仿宋" w:hAnsi="仿宋" w:eastAsia="仿宋" w:cs="仿宋"/>
          <w:color w:val="auto"/>
          <w:sz w:val="28"/>
          <w:lang w:eastAsia="zh-CN"/>
        </w:rPr>
        <w:t>方案</w:t>
      </w:r>
    </w:p>
    <w:p w14:paraId="5E0EDAA2">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lang w:eastAsia="zh-CN"/>
        </w:rPr>
      </w:pPr>
    </w:p>
    <w:p w14:paraId="21FDC8EF">
      <w:pPr>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eastAsia="zh-CN"/>
        </w:rPr>
        <w:t>供应商按照磋商文件的要求编制的</w:t>
      </w:r>
      <w:r>
        <w:rPr>
          <w:rFonts w:hint="eastAsia" w:ascii="仿宋" w:hAnsi="仿宋" w:eastAsia="仿宋" w:cs="仿宋"/>
          <w:color w:val="auto"/>
          <w:lang w:val="en-US" w:eastAsia="zh-CN"/>
        </w:rPr>
        <w:t>服务方案</w:t>
      </w:r>
      <w:r>
        <w:rPr>
          <w:rFonts w:hint="eastAsia" w:ascii="仿宋" w:hAnsi="仿宋" w:eastAsia="仿宋" w:cs="仿宋"/>
          <w:color w:val="auto"/>
          <w:lang w:eastAsia="zh-CN"/>
        </w:rPr>
        <w:t>，供应商自行编写，无具体格式，参照</w:t>
      </w:r>
      <w:r>
        <w:rPr>
          <w:rFonts w:hint="eastAsia" w:ascii="仿宋" w:hAnsi="仿宋" w:eastAsia="仿宋" w:cs="仿宋"/>
          <w:color w:val="auto"/>
          <w:lang w:val="en-US" w:eastAsia="zh-CN"/>
        </w:rPr>
        <w:t>磋商文件</w:t>
      </w:r>
      <w:r>
        <w:rPr>
          <w:rFonts w:hint="eastAsia" w:ascii="仿宋" w:hAnsi="仿宋" w:eastAsia="仿宋" w:cs="仿宋"/>
          <w:color w:val="auto"/>
          <w:lang w:eastAsia="zh-CN"/>
        </w:rPr>
        <w:t>第二章第六节评审办法表各条款的要求与第三章《采购需求》进行编制。方案应至少包括：监理依据与服务目标、质量与安全监理措施、进度与合同管理方案、监理设施与资源配置、针对本项目重点部位和关键工序（雨水管道敷设、顶管施工及工作坑与接收坑、检查井及雨水口、沟槽土方、旧管井破除、道路破除及恢复）的监理措施等内容。</w:t>
      </w:r>
    </w:p>
    <w:p w14:paraId="72846DE1">
      <w:pPr>
        <w:ind w:left="0" w:leftChars="0" w:firstLine="0" w:firstLineChars="0"/>
        <w:rPr>
          <w:rFonts w:hint="eastAsia" w:ascii="仿宋" w:hAnsi="仿宋" w:eastAsia="仿宋" w:cs="仿宋"/>
          <w:color w:val="auto"/>
        </w:rPr>
      </w:pPr>
    </w:p>
    <w:sectPr>
      <w:pgSz w:w="11906" w:h="16838"/>
      <w:pgMar w:top="1440" w:right="1797" w:bottom="1440" w:left="1797"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C1D78">
    <w:pPr>
      <w:pStyle w:val="28"/>
      <w:tabs>
        <w:tab w:val="center" w:pos="4156"/>
        <w:tab w:val="right" w:pos="8312"/>
      </w:tabs>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B166D">
                          <w:pPr>
                            <w:pStyle w:val="28"/>
                            <w:rPr>
                              <w:sz w:val="22"/>
                              <w:szCs w:val="21"/>
                            </w:rPr>
                          </w:pPr>
                          <w:r>
                            <w:rPr>
                              <w:sz w:val="20"/>
                              <w:szCs w:val="18"/>
                            </w:rPr>
                            <w:t xml:space="preserve">第 </w:t>
                          </w:r>
                          <w:r>
                            <w:rPr>
                              <w:sz w:val="20"/>
                              <w:szCs w:val="18"/>
                            </w:rPr>
                            <w:fldChar w:fldCharType="begin"/>
                          </w:r>
                          <w:r>
                            <w:rPr>
                              <w:sz w:val="20"/>
                              <w:szCs w:val="18"/>
                            </w:rPr>
                            <w:instrText xml:space="preserve"> PAGE  \* MERGEFORMAT </w:instrText>
                          </w:r>
                          <w:r>
                            <w:rPr>
                              <w:sz w:val="20"/>
                              <w:szCs w:val="18"/>
                            </w:rPr>
                            <w:fldChar w:fldCharType="separate"/>
                          </w:r>
                          <w:r>
                            <w:rPr>
                              <w:sz w:val="20"/>
                              <w:szCs w:val="18"/>
                            </w:rPr>
                            <w:t>2</w:t>
                          </w:r>
                          <w:r>
                            <w:rPr>
                              <w:sz w:val="20"/>
                              <w:szCs w:val="18"/>
                            </w:rPr>
                            <w:fldChar w:fldCharType="end"/>
                          </w:r>
                          <w:r>
                            <w:rPr>
                              <w:sz w:val="20"/>
                              <w:szCs w:val="18"/>
                            </w:rPr>
                            <w:t xml:space="preserve"> 页 共 </w:t>
                          </w:r>
                          <w:r>
                            <w:rPr>
                              <w:sz w:val="20"/>
                              <w:szCs w:val="18"/>
                            </w:rPr>
                            <w:fldChar w:fldCharType="begin"/>
                          </w:r>
                          <w:r>
                            <w:rPr>
                              <w:sz w:val="20"/>
                              <w:szCs w:val="18"/>
                            </w:rPr>
                            <w:instrText xml:space="preserve"> NUMPAGES  \* MERGEFORMAT </w:instrText>
                          </w:r>
                          <w:r>
                            <w:rPr>
                              <w:sz w:val="20"/>
                              <w:szCs w:val="18"/>
                            </w:rPr>
                            <w:fldChar w:fldCharType="separate"/>
                          </w:r>
                          <w:r>
                            <w:rPr>
                              <w:sz w:val="20"/>
                              <w:szCs w:val="18"/>
                            </w:rPr>
                            <w:t>48</w:t>
                          </w:r>
                          <w:r>
                            <w:rPr>
                              <w:sz w:val="20"/>
                              <w:szCs w:val="18"/>
                            </w:rPr>
                            <w:fldChar w:fldCharType="end"/>
                          </w:r>
                          <w:r>
                            <w:rPr>
                              <w:sz w:val="20"/>
                              <w:szCs w:val="1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9AB166D">
                    <w:pPr>
                      <w:pStyle w:val="28"/>
                      <w:rPr>
                        <w:sz w:val="22"/>
                        <w:szCs w:val="21"/>
                      </w:rPr>
                    </w:pPr>
                    <w:r>
                      <w:rPr>
                        <w:sz w:val="20"/>
                        <w:szCs w:val="18"/>
                      </w:rPr>
                      <w:t xml:space="preserve">第 </w:t>
                    </w:r>
                    <w:r>
                      <w:rPr>
                        <w:sz w:val="20"/>
                        <w:szCs w:val="18"/>
                      </w:rPr>
                      <w:fldChar w:fldCharType="begin"/>
                    </w:r>
                    <w:r>
                      <w:rPr>
                        <w:sz w:val="20"/>
                        <w:szCs w:val="18"/>
                      </w:rPr>
                      <w:instrText xml:space="preserve"> PAGE  \* MERGEFORMAT </w:instrText>
                    </w:r>
                    <w:r>
                      <w:rPr>
                        <w:sz w:val="20"/>
                        <w:szCs w:val="18"/>
                      </w:rPr>
                      <w:fldChar w:fldCharType="separate"/>
                    </w:r>
                    <w:r>
                      <w:rPr>
                        <w:sz w:val="20"/>
                        <w:szCs w:val="18"/>
                      </w:rPr>
                      <w:t>2</w:t>
                    </w:r>
                    <w:r>
                      <w:rPr>
                        <w:sz w:val="20"/>
                        <w:szCs w:val="18"/>
                      </w:rPr>
                      <w:fldChar w:fldCharType="end"/>
                    </w:r>
                    <w:r>
                      <w:rPr>
                        <w:sz w:val="20"/>
                        <w:szCs w:val="18"/>
                      </w:rPr>
                      <w:t xml:space="preserve"> 页 共 </w:t>
                    </w:r>
                    <w:r>
                      <w:rPr>
                        <w:sz w:val="20"/>
                        <w:szCs w:val="18"/>
                      </w:rPr>
                      <w:fldChar w:fldCharType="begin"/>
                    </w:r>
                    <w:r>
                      <w:rPr>
                        <w:sz w:val="20"/>
                        <w:szCs w:val="18"/>
                      </w:rPr>
                      <w:instrText xml:space="preserve"> NUMPAGES  \* MERGEFORMAT </w:instrText>
                    </w:r>
                    <w:r>
                      <w:rPr>
                        <w:sz w:val="20"/>
                        <w:szCs w:val="18"/>
                      </w:rPr>
                      <w:fldChar w:fldCharType="separate"/>
                    </w:r>
                    <w:r>
                      <w:rPr>
                        <w:sz w:val="20"/>
                        <w:szCs w:val="18"/>
                      </w:rPr>
                      <w:t>48</w:t>
                    </w:r>
                    <w:r>
                      <w:rPr>
                        <w:sz w:val="20"/>
                        <w:szCs w:val="18"/>
                      </w:rPr>
                      <w:fldChar w:fldCharType="end"/>
                    </w:r>
                    <w:r>
                      <w:rPr>
                        <w:sz w:val="20"/>
                        <w:szCs w:val="18"/>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47" w:lineRule="auto"/>
      </w:pPr>
      <w:r>
        <w:separator/>
      </w:r>
    </w:p>
  </w:footnote>
  <w:footnote w:type="continuationSeparator" w:id="1">
    <w:p>
      <w:pPr>
        <w:spacing w:before="0" w:after="0" w:line="347"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3"/>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7"/>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2"/>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6"/>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8"/>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0"/>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dit="readOnly" w:enforcement="1" w:cryptProviderType="rsaFull" w:cryptAlgorithmClass="hash" w:cryptAlgorithmType="typeAny" w:cryptAlgorithmSid="4" w:cryptSpinCount="0" w:hash="yD12ePAUEUrqDNKRMda7hrKyWfo=" w:salt="paptFZhdpR4x11l5kDlCAQ=="/>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3EC7D38"/>
    <w:rsid w:val="09207826"/>
    <w:rsid w:val="227F0AA8"/>
    <w:rsid w:val="2A1941CE"/>
    <w:rsid w:val="47C562E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347" w:lineRule="auto"/>
      <w:ind w:firstLine="480"/>
    </w:pPr>
    <w:rPr>
      <w:rFonts w:ascii="宋体" w:hAnsi="宋体" w:eastAsia="宋体" w:cstheme="minorBidi"/>
      <w:color w:val="000000"/>
      <w:sz w:val="24"/>
      <w:szCs w:val="22"/>
      <w:lang w:val="en-US" w:eastAsia="en-US" w:bidi="ar-SA"/>
    </w:rPr>
  </w:style>
  <w:style w:type="paragraph" w:styleId="7">
    <w:name w:val="heading 1"/>
    <w:basedOn w:val="1"/>
    <w:next w:val="1"/>
    <w:link w:val="142"/>
    <w:qFormat/>
    <w:uiPriority w:val="9"/>
    <w:pPr>
      <w:keepNext/>
      <w:keepLines/>
      <w:spacing w:before="480" w:after="0"/>
      <w:jc w:val="center"/>
      <w:outlineLvl w:val="0"/>
    </w:pPr>
    <w:rPr>
      <w:rFonts w:ascii="黑体" w:hAnsi="黑体" w:eastAsia="黑体"/>
      <w:b/>
      <w:bCs/>
      <w:color w:val="376092" w:themeColor="accent1" w:themeShade="BF"/>
      <w:sz w:val="32"/>
      <w:szCs w:val="28"/>
    </w:rPr>
  </w:style>
  <w:style w:type="paragraph" w:styleId="8">
    <w:name w:val="heading 2"/>
    <w:basedOn w:val="1"/>
    <w:next w:val="1"/>
    <w:link w:val="143"/>
    <w:unhideWhenUsed/>
    <w:qFormat/>
    <w:uiPriority w:val="9"/>
    <w:pPr>
      <w:keepNext/>
      <w:keepLines/>
      <w:spacing w:before="200" w:after="0"/>
      <w:outlineLvl w:val="1"/>
    </w:pPr>
    <w:rPr>
      <w:rFonts w:ascii="黑体" w:hAnsi="黑体" w:eastAsia="黑体"/>
      <w:b/>
      <w:bCs/>
      <w:color w:val="4F81BD" w:themeColor="accent1"/>
      <w:sz w:val="28"/>
      <w:szCs w:val="26"/>
      <w14:textFill>
        <w14:solidFill>
          <w14:schemeClr w14:val="accent1"/>
        </w14:solidFill>
      </w14:textFill>
    </w:rPr>
  </w:style>
  <w:style w:type="paragraph" w:styleId="9">
    <w:name w:val="heading 3"/>
    <w:basedOn w:val="1"/>
    <w:next w:val="1"/>
    <w:link w:val="144"/>
    <w:unhideWhenUsed/>
    <w:qFormat/>
    <w:uiPriority w:val="9"/>
    <w:pPr>
      <w:keepNext/>
      <w:keepLines/>
      <w:spacing w:before="200" w:after="0"/>
      <w:outlineLvl w:val="2"/>
    </w:pPr>
    <w:rPr>
      <w:rFonts w:ascii="黑体" w:hAnsi="黑体" w:eastAsia="黑体"/>
      <w:b/>
      <w:bCs/>
      <w:color w:val="4F81BD" w:themeColor="accent1"/>
      <w:sz w:val="24"/>
      <w14:textFill>
        <w14:solidFill>
          <w14:schemeClr w14:val="accent1"/>
        </w14:solidFill>
      </w14:textFill>
    </w:rPr>
  </w:style>
  <w:style w:type="paragraph" w:styleId="10">
    <w:name w:val="heading 4"/>
    <w:basedOn w:val="1"/>
    <w:next w:val="1"/>
    <w:link w:val="154"/>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11">
    <w:name w:val="heading 5"/>
    <w:basedOn w:val="1"/>
    <w:next w:val="1"/>
    <w:link w:val="155"/>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12">
    <w:name w:val="heading 6"/>
    <w:basedOn w:val="1"/>
    <w:next w:val="1"/>
    <w:link w:val="156"/>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13">
    <w:name w:val="heading 7"/>
    <w:basedOn w:val="1"/>
    <w:next w:val="1"/>
    <w:link w:val="157"/>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4">
    <w:name w:val="heading 8"/>
    <w:basedOn w:val="1"/>
    <w:next w:val="1"/>
    <w:link w:val="158"/>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5">
    <w:name w:val="heading 9"/>
    <w:basedOn w:val="1"/>
    <w:next w:val="1"/>
    <w:link w:val="159"/>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6">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unhideWhenUsed/>
    <w:qFormat/>
    <w:uiPriority w:val="0"/>
    <w:pPr>
      <w:ind w:firstLine="420" w:firstLineChars="100"/>
    </w:pPr>
    <w:rPr>
      <w:rFonts w:ascii="Times New Roman" w:hAnsi="Times New Roman"/>
      <w:sz w:val="18"/>
      <w:szCs w:val="18"/>
    </w:rPr>
  </w:style>
  <w:style w:type="paragraph" w:styleId="3">
    <w:name w:val="Body Text"/>
    <w:basedOn w:val="1"/>
    <w:next w:val="2"/>
    <w:link w:val="148"/>
    <w:unhideWhenUsed/>
    <w:qFormat/>
    <w:uiPriority w:val="99"/>
    <w:pPr>
      <w:spacing w:after="120"/>
    </w:pPr>
  </w:style>
  <w:style w:type="paragraph" w:styleId="4">
    <w:name w:val="Body Text First Indent 2"/>
    <w:basedOn w:val="5"/>
    <w:unhideWhenUsed/>
    <w:qFormat/>
    <w:uiPriority w:val="99"/>
    <w:pPr>
      <w:ind w:firstLine="420" w:firstLineChars="200"/>
    </w:pPr>
    <w:rPr>
      <w:rFonts w:ascii="宋体" w:hAnsi="宋体" w:eastAsia="宋体" w:cs="宋体"/>
      <w:szCs w:val="21"/>
    </w:rPr>
  </w:style>
  <w:style w:type="paragraph" w:styleId="5">
    <w:name w:val="Body Text Indent"/>
    <w:basedOn w:val="1"/>
    <w:next w:val="4"/>
    <w:unhideWhenUsed/>
    <w:qFormat/>
    <w:uiPriority w:val="99"/>
    <w:pPr>
      <w:spacing w:after="120"/>
      <w:ind w:left="420" w:leftChars="200"/>
    </w:pPr>
  </w:style>
  <w:style w:type="paragraph" w:styleId="6">
    <w:name w:val="macro"/>
    <w:link w:val="151"/>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6">
    <w:name w:val="List 3"/>
    <w:basedOn w:val="1"/>
    <w:unhideWhenUsed/>
    <w:qFormat/>
    <w:uiPriority w:val="99"/>
    <w:pPr>
      <w:ind w:left="1080" w:hanging="360"/>
      <w:contextualSpacing/>
    </w:pPr>
  </w:style>
  <w:style w:type="paragraph" w:styleId="17">
    <w:name w:val="List Number 2"/>
    <w:basedOn w:val="1"/>
    <w:unhideWhenUsed/>
    <w:qFormat/>
    <w:uiPriority w:val="99"/>
    <w:pPr>
      <w:numPr>
        <w:ilvl w:val="0"/>
        <w:numId w:val="1"/>
      </w:numPr>
      <w:contextualSpacing/>
    </w:pPr>
  </w:style>
  <w:style w:type="paragraph" w:styleId="18">
    <w:name w:val="List Number"/>
    <w:basedOn w:val="1"/>
    <w:unhideWhenUsed/>
    <w:qFormat/>
    <w:uiPriority w:val="99"/>
    <w:pPr>
      <w:numPr>
        <w:ilvl w:val="0"/>
        <w:numId w:val="2"/>
      </w:numPr>
      <w:contextualSpacing/>
    </w:pPr>
  </w:style>
  <w:style w:type="paragraph" w:styleId="19">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20">
    <w:name w:val="List Bullet"/>
    <w:basedOn w:val="1"/>
    <w:unhideWhenUsed/>
    <w:qFormat/>
    <w:uiPriority w:val="99"/>
    <w:pPr>
      <w:numPr>
        <w:ilvl w:val="0"/>
        <w:numId w:val="3"/>
      </w:numPr>
      <w:contextualSpacing/>
    </w:pPr>
  </w:style>
  <w:style w:type="paragraph" w:styleId="21">
    <w:name w:val="Body Text 3"/>
    <w:basedOn w:val="1"/>
    <w:link w:val="150"/>
    <w:unhideWhenUsed/>
    <w:qFormat/>
    <w:uiPriority w:val="99"/>
    <w:pPr>
      <w:spacing w:after="120"/>
    </w:pPr>
    <w:rPr>
      <w:sz w:val="16"/>
      <w:szCs w:val="16"/>
    </w:rPr>
  </w:style>
  <w:style w:type="paragraph" w:styleId="22">
    <w:name w:val="List Bullet 3"/>
    <w:basedOn w:val="1"/>
    <w:unhideWhenUsed/>
    <w:qFormat/>
    <w:uiPriority w:val="99"/>
    <w:pPr>
      <w:numPr>
        <w:ilvl w:val="0"/>
        <w:numId w:val="4"/>
      </w:numPr>
      <w:contextualSpacing/>
    </w:pPr>
  </w:style>
  <w:style w:type="paragraph" w:styleId="23">
    <w:name w:val="List Number 3"/>
    <w:basedOn w:val="1"/>
    <w:unhideWhenUsed/>
    <w:qFormat/>
    <w:uiPriority w:val="99"/>
    <w:pPr>
      <w:numPr>
        <w:ilvl w:val="0"/>
        <w:numId w:val="5"/>
      </w:numPr>
      <w:contextualSpacing/>
    </w:pPr>
  </w:style>
  <w:style w:type="paragraph" w:styleId="24">
    <w:name w:val="List 2"/>
    <w:basedOn w:val="1"/>
    <w:unhideWhenUsed/>
    <w:qFormat/>
    <w:uiPriority w:val="99"/>
    <w:pPr>
      <w:ind w:left="720" w:hanging="360"/>
      <w:contextualSpacing/>
    </w:pPr>
  </w:style>
  <w:style w:type="paragraph" w:styleId="25">
    <w:name w:val="List Continue"/>
    <w:basedOn w:val="1"/>
    <w:unhideWhenUsed/>
    <w:qFormat/>
    <w:uiPriority w:val="99"/>
    <w:pPr>
      <w:spacing w:after="120"/>
      <w:ind w:left="360"/>
      <w:contextualSpacing/>
    </w:pPr>
  </w:style>
  <w:style w:type="paragraph" w:styleId="26">
    <w:name w:val="List Bullet 2"/>
    <w:basedOn w:val="1"/>
    <w:unhideWhenUsed/>
    <w:qFormat/>
    <w:uiPriority w:val="99"/>
    <w:pPr>
      <w:numPr>
        <w:ilvl w:val="0"/>
        <w:numId w:val="6"/>
      </w:numPr>
      <w:contextualSpacing/>
    </w:pPr>
  </w:style>
  <w:style w:type="paragraph" w:styleId="27">
    <w:name w:val="Plain Text"/>
    <w:basedOn w:val="1"/>
    <w:qFormat/>
    <w:uiPriority w:val="0"/>
    <w:rPr>
      <w:rFonts w:hAnsi="Courier New"/>
      <w:kern w:val="2"/>
      <w:sz w:val="21"/>
    </w:rPr>
  </w:style>
  <w:style w:type="paragraph" w:styleId="28">
    <w:name w:val="footer"/>
    <w:basedOn w:val="1"/>
    <w:link w:val="140"/>
    <w:unhideWhenUsed/>
    <w:qFormat/>
    <w:uiPriority w:val="99"/>
    <w:pPr>
      <w:tabs>
        <w:tab w:val="center" w:pos="4680"/>
        <w:tab w:val="right" w:pos="9360"/>
      </w:tabs>
      <w:spacing w:after="0" w:line="240" w:lineRule="auto"/>
    </w:pPr>
  </w:style>
  <w:style w:type="paragraph" w:styleId="29">
    <w:name w:val="header"/>
    <w:basedOn w:val="1"/>
    <w:link w:val="139"/>
    <w:unhideWhenUsed/>
    <w:qFormat/>
    <w:uiPriority w:val="99"/>
    <w:pPr>
      <w:tabs>
        <w:tab w:val="center" w:pos="4680"/>
        <w:tab w:val="right" w:pos="9360"/>
      </w:tabs>
      <w:spacing w:after="0" w:line="240" w:lineRule="auto"/>
    </w:pPr>
  </w:style>
  <w:style w:type="paragraph" w:styleId="30">
    <w:name w:val="Subtitle"/>
    <w:basedOn w:val="1"/>
    <w:next w:val="1"/>
    <w:link w:val="14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1">
    <w:name w:val="List"/>
    <w:basedOn w:val="1"/>
    <w:unhideWhenUsed/>
    <w:qFormat/>
    <w:uiPriority w:val="99"/>
    <w:pPr>
      <w:ind w:left="360" w:hanging="360"/>
      <w:contextualSpacing/>
    </w:pPr>
  </w:style>
  <w:style w:type="paragraph" w:styleId="32">
    <w:name w:val="Body Text 2"/>
    <w:basedOn w:val="1"/>
    <w:link w:val="149"/>
    <w:unhideWhenUsed/>
    <w:qFormat/>
    <w:uiPriority w:val="99"/>
    <w:pPr>
      <w:spacing w:after="120" w:line="480" w:lineRule="auto"/>
    </w:pPr>
  </w:style>
  <w:style w:type="paragraph" w:styleId="33">
    <w:name w:val="List Continue 2"/>
    <w:basedOn w:val="1"/>
    <w:unhideWhenUsed/>
    <w:qFormat/>
    <w:uiPriority w:val="99"/>
    <w:pPr>
      <w:spacing w:after="120"/>
      <w:ind w:left="720"/>
      <w:contextualSpacing/>
    </w:pPr>
  </w:style>
  <w:style w:type="paragraph" w:styleId="34">
    <w:name w:val="List Continue 3"/>
    <w:basedOn w:val="1"/>
    <w:unhideWhenUsed/>
    <w:qFormat/>
    <w:uiPriority w:val="99"/>
    <w:pPr>
      <w:spacing w:after="120"/>
      <w:ind w:left="1080"/>
      <w:contextualSpacing/>
    </w:pPr>
  </w:style>
  <w:style w:type="paragraph" w:styleId="35">
    <w:name w:val="Title"/>
    <w:basedOn w:val="1"/>
    <w:next w:val="1"/>
    <w:link w:val="145"/>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Table Grid"/>
    <w:basedOn w:val="3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8">
    <w:name w:val="Light Shading"/>
    <w:basedOn w:val="36"/>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9">
    <w:name w:val="Light Shading Accent 1"/>
    <w:basedOn w:val="36"/>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0">
    <w:name w:val="Light Shading Accent 2"/>
    <w:basedOn w:val="36"/>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1">
    <w:name w:val="Light Shading Accent 3"/>
    <w:basedOn w:val="36"/>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2">
    <w:name w:val="Light Shading Accent 4"/>
    <w:basedOn w:val="36"/>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3">
    <w:name w:val="Light Shading Accent 5"/>
    <w:basedOn w:val="36"/>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4">
    <w:name w:val="Light Shading Accent 6"/>
    <w:basedOn w:val="36"/>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5">
    <w:name w:val="Light List"/>
    <w:basedOn w:val="36"/>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6">
    <w:name w:val="Light List Accent 1"/>
    <w:basedOn w:val="36"/>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7">
    <w:name w:val="Light List Accent 2"/>
    <w:basedOn w:val="36"/>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8">
    <w:name w:val="Light List Accent 3"/>
    <w:basedOn w:val="36"/>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9">
    <w:name w:val="Light List Accent 4"/>
    <w:basedOn w:val="36"/>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0">
    <w:name w:val="Light List Accent 5"/>
    <w:basedOn w:val="36"/>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1">
    <w:name w:val="Light List Accent 6"/>
    <w:basedOn w:val="36"/>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2">
    <w:name w:val="Light Grid"/>
    <w:basedOn w:val="36"/>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3">
    <w:name w:val="Light Grid Accent 1"/>
    <w:basedOn w:val="36"/>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4">
    <w:name w:val="Light Grid Accent 2"/>
    <w:basedOn w:val="36"/>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5">
    <w:name w:val="Light Grid Accent 3"/>
    <w:basedOn w:val="36"/>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6">
    <w:name w:val="Light Grid Accent 4"/>
    <w:basedOn w:val="36"/>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7">
    <w:name w:val="Light Grid Accent 5"/>
    <w:basedOn w:val="36"/>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8">
    <w:name w:val="Light Grid Accent 6"/>
    <w:basedOn w:val="36"/>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9">
    <w:name w:val="Medium Shading 1"/>
    <w:basedOn w:val="36"/>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0">
    <w:name w:val="Medium Shading 1 Accent 1"/>
    <w:basedOn w:val="36"/>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1">
    <w:name w:val="Medium Shading 1 Accent 2"/>
    <w:basedOn w:val="36"/>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2">
    <w:name w:val="Medium Shading 1 Accent 3"/>
    <w:basedOn w:val="36"/>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3">
    <w:name w:val="Medium Shading 1 Accent 4"/>
    <w:basedOn w:val="36"/>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4">
    <w:name w:val="Medium Shading 1 Accent 5"/>
    <w:basedOn w:val="36"/>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5">
    <w:name w:val="Medium Shading 1 Accent 6"/>
    <w:basedOn w:val="36"/>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6">
    <w:name w:val="Medium Shading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1"/>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3"/>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4"/>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5"/>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6"/>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List 1"/>
    <w:basedOn w:val="36"/>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4">
    <w:name w:val="Medium List 1 Accent 1"/>
    <w:basedOn w:val="36"/>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5">
    <w:name w:val="Medium List 1 Accent 2"/>
    <w:basedOn w:val="36"/>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6">
    <w:name w:val="Medium List 1 Accent 3"/>
    <w:basedOn w:val="36"/>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7">
    <w:name w:val="Medium List 1 Accent 4"/>
    <w:basedOn w:val="36"/>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8">
    <w:name w:val="Medium List 1 Accent 5"/>
    <w:basedOn w:val="36"/>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9">
    <w:name w:val="Medium List 1 Accent 6"/>
    <w:basedOn w:val="36"/>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0">
    <w:name w:val="Medium List 2"/>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1"/>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2"/>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3"/>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4"/>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5"/>
    <w:basedOn w:val="36"/>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6"/>
    <w:basedOn w:val="36"/>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w:basedOn w:val="36"/>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8">
    <w:name w:val="Medium Grid 1 Accent 1"/>
    <w:basedOn w:val="36"/>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9">
    <w:name w:val="Medium Grid 1 Accent 2"/>
    <w:basedOn w:val="36"/>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0">
    <w:name w:val="Medium Grid 1 Accent 3"/>
    <w:basedOn w:val="36"/>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1">
    <w:name w:val="Medium Grid 1 Accent 4"/>
    <w:basedOn w:val="36"/>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2">
    <w:name w:val="Medium Grid 1 Accent 5"/>
    <w:basedOn w:val="36"/>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3">
    <w:name w:val="Medium Grid 1 Accent 6"/>
    <w:basedOn w:val="36"/>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4">
    <w:name w:val="Medium Grid 2"/>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5">
    <w:name w:val="Medium Grid 2 Accent 1"/>
    <w:basedOn w:val="36"/>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6">
    <w:name w:val="Medium Grid 2 Accent 2"/>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7">
    <w:name w:val="Medium Grid 2 Accent 3"/>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8">
    <w:name w:val="Medium Grid 2 Accent 4"/>
    <w:basedOn w:val="36"/>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9">
    <w:name w:val="Medium Grid 2 Accent 5"/>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0">
    <w:name w:val="Medium Grid 2 Accent 6"/>
    <w:basedOn w:val="36"/>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1">
    <w:name w:val="Medium Grid 3"/>
    <w:basedOn w:val="36"/>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2">
    <w:name w:val="Medium Grid 3 Accent 1"/>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3">
    <w:name w:val="Medium Grid 3 Accent 2"/>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4">
    <w:name w:val="Medium Grid 3 Accent 3"/>
    <w:basedOn w:val="36"/>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5">
    <w:name w:val="Medium Grid 3 Accent 4"/>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6">
    <w:name w:val="Medium Grid 3 Accent 5"/>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7">
    <w:name w:val="Medium Grid 3 Accent 6"/>
    <w:basedOn w:val="36"/>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8">
    <w:name w:val="Dark List"/>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9">
    <w:name w:val="Dark List Accent 1"/>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0">
    <w:name w:val="Dark List Accent 2"/>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1">
    <w:name w:val="Dark List Accent 3"/>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2">
    <w:name w:val="Dark List Accent 4"/>
    <w:basedOn w:val="36"/>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3">
    <w:name w:val="Dark List Accent 5"/>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4">
    <w:name w:val="Dark List Accent 6"/>
    <w:basedOn w:val="36"/>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5">
    <w:name w:val="Colorful Shading"/>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1"/>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2"/>
    <w:basedOn w:val="36"/>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3"/>
    <w:basedOn w:val="36"/>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9">
    <w:name w:val="Colorful Shading Accent 4"/>
    <w:basedOn w:val="36"/>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5"/>
    <w:basedOn w:val="36"/>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Shading Accent 6"/>
    <w:basedOn w:val="36"/>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List"/>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3">
    <w:name w:val="Colorful List Accent 1"/>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4">
    <w:name w:val="Colorful List Accent 2"/>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5">
    <w:name w:val="Colorful List Accent 3"/>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6">
    <w:name w:val="Colorful List Accent 4"/>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7">
    <w:name w:val="Colorful List Accent 5"/>
    <w:basedOn w:val="36"/>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8">
    <w:name w:val="Colorful List Accent 6"/>
    <w:basedOn w:val="36"/>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9">
    <w:name w:val="Colorful Grid"/>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0">
    <w:name w:val="Colorful Grid Accent 1"/>
    <w:basedOn w:val="36"/>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1">
    <w:name w:val="Colorful Grid Accent 2"/>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Colorful Grid Accent 3"/>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3">
    <w:name w:val="Colorful Grid Accent 4"/>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4">
    <w:name w:val="Colorful Grid Accent 5"/>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5">
    <w:name w:val="Colorful Grid Accent 6"/>
    <w:basedOn w:val="36"/>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7">
    <w:name w:val="Strong"/>
    <w:basedOn w:val="136"/>
    <w:qFormat/>
    <w:uiPriority w:val="22"/>
    <w:rPr>
      <w:b/>
      <w:bCs/>
    </w:rPr>
  </w:style>
  <w:style w:type="character" w:styleId="138">
    <w:name w:val="Emphasis"/>
    <w:basedOn w:val="136"/>
    <w:qFormat/>
    <w:uiPriority w:val="20"/>
    <w:rPr>
      <w:i/>
      <w:iCs/>
    </w:rPr>
  </w:style>
  <w:style w:type="character" w:customStyle="1" w:styleId="139">
    <w:name w:val="Header Char"/>
    <w:basedOn w:val="136"/>
    <w:link w:val="29"/>
    <w:qFormat/>
    <w:uiPriority w:val="99"/>
  </w:style>
  <w:style w:type="character" w:customStyle="1" w:styleId="140">
    <w:name w:val="Footer Char"/>
    <w:basedOn w:val="136"/>
    <w:link w:val="28"/>
    <w:qFormat/>
    <w:uiPriority w:val="99"/>
  </w:style>
  <w:style w:type="paragraph" w:styleId="141">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2">
    <w:name w:val="Heading 1 Char"/>
    <w:basedOn w:val="136"/>
    <w:link w:val="7"/>
    <w:qFormat/>
    <w:uiPriority w:val="9"/>
    <w:rPr>
      <w:rFonts w:asciiTheme="majorHAnsi" w:hAnsiTheme="majorHAnsi" w:eastAsiaTheme="majorEastAsia" w:cstheme="majorBidi"/>
      <w:b/>
      <w:bCs/>
      <w:color w:val="376092" w:themeColor="accent1" w:themeShade="BF"/>
      <w:sz w:val="28"/>
      <w:szCs w:val="28"/>
    </w:rPr>
  </w:style>
  <w:style w:type="character" w:customStyle="1" w:styleId="143">
    <w:name w:val="Heading 2 Char"/>
    <w:basedOn w:val="136"/>
    <w:link w:val="8"/>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4">
    <w:name w:val="Heading 3 Char"/>
    <w:basedOn w:val="136"/>
    <w:link w:val="9"/>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5">
    <w:name w:val="Title Char"/>
    <w:basedOn w:val="136"/>
    <w:link w:val="35"/>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6">
    <w:name w:val="Subtitle Char"/>
    <w:basedOn w:val="136"/>
    <w:link w:val="3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7">
    <w:name w:val="List Paragraph"/>
    <w:basedOn w:val="1"/>
    <w:qFormat/>
    <w:uiPriority w:val="34"/>
    <w:pPr>
      <w:ind w:left="720"/>
      <w:contextualSpacing/>
    </w:pPr>
  </w:style>
  <w:style w:type="character" w:customStyle="1" w:styleId="148">
    <w:name w:val="Body Text Char"/>
    <w:basedOn w:val="136"/>
    <w:link w:val="3"/>
    <w:qFormat/>
    <w:uiPriority w:val="99"/>
  </w:style>
  <w:style w:type="character" w:customStyle="1" w:styleId="149">
    <w:name w:val="Body Text 2 Char"/>
    <w:basedOn w:val="136"/>
    <w:link w:val="32"/>
    <w:qFormat/>
    <w:uiPriority w:val="99"/>
  </w:style>
  <w:style w:type="character" w:customStyle="1" w:styleId="150">
    <w:name w:val="Body Text 3 Char"/>
    <w:basedOn w:val="136"/>
    <w:link w:val="21"/>
    <w:qFormat/>
    <w:uiPriority w:val="99"/>
    <w:rPr>
      <w:sz w:val="16"/>
      <w:szCs w:val="16"/>
    </w:rPr>
  </w:style>
  <w:style w:type="character" w:customStyle="1" w:styleId="151">
    <w:name w:val="Macro Text Char"/>
    <w:basedOn w:val="136"/>
    <w:link w:val="6"/>
    <w:qFormat/>
    <w:uiPriority w:val="99"/>
    <w:rPr>
      <w:rFonts w:ascii="Courier" w:hAnsi="Courier"/>
      <w:sz w:val="20"/>
      <w:szCs w:val="20"/>
    </w:rPr>
  </w:style>
  <w:style w:type="paragraph" w:styleId="152">
    <w:name w:val="Quote"/>
    <w:basedOn w:val="1"/>
    <w:next w:val="1"/>
    <w:link w:val="153"/>
    <w:qFormat/>
    <w:uiPriority w:val="29"/>
    <w:rPr>
      <w:i/>
      <w:iCs/>
      <w:color w:val="000000" w:themeColor="text1"/>
      <w14:textFill>
        <w14:solidFill>
          <w14:schemeClr w14:val="tx1"/>
        </w14:solidFill>
      </w14:textFill>
    </w:rPr>
  </w:style>
  <w:style w:type="character" w:customStyle="1" w:styleId="153">
    <w:name w:val="Quote Char"/>
    <w:basedOn w:val="136"/>
    <w:link w:val="152"/>
    <w:qFormat/>
    <w:uiPriority w:val="29"/>
    <w:rPr>
      <w:i/>
      <w:iCs/>
      <w:color w:val="000000" w:themeColor="text1"/>
      <w14:textFill>
        <w14:solidFill>
          <w14:schemeClr w14:val="tx1"/>
        </w14:solidFill>
      </w14:textFill>
    </w:rPr>
  </w:style>
  <w:style w:type="character" w:customStyle="1" w:styleId="154">
    <w:name w:val="Heading 4 Char"/>
    <w:basedOn w:val="136"/>
    <w:link w:val="10"/>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5">
    <w:name w:val="Heading 5 Char"/>
    <w:basedOn w:val="136"/>
    <w:link w:val="11"/>
    <w:semiHidden/>
    <w:qFormat/>
    <w:uiPriority w:val="9"/>
    <w:rPr>
      <w:rFonts w:asciiTheme="majorHAnsi" w:hAnsiTheme="majorHAnsi" w:eastAsiaTheme="majorEastAsia" w:cstheme="majorBidi"/>
      <w:color w:val="254061" w:themeColor="accent1" w:themeShade="80"/>
    </w:rPr>
  </w:style>
  <w:style w:type="character" w:customStyle="1" w:styleId="156">
    <w:name w:val="Heading 6 Char"/>
    <w:basedOn w:val="136"/>
    <w:link w:val="12"/>
    <w:semiHidden/>
    <w:qFormat/>
    <w:uiPriority w:val="9"/>
    <w:rPr>
      <w:rFonts w:asciiTheme="majorHAnsi" w:hAnsiTheme="majorHAnsi" w:eastAsiaTheme="majorEastAsia" w:cstheme="majorBidi"/>
      <w:i/>
      <w:iCs/>
      <w:color w:val="254061" w:themeColor="accent1" w:themeShade="80"/>
    </w:rPr>
  </w:style>
  <w:style w:type="character" w:customStyle="1" w:styleId="157">
    <w:name w:val="Heading 7 Char"/>
    <w:basedOn w:val="136"/>
    <w:link w:val="13"/>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8">
    <w:name w:val="Heading 8 Char"/>
    <w:basedOn w:val="136"/>
    <w:link w:val="14"/>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9">
    <w:name w:val="Heading 9 Char"/>
    <w:basedOn w:val="136"/>
    <w:link w:val="15"/>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0">
    <w:name w:val="Intense Quote"/>
    <w:basedOn w:val="1"/>
    <w:next w:val="1"/>
    <w:link w:val="161"/>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1">
    <w:name w:val="Intense Quote Char"/>
    <w:basedOn w:val="136"/>
    <w:link w:val="160"/>
    <w:qFormat/>
    <w:uiPriority w:val="30"/>
    <w:rPr>
      <w:b/>
      <w:bCs/>
      <w:i/>
      <w:iCs/>
      <w:color w:val="4F81BD" w:themeColor="accent1"/>
      <w14:textFill>
        <w14:solidFill>
          <w14:schemeClr w14:val="accent1"/>
        </w14:solidFill>
      </w14:textFill>
    </w:rPr>
  </w:style>
  <w:style w:type="character" w:customStyle="1" w:styleId="162">
    <w:name w:val="Subtle Emphasis"/>
    <w:basedOn w:val="136"/>
    <w:qFormat/>
    <w:uiPriority w:val="19"/>
    <w:rPr>
      <w:i/>
      <w:iCs/>
      <w:color w:val="808080" w:themeColor="text1" w:themeTint="80"/>
      <w14:textFill>
        <w14:solidFill>
          <w14:schemeClr w14:val="tx1">
            <w14:lumMod w14:val="50000"/>
            <w14:lumOff w14:val="50000"/>
          </w14:schemeClr>
        </w14:solidFill>
      </w14:textFill>
    </w:rPr>
  </w:style>
  <w:style w:type="character" w:customStyle="1" w:styleId="163">
    <w:name w:val="Intense Emphasis"/>
    <w:basedOn w:val="136"/>
    <w:qFormat/>
    <w:uiPriority w:val="21"/>
    <w:rPr>
      <w:b/>
      <w:bCs/>
      <w:i/>
      <w:iCs/>
      <w:color w:val="4F81BD" w:themeColor="accent1"/>
      <w14:textFill>
        <w14:solidFill>
          <w14:schemeClr w14:val="accent1"/>
        </w14:solidFill>
      </w14:textFill>
    </w:rPr>
  </w:style>
  <w:style w:type="character" w:customStyle="1" w:styleId="164">
    <w:name w:val="Subtle Reference"/>
    <w:basedOn w:val="136"/>
    <w:qFormat/>
    <w:uiPriority w:val="31"/>
    <w:rPr>
      <w:smallCaps/>
      <w:color w:val="C0504D" w:themeColor="accent2"/>
      <w:u w:val="single"/>
      <w14:textFill>
        <w14:solidFill>
          <w14:schemeClr w14:val="accent2"/>
        </w14:solidFill>
      </w14:textFill>
    </w:rPr>
  </w:style>
  <w:style w:type="character" w:customStyle="1" w:styleId="165">
    <w:name w:val="Intense Reference"/>
    <w:basedOn w:val="136"/>
    <w:qFormat/>
    <w:uiPriority w:val="32"/>
    <w:rPr>
      <w:b/>
      <w:bCs/>
      <w:smallCaps/>
      <w:color w:val="C0504D" w:themeColor="accent2"/>
      <w:spacing w:val="5"/>
      <w:u w:val="single"/>
      <w14:textFill>
        <w14:solidFill>
          <w14:schemeClr w14:val="accent2"/>
        </w14:solidFill>
      </w14:textFill>
    </w:rPr>
  </w:style>
  <w:style w:type="character" w:customStyle="1" w:styleId="166">
    <w:name w:val="Book Title"/>
    <w:basedOn w:val="136"/>
    <w:qFormat/>
    <w:uiPriority w:val="33"/>
    <w:rPr>
      <w:b/>
      <w:bCs/>
      <w:smallCaps/>
      <w:spacing w:val="5"/>
    </w:rPr>
  </w:style>
  <w:style w:type="paragraph" w:customStyle="1" w:styleId="167">
    <w:name w:val="TOC Heading"/>
    <w:basedOn w:val="7"/>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6179</Words>
  <Characters>6797</Characters>
  <Lines>0</Lines>
  <Paragraphs>0</Paragraphs>
  <TotalTime>0</TotalTime>
  <ScaleCrop>false</ScaleCrop>
  <LinksUpToDate>false</LinksUpToDate>
  <CharactersWithSpaces>6834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wwhigh</cp:lastModifiedBy>
  <dcterms:modified xsi:type="dcterms:W3CDTF">2026-10-20T09:14:50Z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eyJoZGlkIjoiYjI3OGExMzIzOTFhYzQxYjc2NTM1YTUxZjk4OWU3ZTIiLCJ1c2VySWQiOiI0NjAzODkxMjkifQ==</vt:lpwstr>
  </property>
  <property fmtid="{D5CDD505-2E9C-101B-9397-08002B2CF9AE}" pid="3" name="KSOProductBuildVer">
    <vt:lpwstr>2052-12.1.0.29161</vt:lpwstr>
  </property>
  <property fmtid="{D5CDD505-2E9C-101B-9397-08002B2CF9AE}" pid="4" name="ICV">
    <vt:lpwstr>C5C3115D22AE447189AE23DAAB77F217_13</vt:lpwstr>
  </property>
</Properties>
</file>